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nts/font5.odttf" ContentType="application/vnd.openxmlformats-officedocument.obfuscatedFont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firstLine="776" w:firstLineChars="200"/>
        <w:jc w:val="center"/>
        <w:textAlignment w:val="auto"/>
        <w:rPr>
          <w:rFonts w:hint="eastAsia" w:ascii="仿宋" w:hAnsi="仿宋" w:cs="仿宋"/>
          <w:sz w:val="40"/>
          <w:szCs w:val="40"/>
          <w:lang w:val="en-US" w:eastAsia="zh-CN"/>
        </w:rPr>
      </w:pPr>
      <w:r>
        <w:rPr>
          <w:rFonts w:hint="eastAsia" w:ascii="仿宋" w:hAnsi="仿宋" w:cs="仿宋"/>
          <w:sz w:val="40"/>
          <w:szCs w:val="40"/>
          <w:lang w:val="en-US" w:eastAsia="zh-CN"/>
        </w:rPr>
        <w:t>项目需求</w:t>
      </w:r>
    </w:p>
    <w:p>
      <w:pPr>
        <w:pStyle w:val="2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textAlignment w:val="auto"/>
        <w:rPr>
          <w:rFonts w:hint="eastAsia"/>
          <w:lang w:val="en-US" w:eastAsia="zh-CN"/>
        </w:rPr>
      </w:pPr>
    </w:p>
    <w:p>
      <w:pPr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269" w:firstLineChars="100"/>
        <w:jc w:val="left"/>
        <w:textAlignment w:val="auto"/>
        <w:rPr>
          <w:rFonts w:hint="eastAsia" w:ascii="仿宋" w:hAnsi="仿宋" w:eastAsia="仿宋" w:cs="仿宋"/>
          <w:b/>
          <w:bCs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b/>
          <w:bCs/>
          <w:sz w:val="28"/>
          <w:szCs w:val="28"/>
          <w:lang w:val="en-US" w:eastAsia="zh-CN"/>
        </w:rPr>
        <w:t>一</w:t>
      </w:r>
      <w:r>
        <w:rPr>
          <w:rFonts w:hint="eastAsia" w:ascii="仿宋" w:hAnsi="仿宋" w:cs="仿宋"/>
          <w:b/>
          <w:bCs/>
          <w:sz w:val="28"/>
          <w:szCs w:val="28"/>
          <w:lang w:val="en-US" w:eastAsia="zh-CN"/>
        </w:rPr>
        <w:t>、</w:t>
      </w:r>
      <w:r>
        <w:rPr>
          <w:rFonts w:hint="eastAsia" w:ascii="仿宋" w:hAnsi="仿宋" w:eastAsia="仿宋" w:cs="仿宋"/>
          <w:b/>
          <w:bCs/>
          <w:sz w:val="28"/>
          <w:szCs w:val="28"/>
          <w:lang w:val="en-US" w:eastAsia="zh-CN"/>
        </w:rPr>
        <w:t>项目概况</w:t>
      </w:r>
      <w:r>
        <w:rPr>
          <w:rFonts w:hint="eastAsia" w:ascii="仿宋" w:hAnsi="仿宋" w:cs="仿宋"/>
          <w:b/>
          <w:bCs/>
          <w:sz w:val="28"/>
          <w:szCs w:val="28"/>
          <w:lang w:val="en-US" w:eastAsia="zh-CN"/>
        </w:rPr>
        <w:t>：</w:t>
      </w:r>
    </w:p>
    <w:tbl>
      <w:tblPr>
        <w:tblStyle w:val="10"/>
        <w:tblW w:w="8754" w:type="dxa"/>
        <w:jc w:val="center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2927"/>
        <w:gridCol w:w="1154"/>
        <w:gridCol w:w="1408"/>
        <w:gridCol w:w="3265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8" w:hRule="atLeast"/>
          <w:jc w:val="center"/>
        </w:trPr>
        <w:tc>
          <w:tcPr>
            <w:tcW w:w="2927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hd w:val="clear" w:color="auto" w:fill="FFFFFF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auto"/>
              <w:rPr>
                <w:rFonts w:hint="eastAsia" w:ascii="仿宋" w:hAnsi="仿宋" w:eastAsia="仿宋" w:cs="仿宋"/>
                <w:sz w:val="28"/>
                <w:szCs w:val="28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lang w:val="en-US" w:eastAsia="zh-CN"/>
              </w:rPr>
              <w:t>采购服务内容</w:t>
            </w:r>
          </w:p>
        </w:tc>
        <w:tc>
          <w:tcPr>
            <w:tcW w:w="1154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hd w:val="clear" w:color="auto" w:fill="FFFFFF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auto"/>
              <w:rPr>
                <w:rFonts w:hint="eastAsia" w:ascii="仿宋" w:hAnsi="仿宋" w:eastAsia="仿宋" w:cs="仿宋"/>
                <w:sz w:val="28"/>
                <w:szCs w:val="28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lang w:val="en-US" w:eastAsia="zh-CN"/>
              </w:rPr>
              <w:t>数量</w:t>
            </w:r>
          </w:p>
        </w:tc>
        <w:tc>
          <w:tcPr>
            <w:tcW w:w="1408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hd w:val="clear" w:color="auto" w:fill="FFFFFF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auto"/>
              <w:rPr>
                <w:rFonts w:hint="eastAsia" w:ascii="仿宋" w:hAnsi="仿宋" w:eastAsia="仿宋" w:cs="仿宋"/>
                <w:sz w:val="28"/>
                <w:szCs w:val="28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lang w:val="en-US" w:eastAsia="zh-CN"/>
              </w:rPr>
              <w:t>服务期限</w:t>
            </w:r>
          </w:p>
        </w:tc>
        <w:tc>
          <w:tcPr>
            <w:tcW w:w="326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hd w:val="clear" w:color="auto" w:fill="FFFFFF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auto"/>
              <w:rPr>
                <w:rFonts w:hint="eastAsia" w:ascii="仿宋" w:hAnsi="仿宋" w:eastAsia="仿宋" w:cs="仿宋"/>
                <w:sz w:val="28"/>
                <w:szCs w:val="28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lang w:val="en-US" w:eastAsia="zh-CN"/>
              </w:rPr>
              <w:t>预算限价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39" w:hRule="atLeast"/>
          <w:jc w:val="center"/>
        </w:trPr>
        <w:tc>
          <w:tcPr>
            <w:tcW w:w="2927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hd w:val="clear" w:color="auto" w:fill="FFFFFF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auto"/>
              <w:rPr>
                <w:rFonts w:hint="eastAsia" w:ascii="仿宋" w:hAnsi="仿宋" w:eastAsia="仿宋" w:cs="仿宋"/>
                <w:sz w:val="28"/>
                <w:szCs w:val="28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lang w:val="en-US" w:eastAsia="zh-CN"/>
              </w:rPr>
              <w:t>医疗废物处置服务</w:t>
            </w:r>
          </w:p>
        </w:tc>
        <w:tc>
          <w:tcPr>
            <w:tcW w:w="1154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hd w:val="clear" w:color="auto" w:fill="FFFFFF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auto"/>
              <w:rPr>
                <w:rFonts w:hint="eastAsia" w:ascii="仿宋" w:hAnsi="仿宋" w:eastAsia="仿宋" w:cs="仿宋"/>
                <w:sz w:val="28"/>
                <w:szCs w:val="28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lang w:val="en-US" w:eastAsia="zh-CN"/>
              </w:rPr>
              <w:t>一项</w:t>
            </w:r>
          </w:p>
        </w:tc>
        <w:tc>
          <w:tcPr>
            <w:tcW w:w="1408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hd w:val="clear" w:color="auto" w:fill="FFFFFF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firstLine="536" w:firstLineChars="200"/>
              <w:jc w:val="center"/>
              <w:textAlignment w:val="auto"/>
              <w:rPr>
                <w:rFonts w:hint="eastAsia" w:ascii="仿宋" w:hAnsi="仿宋" w:eastAsia="仿宋" w:cs="仿宋"/>
                <w:sz w:val="28"/>
                <w:szCs w:val="28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lang w:val="en-US" w:eastAsia="zh-CN"/>
              </w:rPr>
              <w:t>2 年</w:t>
            </w:r>
          </w:p>
        </w:tc>
        <w:tc>
          <w:tcPr>
            <w:tcW w:w="326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hd w:val="clear" w:color="auto" w:fill="FFFFFF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auto"/>
              <w:rPr>
                <w:rFonts w:hint="eastAsia" w:ascii="仿宋" w:hAnsi="仿宋" w:eastAsia="仿宋" w:cs="仿宋"/>
                <w:sz w:val="28"/>
                <w:szCs w:val="28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lang w:val="en-US" w:eastAsia="zh-CN"/>
              </w:rPr>
              <w:t>人民币</w:t>
            </w:r>
            <w:r>
              <w:rPr>
                <w:rFonts w:hint="eastAsia" w:ascii="仿宋" w:hAnsi="仿宋" w:cs="仿宋"/>
                <w:sz w:val="28"/>
                <w:szCs w:val="28"/>
                <w:u w:val="single"/>
                <w:lang w:val="en-US" w:eastAsia="zh-CN"/>
              </w:rPr>
              <w:t xml:space="preserve">     </w:t>
            </w:r>
            <w:r>
              <w:rPr>
                <w:rFonts w:hint="eastAsia" w:ascii="仿宋" w:hAnsi="仿宋" w:eastAsia="仿宋" w:cs="仿宋"/>
                <w:sz w:val="28"/>
                <w:szCs w:val="28"/>
                <w:lang w:val="en-US" w:eastAsia="zh-CN"/>
              </w:rPr>
              <w:t>万元/2年</w:t>
            </w:r>
          </w:p>
        </w:tc>
      </w:tr>
    </w:tbl>
    <w:p>
      <w:pPr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536" w:firstLineChars="200"/>
        <w:jc w:val="left"/>
        <w:textAlignment w:val="auto"/>
        <w:rPr>
          <w:rFonts w:hint="eastAsia" w:ascii="仿宋" w:hAnsi="仿宋" w:eastAsia="仿宋" w:cs="仿宋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1.本项目服务期为二年，总预算：</w:t>
      </w:r>
      <w:r>
        <w:rPr>
          <w:rFonts w:hint="eastAsia" w:ascii="仿宋" w:hAnsi="仿宋" w:cs="仿宋"/>
          <w:sz w:val="28"/>
          <w:szCs w:val="28"/>
          <w:u w:val="single"/>
          <w:lang w:val="en-US" w:eastAsia="zh-CN"/>
        </w:rPr>
        <w:t xml:space="preserve">      </w:t>
      </w: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万元/2年，医院产生医疗废物的总量约为：2280吨/2 年（医疗废物产生量为估算量，具体以实际产生量结算）,每年按 365天计算，全院核定床位数为2700张。</w:t>
      </w:r>
    </w:p>
    <w:p>
      <w:pPr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536" w:firstLineChars="200"/>
        <w:jc w:val="left"/>
        <w:textAlignment w:val="auto"/>
        <w:rPr>
          <w:rFonts w:hint="eastAsia" w:ascii="仿宋" w:hAnsi="仿宋" w:eastAsia="仿宋" w:cs="仿宋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2.采购人于每年第一季度，或双方认为有必要时对缴费床位数进行重新核定。（核定依据：根据采购人上一年度全年医院床位统计表， 作为年度缴费床位数的依据。缴费标准的调整双方可另立补充协议或者重签协议）</w:t>
      </w:r>
    </w:p>
    <w:p>
      <w:pPr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538" w:firstLineChars="200"/>
        <w:jc w:val="left"/>
        <w:textAlignment w:val="auto"/>
        <w:rPr>
          <w:rFonts w:hint="eastAsia" w:ascii="仿宋" w:hAnsi="仿宋" w:eastAsia="仿宋" w:cs="仿宋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b/>
          <w:bCs/>
          <w:sz w:val="28"/>
          <w:szCs w:val="28"/>
          <w:lang w:val="en-US" w:eastAsia="zh-CN"/>
        </w:rPr>
        <w:t>二、项目地点：</w:t>
      </w: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广东省人民医院</w:t>
      </w:r>
    </w:p>
    <w:p>
      <w:pPr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536" w:firstLineChars="200"/>
        <w:jc w:val="left"/>
        <w:textAlignment w:val="auto"/>
        <w:rPr>
          <w:rFonts w:hint="eastAsia" w:ascii="仿宋" w:hAnsi="仿宋" w:eastAsia="仿宋" w:cs="仿宋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1.院本部：广州市越秀区中山二路106号；</w:t>
      </w:r>
    </w:p>
    <w:p>
      <w:pPr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536" w:firstLineChars="200"/>
        <w:jc w:val="left"/>
        <w:textAlignment w:val="auto"/>
        <w:rPr>
          <w:rFonts w:hint="eastAsia" w:ascii="仿宋" w:hAnsi="仿宋" w:eastAsia="仿宋" w:cs="仿宋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2.惠福分院： 广州市越秀区惠福西路123号；</w:t>
      </w:r>
    </w:p>
    <w:p>
      <w:pPr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536" w:firstLineChars="200"/>
        <w:jc w:val="left"/>
        <w:textAlignment w:val="auto"/>
        <w:rPr>
          <w:rFonts w:hint="eastAsia" w:ascii="仿宋" w:hAnsi="仿宋" w:eastAsia="仿宋" w:cs="仿宋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3.合群门诊：合群一马路17号 ；</w:t>
      </w:r>
    </w:p>
    <w:p>
      <w:pPr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536" w:firstLineChars="200"/>
        <w:jc w:val="left"/>
        <w:textAlignment w:val="auto"/>
        <w:rPr>
          <w:rFonts w:hint="eastAsia" w:ascii="仿宋" w:hAnsi="仿宋" w:eastAsia="仿宋" w:cs="仿宋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4.广湾十八商务港医学研究中心：东华南路19号。</w:t>
      </w:r>
    </w:p>
    <w:p>
      <w:pPr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538" w:firstLineChars="200"/>
        <w:jc w:val="left"/>
        <w:textAlignment w:val="auto"/>
        <w:rPr>
          <w:rFonts w:hint="eastAsia" w:ascii="仿宋" w:hAnsi="仿宋" w:eastAsia="仿宋" w:cs="仿宋"/>
          <w:b/>
          <w:bCs/>
          <w:sz w:val="28"/>
          <w:szCs w:val="28"/>
          <w:lang w:val="en-US" w:eastAsia="zh-CN"/>
        </w:rPr>
      </w:pPr>
      <w:bookmarkStart w:id="0" w:name="_GoBack"/>
      <w:bookmarkEnd w:id="0"/>
      <w:r>
        <w:rPr>
          <w:rFonts w:hint="eastAsia" w:ascii="仿宋" w:hAnsi="仿宋" w:eastAsia="仿宋" w:cs="仿宋"/>
          <w:b/>
          <w:bCs/>
          <w:sz w:val="28"/>
          <w:szCs w:val="28"/>
          <w:lang w:val="en-US" w:eastAsia="zh-CN"/>
        </w:rPr>
        <w:t>三、采购标的需满足的质量、安全、技术规格、物理特性等要求：</w:t>
      </w:r>
    </w:p>
    <w:p>
      <w:pPr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536" w:firstLineChars="200"/>
        <w:jc w:val="left"/>
        <w:textAlignment w:val="auto"/>
        <w:rPr>
          <w:rFonts w:hint="eastAsia" w:ascii="仿宋" w:hAnsi="仿宋" w:eastAsia="仿宋" w:cs="仿宋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本项目签订单价合同，最终合同结算金额以实际发生的清运处置量为准。具体工作内容和服务要求如下：</w:t>
      </w:r>
    </w:p>
    <w:p>
      <w:pPr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536" w:firstLineChars="200"/>
        <w:jc w:val="left"/>
        <w:textAlignment w:val="auto"/>
        <w:rPr>
          <w:rFonts w:hint="eastAsia" w:ascii="仿宋" w:hAnsi="仿宋" w:eastAsia="仿宋" w:cs="仿宋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1</w:t>
      </w:r>
      <w:r>
        <w:rPr>
          <w:rFonts w:hint="eastAsia" w:ascii="仿宋" w:hAnsi="仿宋" w:cs="仿宋"/>
          <w:sz w:val="28"/>
          <w:szCs w:val="28"/>
          <w:lang w:val="en-US" w:eastAsia="zh-CN"/>
        </w:rPr>
        <w:t>.</w:t>
      </w: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采购内容及要求</w:t>
      </w:r>
      <w:r>
        <w:rPr>
          <w:rFonts w:hint="eastAsia" w:ascii="仿宋" w:hAnsi="仿宋" w:cs="仿宋"/>
          <w:sz w:val="28"/>
          <w:szCs w:val="28"/>
          <w:lang w:val="en-US" w:eastAsia="zh-CN"/>
        </w:rPr>
        <w:t>：</w:t>
      </w: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清运处理广东省人民医院在医疗、科研、预防、保健以及其他相关活动中产生的具有直接或者间接感染性、毒性以及其他危害性的《医疗废物分类目录》规定的医疗废物（除一次性输液袋、输液瓶、医疗（实验室）废液及废弃的含有汞的体温计、血压计外）。供应商应按照《医疗废物管理条例》、《医疗废物集中处置技术规范》等国家法律法规文件的规定向甲方提供及时、安全、环保的清运和处置服务，医废清运不超过</w:t>
      </w:r>
      <w:r>
        <w:rPr>
          <w:rFonts w:hint="eastAsia" w:ascii="仿宋" w:hAnsi="仿宋" w:cs="仿宋"/>
          <w:sz w:val="28"/>
          <w:szCs w:val="28"/>
          <w:lang w:val="en-US" w:eastAsia="zh-CN"/>
        </w:rPr>
        <w:t>48</w:t>
      </w: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小时。</w:t>
      </w:r>
    </w:p>
    <w:p>
      <w:pPr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548" w:firstLineChars="200"/>
        <w:jc w:val="left"/>
        <w:textAlignment w:val="auto"/>
        <w:rPr>
          <w:rFonts w:hint="eastAsia"/>
          <w:spacing w:val="-3"/>
          <w:sz w:val="28"/>
          <w:szCs w:val="28"/>
          <w:lang w:eastAsia="zh-CN"/>
        </w:rPr>
      </w:pPr>
      <w:r>
        <w:rPr>
          <w:rFonts w:hint="eastAsia"/>
          <w:spacing w:val="-3"/>
          <w:sz w:val="28"/>
          <w:szCs w:val="28"/>
          <w:lang w:val="en-US" w:eastAsia="zh-CN"/>
        </w:rPr>
        <w:t>2.</w:t>
      </w:r>
      <w:r>
        <w:rPr>
          <w:spacing w:val="-3"/>
          <w:sz w:val="28"/>
          <w:szCs w:val="28"/>
        </w:rPr>
        <w:t>收集运输车辆要求</w:t>
      </w:r>
      <w:r>
        <w:rPr>
          <w:rFonts w:hint="eastAsia"/>
          <w:spacing w:val="-3"/>
          <w:sz w:val="28"/>
          <w:szCs w:val="28"/>
          <w:lang w:eastAsia="zh-CN"/>
        </w:rPr>
        <w:t>：</w:t>
      </w:r>
      <w:r>
        <w:rPr>
          <w:spacing w:val="-3"/>
          <w:sz w:val="28"/>
          <w:szCs w:val="28"/>
        </w:rPr>
        <w:t>供应商的运输车辆必须是医疗废物专用车辆，符合环保部门对医疗废物转运车的相关要求，营运车辆应持有有效的《道路运输证》、《机动车行驶证》，在法律规定的位置张贴了危险货物运输标志等安全警示标识。营运车辆应为冷藏密闭轻型专项医疗废物作业车，定期进行二级维护，达到一级评定标准。每车配备司机一名、押运员一名</w:t>
      </w:r>
      <w:r>
        <w:rPr>
          <w:rFonts w:hint="eastAsia"/>
          <w:spacing w:val="-3"/>
          <w:sz w:val="28"/>
          <w:szCs w:val="28"/>
          <w:lang w:eastAsia="zh-CN"/>
        </w:rPr>
        <w:t>。</w:t>
      </w:r>
    </w:p>
    <w:p>
      <w:pPr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548" w:firstLineChars="200"/>
        <w:jc w:val="left"/>
        <w:textAlignment w:val="auto"/>
        <w:rPr>
          <w:rFonts w:hint="eastAsia"/>
          <w:spacing w:val="-3"/>
          <w:sz w:val="28"/>
          <w:szCs w:val="28"/>
          <w:lang w:eastAsia="zh-CN"/>
        </w:rPr>
      </w:pPr>
      <w:r>
        <w:rPr>
          <w:rFonts w:hint="eastAsia"/>
          <w:spacing w:val="-3"/>
          <w:sz w:val="28"/>
          <w:szCs w:val="28"/>
          <w:lang w:val="en-US" w:eastAsia="zh-CN"/>
        </w:rPr>
        <w:t>3.</w:t>
      </w:r>
      <w:r>
        <w:rPr>
          <w:spacing w:val="-3"/>
          <w:sz w:val="28"/>
          <w:szCs w:val="28"/>
        </w:rPr>
        <w:t>收集运输模式</w:t>
      </w:r>
      <w:r>
        <w:rPr>
          <w:rFonts w:hint="eastAsia"/>
          <w:spacing w:val="-3"/>
          <w:sz w:val="28"/>
          <w:szCs w:val="28"/>
          <w:lang w:eastAsia="zh-CN"/>
        </w:rPr>
        <w:t>：</w:t>
      </w:r>
      <w:r>
        <w:rPr>
          <w:spacing w:val="-3"/>
          <w:sz w:val="28"/>
          <w:szCs w:val="28"/>
        </w:rPr>
        <w:t>每天派专人、专车，</w:t>
      </w:r>
      <w:r>
        <w:rPr>
          <w:rFonts w:hint="eastAsia"/>
          <w:spacing w:val="-3"/>
          <w:sz w:val="28"/>
          <w:szCs w:val="28"/>
          <w:lang w:val="en-US" w:eastAsia="zh-CN"/>
        </w:rPr>
        <w:t>晚上23：00前</w:t>
      </w:r>
      <w:r>
        <w:rPr>
          <w:spacing w:val="-3"/>
          <w:sz w:val="28"/>
          <w:szCs w:val="28"/>
        </w:rPr>
        <w:t>应到达医院医疗废物暂存点进行清运。装车收集办理完转运手续后，供应商对医疗废物负完全责任</w:t>
      </w:r>
      <w:r>
        <w:rPr>
          <w:rFonts w:hint="eastAsia"/>
          <w:spacing w:val="-3"/>
          <w:sz w:val="28"/>
          <w:szCs w:val="28"/>
          <w:lang w:eastAsia="zh-CN"/>
        </w:rPr>
        <w:t>。</w:t>
      </w:r>
    </w:p>
    <w:p>
      <w:pPr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548" w:firstLineChars="200"/>
        <w:jc w:val="left"/>
        <w:textAlignment w:val="auto"/>
        <w:rPr>
          <w:rFonts w:hint="eastAsia"/>
          <w:spacing w:val="-3"/>
          <w:sz w:val="28"/>
          <w:szCs w:val="28"/>
          <w:lang w:eastAsia="zh-CN"/>
        </w:rPr>
      </w:pPr>
      <w:r>
        <w:rPr>
          <w:rFonts w:hint="eastAsia"/>
          <w:spacing w:val="-3"/>
          <w:sz w:val="28"/>
          <w:szCs w:val="28"/>
          <w:lang w:val="en-US" w:eastAsia="zh-CN"/>
        </w:rPr>
        <w:t>4.</w:t>
      </w:r>
      <w:r>
        <w:rPr>
          <w:spacing w:val="-3"/>
          <w:sz w:val="28"/>
          <w:szCs w:val="28"/>
        </w:rPr>
        <w:t>随车作业人员要求</w:t>
      </w:r>
      <w:r>
        <w:rPr>
          <w:rFonts w:hint="eastAsia"/>
          <w:spacing w:val="-3"/>
          <w:sz w:val="28"/>
          <w:szCs w:val="28"/>
          <w:lang w:eastAsia="zh-CN"/>
        </w:rPr>
        <w:t>：</w:t>
      </w:r>
      <w:r>
        <w:rPr>
          <w:spacing w:val="-3"/>
          <w:sz w:val="28"/>
          <w:szCs w:val="28"/>
        </w:rPr>
        <w:t>供应商需为作业人员配置必要防护物品</w:t>
      </w:r>
      <w:r>
        <w:rPr>
          <w:rFonts w:hint="eastAsia"/>
          <w:spacing w:val="-3"/>
          <w:sz w:val="28"/>
          <w:szCs w:val="28"/>
          <w:lang w:eastAsia="zh-CN"/>
        </w:rPr>
        <w:t>，</w:t>
      </w:r>
      <w:r>
        <w:rPr>
          <w:spacing w:val="-3"/>
          <w:sz w:val="28"/>
          <w:szCs w:val="28"/>
        </w:rPr>
        <w:t>统一标牌，衣着整洁，备用反光服饰作业人员出车前要认真检查车辆和专用设备，确定车辆各部件完好、车容车貌整洁完好、专用标志整洁完整、警示标志齐全有效后方可出车作业</w:t>
      </w:r>
      <w:r>
        <w:rPr>
          <w:rFonts w:hint="eastAsia"/>
          <w:spacing w:val="-3"/>
          <w:sz w:val="28"/>
          <w:szCs w:val="28"/>
          <w:lang w:eastAsia="zh-CN"/>
        </w:rPr>
        <w:t>。</w:t>
      </w:r>
    </w:p>
    <w:p>
      <w:pPr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548" w:firstLineChars="200"/>
        <w:jc w:val="left"/>
        <w:textAlignment w:val="auto"/>
        <w:rPr>
          <w:rFonts w:hint="eastAsia"/>
          <w:spacing w:val="-5"/>
          <w:sz w:val="28"/>
          <w:szCs w:val="28"/>
          <w:lang w:eastAsia="zh-CN"/>
        </w:rPr>
      </w:pPr>
      <w:r>
        <w:rPr>
          <w:rFonts w:hint="eastAsia"/>
          <w:spacing w:val="-3"/>
          <w:sz w:val="28"/>
          <w:szCs w:val="28"/>
          <w:lang w:val="en-US" w:eastAsia="zh-CN"/>
        </w:rPr>
        <w:t>5.收运交接流程：</w:t>
      </w:r>
      <w:r>
        <w:rPr>
          <w:rFonts w:hint="eastAsia"/>
          <w:spacing w:val="-5"/>
          <w:sz w:val="28"/>
          <w:szCs w:val="28"/>
          <w:lang w:val="en-US" w:eastAsia="zh-CN"/>
        </w:rPr>
        <w:t>供应商</w:t>
      </w:r>
      <w:r>
        <w:rPr>
          <w:spacing w:val="-5"/>
          <w:sz w:val="28"/>
          <w:szCs w:val="28"/>
        </w:rPr>
        <w:t>应每天派医疗废物专用运输车到医院装运医疗废物，收取医院产生的医疗废物，保证医院暂存点医疗废物的储存时间不超过 48 小时（具体收运时间可双方后续进行协商确定）。对特殊高危医疗废物或医院需迎接检查需提前清运时，接医院电话告知后应及时专车清运。交接时双方按规定对医疗废物称重、清点数量，并进行交接签名，及时登录广州市固废系统填写医疗废物《转移联单》</w:t>
      </w:r>
      <w:r>
        <w:rPr>
          <w:rFonts w:hint="eastAsia"/>
          <w:spacing w:val="-5"/>
          <w:sz w:val="28"/>
          <w:szCs w:val="28"/>
          <w:lang w:eastAsia="zh-CN"/>
        </w:rPr>
        <w:t>。</w:t>
      </w:r>
    </w:p>
    <w:p>
      <w:pPr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468" w:firstLineChars="200"/>
        <w:jc w:val="left"/>
        <w:textAlignment w:val="auto"/>
        <w:rPr>
          <w:spacing w:val="-5"/>
          <w:sz w:val="28"/>
          <w:szCs w:val="28"/>
          <w:highlight w:val="none"/>
        </w:rPr>
      </w:pPr>
      <w:r>
        <w:rPr>
          <w:rFonts w:hint="eastAsia"/>
          <w:spacing w:val="-3"/>
          <w:sz w:val="24"/>
          <w:szCs w:val="24"/>
          <w:highlight w:val="none"/>
          <w:lang w:val="en-US" w:eastAsia="zh-CN"/>
        </w:rPr>
        <w:t xml:space="preserve"> 6.</w:t>
      </w:r>
      <w:r>
        <w:rPr>
          <w:spacing w:val="-7"/>
          <w:sz w:val="28"/>
          <w:szCs w:val="28"/>
          <w:highlight w:val="none"/>
        </w:rPr>
        <w:t>医院已启用医疗废物信息化管理，每日医疗废物产生量均已经过称重处理，若</w:t>
      </w:r>
      <w:r>
        <w:rPr>
          <w:rFonts w:hint="eastAsia"/>
          <w:spacing w:val="-7"/>
          <w:sz w:val="28"/>
          <w:szCs w:val="28"/>
          <w:highlight w:val="none"/>
          <w:lang w:val="en-US" w:eastAsia="zh-CN"/>
        </w:rPr>
        <w:t>供应商</w:t>
      </w:r>
      <w:r>
        <w:rPr>
          <w:spacing w:val="-7"/>
          <w:sz w:val="28"/>
          <w:szCs w:val="28"/>
          <w:highlight w:val="none"/>
        </w:rPr>
        <w:t>无法按规</w:t>
      </w:r>
      <w:r>
        <w:rPr>
          <w:spacing w:val="-5"/>
          <w:sz w:val="28"/>
          <w:szCs w:val="28"/>
          <w:highlight w:val="none"/>
        </w:rPr>
        <w:t>定对医疗废物称重、清点数量，应以医院称重量为准。</w:t>
      </w:r>
    </w:p>
    <w:p>
      <w:pPr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532" w:firstLineChars="200"/>
        <w:jc w:val="left"/>
        <w:textAlignment w:val="auto"/>
        <w:rPr>
          <w:spacing w:val="-7"/>
          <w:sz w:val="28"/>
          <w:szCs w:val="28"/>
        </w:rPr>
      </w:pPr>
      <w:r>
        <w:rPr>
          <w:rFonts w:hint="eastAsia"/>
          <w:spacing w:val="-7"/>
          <w:sz w:val="28"/>
          <w:szCs w:val="28"/>
          <w:lang w:val="en-US" w:eastAsia="zh-CN"/>
        </w:rPr>
        <w:t>7.供应商</w:t>
      </w:r>
      <w:r>
        <w:rPr>
          <w:spacing w:val="-7"/>
          <w:sz w:val="28"/>
          <w:szCs w:val="28"/>
        </w:rPr>
        <w:t>如果以不正当理由拒运医院医疗废物，由此所产生后果及损失由</w:t>
      </w:r>
      <w:r>
        <w:rPr>
          <w:rFonts w:hint="eastAsia"/>
          <w:spacing w:val="-7"/>
          <w:sz w:val="28"/>
          <w:szCs w:val="28"/>
          <w:lang w:eastAsia="zh-CN"/>
        </w:rPr>
        <w:t>供应商</w:t>
      </w:r>
      <w:r>
        <w:rPr>
          <w:spacing w:val="-7"/>
          <w:sz w:val="28"/>
          <w:szCs w:val="28"/>
        </w:rPr>
        <w:t>承担。或在运输途中出现医疗废物流失、扩散，造成的一切损失及后果均由</w:t>
      </w:r>
      <w:r>
        <w:rPr>
          <w:rFonts w:hint="eastAsia"/>
          <w:spacing w:val="-7"/>
          <w:sz w:val="28"/>
          <w:szCs w:val="28"/>
          <w:lang w:eastAsia="zh-CN"/>
        </w:rPr>
        <w:t>供应商</w:t>
      </w:r>
      <w:r>
        <w:rPr>
          <w:spacing w:val="-7"/>
          <w:sz w:val="28"/>
          <w:szCs w:val="28"/>
        </w:rPr>
        <w:t>承担。</w:t>
      </w:r>
    </w:p>
    <w:p>
      <w:pPr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532" w:firstLineChars="200"/>
        <w:jc w:val="left"/>
        <w:textAlignment w:val="auto"/>
        <w:rPr>
          <w:spacing w:val="-7"/>
          <w:sz w:val="28"/>
          <w:szCs w:val="28"/>
        </w:rPr>
      </w:pPr>
      <w:r>
        <w:rPr>
          <w:rFonts w:hint="eastAsia"/>
          <w:spacing w:val="-7"/>
          <w:sz w:val="28"/>
          <w:szCs w:val="28"/>
          <w:lang w:val="en-US" w:eastAsia="zh-CN"/>
        </w:rPr>
        <w:t>8.</w:t>
      </w:r>
      <w:r>
        <w:rPr>
          <w:rFonts w:hint="eastAsia"/>
          <w:spacing w:val="-7"/>
          <w:sz w:val="28"/>
          <w:szCs w:val="28"/>
          <w:lang w:eastAsia="zh-CN"/>
        </w:rPr>
        <w:t>供应商</w:t>
      </w:r>
      <w:r>
        <w:rPr>
          <w:spacing w:val="-7"/>
          <w:sz w:val="28"/>
          <w:szCs w:val="28"/>
        </w:rPr>
        <w:t>应有停电、机器设备故障等应急预案，确保每日医疗废物</w:t>
      </w:r>
      <w:r>
        <w:rPr>
          <w:rFonts w:hint="eastAsia"/>
          <w:spacing w:val="-7"/>
          <w:sz w:val="28"/>
          <w:szCs w:val="28"/>
          <w:lang w:val="en-US" w:eastAsia="zh-CN"/>
        </w:rPr>
        <w:t>正常</w:t>
      </w:r>
      <w:r>
        <w:rPr>
          <w:spacing w:val="-7"/>
          <w:sz w:val="28"/>
          <w:szCs w:val="28"/>
        </w:rPr>
        <w:t>处理。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line="360" w:lineRule="auto"/>
        <w:ind w:right="2516"/>
        <w:jc w:val="left"/>
        <w:textAlignment w:val="auto"/>
        <w:rPr>
          <w:sz w:val="28"/>
          <w:szCs w:val="28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line="360" w:lineRule="auto"/>
        <w:ind w:right="2516"/>
        <w:jc w:val="left"/>
        <w:textAlignment w:val="auto"/>
        <w:rPr>
          <w:sz w:val="28"/>
          <w:szCs w:val="28"/>
        </w:rPr>
      </w:pPr>
    </w:p>
    <w:p>
      <w:pPr>
        <w:pStyle w:val="2"/>
        <w:rPr>
          <w:sz w:val="28"/>
          <w:szCs w:val="28"/>
        </w:rPr>
      </w:pPr>
    </w:p>
    <w:p>
      <w:pPr>
        <w:pStyle w:val="2"/>
        <w:ind w:left="0" w:leftChars="0" w:firstLine="0" w:firstLineChars="0"/>
        <w:rPr>
          <w:sz w:val="28"/>
          <w:szCs w:val="28"/>
        </w:rPr>
      </w:pPr>
    </w:p>
    <w:p>
      <w:pPr>
        <w:pStyle w:val="3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jc w:val="center"/>
        <w:textAlignment w:val="auto"/>
        <w:rPr>
          <w:rFonts w:hint="eastAsia" w:ascii="仿宋" w:hAnsi="仿宋" w:eastAsia="仿宋" w:cs="仿宋"/>
          <w:b/>
          <w:bCs w:val="0"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仿宋"/>
          <w:b/>
          <w:bCs w:val="0"/>
          <w:kern w:val="2"/>
          <w:sz w:val="32"/>
          <w:szCs w:val="32"/>
          <w:lang w:val="zh-CN" w:eastAsia="zh-CN" w:bidi="ar-SA"/>
        </w:rPr>
        <w:t>广东省人民医院</w:t>
      </w:r>
      <w:r>
        <w:rPr>
          <w:rFonts w:hint="eastAsia" w:ascii="仿宋" w:hAnsi="仿宋" w:eastAsia="仿宋" w:cs="仿宋"/>
          <w:b/>
          <w:bCs w:val="0"/>
          <w:kern w:val="2"/>
          <w:sz w:val="32"/>
          <w:szCs w:val="32"/>
          <w:lang w:val="en-US" w:eastAsia="zh-CN" w:bidi="ar-SA"/>
        </w:rPr>
        <w:t>医疗废物转运处置服务</w:t>
      </w:r>
    </w:p>
    <w:p>
      <w:pPr>
        <w:pStyle w:val="3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jc w:val="center"/>
        <w:textAlignment w:val="auto"/>
        <w:rPr>
          <w:rFonts w:hint="eastAsia" w:ascii="仿宋" w:hAnsi="仿宋" w:eastAsia="仿宋" w:cs="仿宋"/>
          <w:b/>
          <w:bCs w:val="0"/>
          <w:kern w:val="2"/>
          <w:sz w:val="40"/>
          <w:szCs w:val="40"/>
          <w:lang w:val="en-US" w:eastAsia="zh-CN" w:bidi="ar-SA"/>
        </w:rPr>
      </w:pPr>
      <w:r>
        <w:rPr>
          <w:rFonts w:hint="eastAsia" w:ascii="仿宋" w:hAnsi="仿宋" w:eastAsia="仿宋" w:cs="仿宋"/>
          <w:b/>
          <w:bCs w:val="0"/>
          <w:kern w:val="2"/>
          <w:sz w:val="32"/>
          <w:szCs w:val="32"/>
          <w:lang w:val="zh-CN" w:eastAsia="zh-CN" w:bidi="ar-SA"/>
        </w:rPr>
        <w:t>采购项目</w:t>
      </w:r>
      <w:r>
        <w:rPr>
          <w:rFonts w:hint="eastAsia" w:ascii="仿宋" w:hAnsi="仿宋" w:eastAsia="仿宋" w:cs="仿宋"/>
          <w:b/>
          <w:bCs w:val="0"/>
          <w:kern w:val="2"/>
          <w:sz w:val="32"/>
          <w:szCs w:val="32"/>
          <w:lang w:val="en-US" w:eastAsia="zh-CN" w:bidi="ar-SA"/>
        </w:rPr>
        <w:t>市场调研报价表</w:t>
      </w:r>
    </w:p>
    <w:p>
      <w:pPr>
        <w:pStyle w:val="3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jc w:val="both"/>
        <w:textAlignment w:val="auto"/>
        <w:rPr>
          <w:rFonts w:hint="eastAsia" w:eastAsia="仿宋" w:cs="Times New Roman" w:asciiTheme="minorHAnsi" w:hAnsiTheme="minorHAnsi"/>
          <w:b w:val="0"/>
          <w:bCs w:val="0"/>
          <w:spacing w:val="-6"/>
          <w:kern w:val="0"/>
          <w:sz w:val="28"/>
          <w:szCs w:val="28"/>
          <w:vertAlign w:val="baseline"/>
          <w:lang w:val="en-US" w:eastAsia="zh-CN" w:bidi="ar-SA"/>
        </w:rPr>
      </w:pPr>
      <w:r>
        <w:rPr>
          <w:rFonts w:hint="eastAsia" w:eastAsia="仿宋" w:cs="Times New Roman" w:asciiTheme="minorHAnsi" w:hAnsiTheme="minorHAnsi"/>
          <w:b w:val="0"/>
          <w:bCs w:val="0"/>
          <w:spacing w:val="-6"/>
          <w:kern w:val="0"/>
          <w:sz w:val="28"/>
          <w:szCs w:val="28"/>
          <w:vertAlign w:val="baseline"/>
          <w:lang w:val="en-US" w:eastAsia="zh-CN" w:bidi="ar-SA"/>
        </w:rPr>
        <w:t>项 目名 称：</w:t>
      </w:r>
      <w:r>
        <w:rPr>
          <w:rFonts w:hint="eastAsia" w:eastAsia="仿宋" w:cs="Times New Roman" w:asciiTheme="minorHAnsi" w:hAnsiTheme="minorHAnsi"/>
          <w:b w:val="0"/>
          <w:bCs w:val="0"/>
          <w:spacing w:val="-6"/>
          <w:kern w:val="0"/>
          <w:sz w:val="28"/>
          <w:szCs w:val="28"/>
          <w:vertAlign w:val="baseline"/>
          <w:lang w:val="zh-CN" w:eastAsia="zh-CN" w:bidi="ar-SA"/>
        </w:rPr>
        <w:t>医院</w:t>
      </w:r>
      <w:r>
        <w:rPr>
          <w:rFonts w:hint="eastAsia" w:eastAsia="仿宋" w:cs="Times New Roman" w:asciiTheme="minorHAnsi" w:hAnsiTheme="minorHAnsi"/>
          <w:b w:val="0"/>
          <w:bCs w:val="0"/>
          <w:spacing w:val="-6"/>
          <w:kern w:val="0"/>
          <w:sz w:val="28"/>
          <w:szCs w:val="28"/>
          <w:vertAlign w:val="baseline"/>
          <w:lang w:val="en-US" w:eastAsia="zh-CN" w:bidi="ar-SA"/>
        </w:rPr>
        <w:t>医疗废物转运处置服务</w:t>
      </w:r>
      <w:r>
        <w:rPr>
          <w:rFonts w:hint="eastAsia" w:eastAsia="仿宋" w:cs="Times New Roman" w:asciiTheme="minorHAnsi" w:hAnsiTheme="minorHAnsi"/>
          <w:b w:val="0"/>
          <w:bCs w:val="0"/>
          <w:spacing w:val="-6"/>
          <w:kern w:val="0"/>
          <w:sz w:val="28"/>
          <w:szCs w:val="28"/>
          <w:vertAlign w:val="baseline"/>
          <w:lang w:val="zh-CN" w:eastAsia="zh-CN" w:bidi="ar-SA"/>
        </w:rPr>
        <w:t>采购项目</w:t>
      </w:r>
    </w:p>
    <w:p>
      <w:pPr>
        <w:pStyle w:val="9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1" w:after="0" w:afterAutospacing="1" w:line="380" w:lineRule="exact"/>
        <w:ind w:right="0"/>
        <w:textAlignment w:val="auto"/>
        <w:rPr>
          <w:rFonts w:hint="eastAsia"/>
          <w:sz w:val="28"/>
          <w:szCs w:val="28"/>
          <w:vertAlign w:val="baseline"/>
          <w:lang w:val="en-US" w:eastAsia="zh-CN"/>
        </w:rPr>
      </w:pPr>
      <w:r>
        <w:rPr>
          <w:rFonts w:hint="eastAsia"/>
          <w:sz w:val="28"/>
          <w:szCs w:val="28"/>
          <w:vertAlign w:val="baseline"/>
          <w:lang w:val="en-US" w:eastAsia="zh-CN"/>
        </w:rPr>
        <w:t>联系人姓名：</w:t>
      </w:r>
    </w:p>
    <w:p>
      <w:pPr>
        <w:pStyle w:val="9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1" w:after="0" w:afterAutospacing="1" w:line="380" w:lineRule="exact"/>
        <w:ind w:right="0"/>
        <w:textAlignment w:val="auto"/>
        <w:rPr>
          <w:rFonts w:hint="eastAsia"/>
          <w:sz w:val="28"/>
          <w:szCs w:val="28"/>
          <w:vertAlign w:val="baseline"/>
          <w:lang w:val="en-US" w:eastAsia="zh-CN"/>
        </w:rPr>
      </w:pPr>
      <w:r>
        <w:rPr>
          <w:rFonts w:hint="eastAsia"/>
          <w:sz w:val="28"/>
          <w:szCs w:val="28"/>
          <w:vertAlign w:val="baseline"/>
          <w:lang w:val="en-US" w:eastAsia="zh-CN"/>
        </w:rPr>
        <w:t>联系人电话：</w:t>
      </w:r>
    </w:p>
    <w:p>
      <w:pPr>
        <w:pStyle w:val="9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1" w:after="0" w:afterAutospacing="1" w:line="380" w:lineRule="exact"/>
        <w:ind w:right="0"/>
        <w:textAlignment w:val="auto"/>
        <w:rPr>
          <w:rFonts w:hint="eastAsia"/>
          <w:sz w:val="28"/>
          <w:szCs w:val="28"/>
          <w:vertAlign w:val="baseline"/>
          <w:lang w:val="en-US" w:eastAsia="zh-CN"/>
        </w:rPr>
      </w:pPr>
      <w:r>
        <w:rPr>
          <w:rFonts w:hint="eastAsia"/>
          <w:sz w:val="28"/>
          <w:szCs w:val="28"/>
          <w:vertAlign w:val="baseline"/>
          <w:lang w:val="en-US" w:eastAsia="zh-CN"/>
        </w:rPr>
        <w:t>联系人邮箱:</w:t>
      </w:r>
    </w:p>
    <w:p>
      <w:pPr>
        <w:pStyle w:val="9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1" w:after="0" w:afterAutospacing="1" w:line="380" w:lineRule="exact"/>
        <w:ind w:right="0"/>
        <w:textAlignment w:val="auto"/>
        <w:rPr>
          <w:rFonts w:hint="eastAsia"/>
          <w:sz w:val="28"/>
          <w:szCs w:val="28"/>
          <w:vertAlign w:val="baseline"/>
          <w:lang w:val="en-US" w:eastAsia="zh-CN"/>
        </w:rPr>
      </w:pPr>
      <w:r>
        <w:rPr>
          <w:rFonts w:hint="eastAsia"/>
          <w:sz w:val="28"/>
          <w:szCs w:val="28"/>
          <w:vertAlign w:val="baseline"/>
          <w:lang w:val="en-US" w:eastAsia="zh-CN"/>
        </w:rPr>
        <w:t>供应商名称：</w:t>
      </w:r>
    </w:p>
    <w:p>
      <w:pPr>
        <w:pStyle w:val="9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1" w:after="0" w:afterAutospacing="1" w:line="380" w:lineRule="exact"/>
        <w:ind w:right="0"/>
        <w:textAlignment w:val="auto"/>
        <w:rPr>
          <w:rFonts w:hint="eastAsia"/>
          <w:sz w:val="28"/>
          <w:szCs w:val="28"/>
          <w:vertAlign w:val="baseline"/>
          <w:lang w:val="en-US" w:eastAsia="zh-CN"/>
        </w:rPr>
      </w:pPr>
      <w:r>
        <w:rPr>
          <w:rFonts w:hint="eastAsia"/>
          <w:sz w:val="28"/>
          <w:szCs w:val="28"/>
          <w:vertAlign w:val="baseline"/>
          <w:lang w:val="en-US" w:eastAsia="zh-CN"/>
        </w:rPr>
        <w:t>特 别说 明：</w:t>
      </w:r>
    </w:p>
    <w:p>
      <w:pPr>
        <w:pStyle w:val="9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1" w:after="0" w:afterAutospacing="1" w:line="380" w:lineRule="exact"/>
        <w:ind w:right="0"/>
        <w:textAlignment w:val="auto"/>
        <w:rPr>
          <w:rFonts w:hint="default"/>
          <w:sz w:val="28"/>
          <w:szCs w:val="28"/>
          <w:vertAlign w:val="baseline"/>
          <w:lang w:val="en-US" w:eastAsia="zh-CN"/>
        </w:rPr>
      </w:pPr>
      <w:r>
        <w:rPr>
          <w:rFonts w:hint="eastAsia"/>
          <w:sz w:val="28"/>
          <w:szCs w:val="28"/>
          <w:vertAlign w:val="baseline"/>
          <w:lang w:val="en-US" w:eastAsia="zh-CN"/>
        </w:rPr>
        <w:t>1、是否提供危险废物经营许可证：</w:t>
      </w:r>
      <w:r>
        <w:rPr>
          <w:rFonts w:hint="eastAsia"/>
          <w:sz w:val="28"/>
          <w:szCs w:val="28"/>
          <w:vertAlign w:val="baseline"/>
          <w:lang w:val="en-US" w:eastAsia="zh-CN"/>
        </w:rPr>
        <w:sym w:font="Wingdings 2" w:char="00A3"/>
      </w:r>
      <w:r>
        <w:rPr>
          <w:rFonts w:hint="eastAsia"/>
          <w:sz w:val="28"/>
          <w:szCs w:val="28"/>
          <w:vertAlign w:val="baseline"/>
          <w:lang w:val="en-US" w:eastAsia="zh-CN"/>
        </w:rPr>
        <w:t xml:space="preserve">是 / </w:t>
      </w:r>
      <w:r>
        <w:rPr>
          <w:rFonts w:hint="eastAsia"/>
          <w:sz w:val="28"/>
          <w:szCs w:val="28"/>
          <w:vertAlign w:val="baseline"/>
          <w:lang w:val="en-US" w:eastAsia="zh-CN"/>
        </w:rPr>
        <w:sym w:font="Wingdings 2" w:char="00A3"/>
      </w:r>
      <w:r>
        <w:rPr>
          <w:rFonts w:hint="eastAsia"/>
          <w:sz w:val="28"/>
          <w:szCs w:val="28"/>
          <w:vertAlign w:val="baseline"/>
          <w:lang w:val="en-US" w:eastAsia="zh-CN"/>
        </w:rPr>
        <w:t>否（请</w:t>
      </w:r>
      <w:r>
        <w:rPr>
          <w:rFonts w:hint="eastAsia"/>
          <w:sz w:val="28"/>
          <w:szCs w:val="28"/>
          <w:vertAlign w:val="baseline"/>
          <w:lang w:val="en-US" w:eastAsia="zh-CN"/>
        </w:rPr>
        <w:sym w:font="Wingdings 2" w:char="00A3"/>
      </w:r>
      <w:r>
        <w:rPr>
          <w:rFonts w:hint="eastAsia"/>
          <w:sz w:val="28"/>
          <w:szCs w:val="28"/>
          <w:vertAlign w:val="baseline"/>
          <w:lang w:val="en-US" w:eastAsia="zh-CN"/>
        </w:rPr>
        <w:t>在打“</w:t>
      </w:r>
      <w:r>
        <w:rPr>
          <w:rFonts w:hint="default" w:ascii="Arial" w:hAnsi="Arial" w:cs="Arial"/>
          <w:sz w:val="28"/>
          <w:szCs w:val="28"/>
          <w:vertAlign w:val="baseline"/>
          <w:lang w:val="en-US" w:eastAsia="zh-CN"/>
        </w:rPr>
        <w:t>√</w:t>
      </w:r>
      <w:r>
        <w:rPr>
          <w:rFonts w:hint="eastAsia"/>
          <w:sz w:val="28"/>
          <w:szCs w:val="28"/>
          <w:vertAlign w:val="baseline"/>
          <w:lang w:val="en-US" w:eastAsia="zh-CN"/>
        </w:rPr>
        <w:t xml:space="preserve">”）   </w:t>
      </w:r>
    </w:p>
    <w:p>
      <w:pPr>
        <w:pStyle w:val="9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1" w:after="0" w:afterAutospacing="1" w:line="380" w:lineRule="exact"/>
        <w:ind w:right="0"/>
        <w:textAlignment w:val="auto"/>
        <w:rPr>
          <w:rFonts w:hint="default"/>
          <w:sz w:val="28"/>
          <w:szCs w:val="28"/>
          <w:vertAlign w:val="baseline"/>
          <w:lang w:val="en-US" w:eastAsia="zh-CN"/>
        </w:rPr>
      </w:pPr>
      <w:r>
        <w:rPr>
          <w:rFonts w:hint="eastAsia"/>
          <w:sz w:val="28"/>
          <w:szCs w:val="28"/>
          <w:vertAlign w:val="baseline"/>
          <w:lang w:val="en-US" w:eastAsia="zh-CN"/>
        </w:rPr>
        <w:t>2、是否提供危险货物运输经营许可证：</w:t>
      </w:r>
      <w:r>
        <w:rPr>
          <w:rFonts w:hint="eastAsia"/>
          <w:sz w:val="28"/>
          <w:szCs w:val="28"/>
          <w:vertAlign w:val="baseline"/>
          <w:lang w:val="en-US" w:eastAsia="zh-CN"/>
        </w:rPr>
        <w:sym w:font="Wingdings 2" w:char="00A3"/>
      </w:r>
      <w:r>
        <w:rPr>
          <w:rFonts w:hint="eastAsia"/>
          <w:sz w:val="28"/>
          <w:szCs w:val="28"/>
          <w:vertAlign w:val="baseline"/>
          <w:lang w:val="en-US" w:eastAsia="zh-CN"/>
        </w:rPr>
        <w:t xml:space="preserve">是 / </w:t>
      </w:r>
      <w:r>
        <w:rPr>
          <w:rFonts w:hint="eastAsia"/>
          <w:sz w:val="28"/>
          <w:szCs w:val="28"/>
          <w:vertAlign w:val="baseline"/>
          <w:lang w:val="en-US" w:eastAsia="zh-CN"/>
        </w:rPr>
        <w:sym w:font="Wingdings 2" w:char="00A3"/>
      </w:r>
      <w:r>
        <w:rPr>
          <w:rFonts w:hint="eastAsia"/>
          <w:sz w:val="28"/>
          <w:szCs w:val="28"/>
          <w:vertAlign w:val="baseline"/>
          <w:lang w:val="en-US" w:eastAsia="zh-CN"/>
        </w:rPr>
        <w:t>否（请</w:t>
      </w:r>
      <w:r>
        <w:rPr>
          <w:rFonts w:hint="eastAsia"/>
          <w:sz w:val="28"/>
          <w:szCs w:val="28"/>
          <w:vertAlign w:val="baseline"/>
          <w:lang w:val="en-US" w:eastAsia="zh-CN"/>
        </w:rPr>
        <w:sym w:font="Wingdings 2" w:char="00A3"/>
      </w:r>
      <w:r>
        <w:rPr>
          <w:rFonts w:hint="eastAsia"/>
          <w:sz w:val="28"/>
          <w:szCs w:val="28"/>
          <w:vertAlign w:val="baseline"/>
          <w:lang w:val="en-US" w:eastAsia="zh-CN"/>
        </w:rPr>
        <w:t>在打“</w:t>
      </w:r>
      <w:r>
        <w:rPr>
          <w:rFonts w:hint="default" w:ascii="Arial" w:hAnsi="Arial" w:cs="Arial"/>
          <w:sz w:val="28"/>
          <w:szCs w:val="28"/>
          <w:vertAlign w:val="baseline"/>
          <w:lang w:val="en-US" w:eastAsia="zh-CN"/>
        </w:rPr>
        <w:t>√</w:t>
      </w:r>
      <w:r>
        <w:rPr>
          <w:rFonts w:hint="eastAsia"/>
          <w:sz w:val="28"/>
          <w:szCs w:val="28"/>
          <w:vertAlign w:val="baseline"/>
          <w:lang w:val="en-US" w:eastAsia="zh-CN"/>
        </w:rPr>
        <w:t xml:space="preserve">”）  </w:t>
      </w:r>
    </w:p>
    <w:tbl>
      <w:tblPr>
        <w:tblStyle w:val="11"/>
        <w:tblW w:w="9239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945"/>
        <w:gridCol w:w="7294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46" w:hRule="atLeast"/>
          <w:jc w:val="center"/>
        </w:trPr>
        <w:tc>
          <w:tcPr>
            <w:tcW w:w="1945" w:type="dxa"/>
            <w:vAlign w:val="center"/>
          </w:tcPr>
          <w:p>
            <w:pPr>
              <w:pStyle w:val="9"/>
              <w:keepNext w:val="0"/>
              <w:keepLines w:val="0"/>
              <w:widowControl/>
              <w:suppressLineNumbers w:val="0"/>
              <w:spacing w:before="0" w:beforeAutospacing="1" w:after="0" w:afterAutospacing="1"/>
              <w:ind w:right="0"/>
              <w:jc w:val="center"/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  <w:t>总报价</w:t>
            </w:r>
          </w:p>
          <w:p>
            <w:pPr>
              <w:pStyle w:val="9"/>
              <w:keepNext w:val="0"/>
              <w:keepLines w:val="0"/>
              <w:widowControl/>
              <w:suppressLineNumbers w:val="0"/>
              <w:spacing w:before="0" w:beforeAutospacing="1" w:after="0" w:afterAutospacing="1"/>
              <w:ind w:right="0"/>
              <w:jc w:val="center"/>
              <w:rPr>
                <w:rFonts w:hint="default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  <w:t>（两年）</w:t>
            </w:r>
          </w:p>
        </w:tc>
        <w:tc>
          <w:tcPr>
            <w:tcW w:w="7294" w:type="dxa"/>
            <w:vAlign w:val="center"/>
          </w:tcPr>
          <w:p>
            <w:pPr>
              <w:pStyle w:val="9"/>
              <w:keepNext w:val="0"/>
              <w:keepLines w:val="0"/>
              <w:widowControl/>
              <w:suppressLineNumbers w:val="0"/>
              <w:spacing w:before="0" w:beforeAutospacing="1" w:after="0" w:afterAutospacing="1"/>
              <w:ind w:right="0"/>
              <w:jc w:val="left"/>
              <w:rPr>
                <w:rFonts w:hint="default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  <w:t>大写：人民币                  元整</w:t>
            </w:r>
          </w:p>
          <w:p>
            <w:pPr>
              <w:pStyle w:val="9"/>
              <w:keepNext w:val="0"/>
              <w:keepLines w:val="0"/>
              <w:widowControl/>
              <w:suppressLineNumbers w:val="0"/>
              <w:spacing w:before="0" w:beforeAutospacing="1" w:after="0" w:afterAutospacing="1"/>
              <w:ind w:right="0"/>
              <w:jc w:val="left"/>
              <w:rPr>
                <w:rFonts w:hint="default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  <w:t>（小写：</w:t>
            </w:r>
            <w:r>
              <w:rPr>
                <w:rFonts w:hint="eastAsia" w:ascii="宋体" w:hAnsi="宋体" w:eastAsia="宋体" w:cs="宋体"/>
                <w:sz w:val="24"/>
                <w:szCs w:val="24"/>
                <w:vertAlign w:val="baseline"/>
                <w:lang w:val="en-US" w:eastAsia="zh-CN"/>
              </w:rPr>
              <w:t>￥</w:t>
            </w:r>
            <w:r>
              <w:rPr>
                <w:rFonts w:hint="eastAsia"/>
                <w:sz w:val="24"/>
                <w:szCs w:val="24"/>
                <w:u w:val="single"/>
                <w:vertAlign w:val="baseline"/>
                <w:lang w:val="en-US" w:eastAsia="zh-CN"/>
              </w:rPr>
              <w:t xml:space="preserve">                      </w:t>
            </w:r>
            <w:r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  <w:t>元）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46" w:hRule="atLeast"/>
          <w:jc w:val="center"/>
        </w:trPr>
        <w:tc>
          <w:tcPr>
            <w:tcW w:w="1945" w:type="dxa"/>
            <w:vAlign w:val="center"/>
          </w:tcPr>
          <w:p>
            <w:pPr>
              <w:pStyle w:val="9"/>
              <w:keepNext w:val="0"/>
              <w:keepLines w:val="0"/>
              <w:widowControl/>
              <w:suppressLineNumbers w:val="0"/>
              <w:spacing w:before="0" w:beforeAutospacing="1" w:after="0" w:afterAutospacing="1"/>
              <w:ind w:right="0"/>
              <w:jc w:val="center"/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  <w:t>单价</w:t>
            </w:r>
          </w:p>
        </w:tc>
        <w:tc>
          <w:tcPr>
            <w:tcW w:w="7294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hd w:val="clear" w:color="auto" w:fill="FFFFFF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804" w:firstLineChars="300"/>
              <w:jc w:val="left"/>
              <w:textAlignment w:val="auto"/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cs="仿宋"/>
                <w:sz w:val="28"/>
                <w:szCs w:val="28"/>
                <w:u w:val="single"/>
                <w:lang w:val="en-US" w:eastAsia="zh-CN"/>
              </w:rPr>
              <w:t xml:space="preserve">      </w:t>
            </w:r>
            <w:r>
              <w:rPr>
                <w:rFonts w:hint="eastAsia" w:ascii="仿宋" w:hAnsi="仿宋" w:eastAsia="仿宋" w:cs="仿宋"/>
                <w:sz w:val="28"/>
                <w:szCs w:val="28"/>
                <w:lang w:val="en-US" w:eastAsia="zh-CN"/>
              </w:rPr>
              <w:t>元/公斤/床日。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46" w:hRule="atLeast"/>
          <w:jc w:val="center"/>
        </w:trPr>
        <w:tc>
          <w:tcPr>
            <w:tcW w:w="1945" w:type="dxa"/>
            <w:vAlign w:val="center"/>
          </w:tcPr>
          <w:p>
            <w:pPr>
              <w:pStyle w:val="9"/>
              <w:keepNext w:val="0"/>
              <w:keepLines w:val="0"/>
              <w:widowControl/>
              <w:suppressLineNumbers w:val="0"/>
              <w:spacing w:before="0" w:beforeAutospacing="1" w:after="0" w:afterAutospacing="1"/>
              <w:ind w:right="0"/>
              <w:jc w:val="center"/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lang w:val="en-US" w:eastAsia="zh-CN"/>
              </w:rPr>
              <w:t>超量部分</w:t>
            </w:r>
          </w:p>
        </w:tc>
        <w:tc>
          <w:tcPr>
            <w:tcW w:w="7294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hd w:val="clear" w:color="auto" w:fill="FFFFFF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804" w:firstLineChars="300"/>
              <w:jc w:val="left"/>
              <w:textAlignment w:val="auto"/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cs="仿宋"/>
                <w:sz w:val="28"/>
                <w:szCs w:val="28"/>
                <w:u w:val="single"/>
                <w:lang w:val="en-US" w:eastAsia="zh-CN"/>
              </w:rPr>
              <w:t xml:space="preserve">      </w:t>
            </w:r>
            <w:r>
              <w:rPr>
                <w:rFonts w:hint="eastAsia" w:ascii="仿宋" w:hAnsi="仿宋" w:eastAsia="仿宋" w:cs="仿宋"/>
                <w:sz w:val="28"/>
                <w:szCs w:val="28"/>
                <w:lang w:val="en-US" w:eastAsia="zh-CN"/>
              </w:rPr>
              <w:t>元/公斤的价格结算。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88" w:hRule="atLeast"/>
          <w:jc w:val="center"/>
        </w:trPr>
        <w:tc>
          <w:tcPr>
            <w:tcW w:w="1945" w:type="dxa"/>
            <w:vAlign w:val="center"/>
          </w:tcPr>
          <w:p>
            <w:pPr>
              <w:pStyle w:val="9"/>
              <w:keepNext w:val="0"/>
              <w:keepLines w:val="0"/>
              <w:widowControl/>
              <w:suppressLineNumbers w:val="0"/>
              <w:spacing w:before="0" w:beforeAutospacing="1" w:after="0" w:afterAutospacing="1"/>
              <w:ind w:right="0"/>
              <w:jc w:val="center"/>
              <w:rPr>
                <w:rFonts w:hint="default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  <w:t>说 明</w:t>
            </w:r>
          </w:p>
        </w:tc>
        <w:tc>
          <w:tcPr>
            <w:tcW w:w="7294" w:type="dxa"/>
            <w:vAlign w:val="center"/>
          </w:tcPr>
          <w:p>
            <w:pPr>
              <w:pStyle w:val="9"/>
              <w:keepNext w:val="0"/>
              <w:keepLines w:val="0"/>
              <w:widowControl/>
              <w:suppressLineNumbers w:val="0"/>
              <w:spacing w:before="0" w:beforeAutospacing="1" w:after="0" w:afterAutospacing="1"/>
              <w:ind w:right="0"/>
              <w:rPr>
                <w:rFonts w:hint="default"/>
                <w:sz w:val="36"/>
                <w:szCs w:val="36"/>
                <w:vertAlign w:val="baseline"/>
                <w:lang w:val="en-US" w:eastAsia="zh-CN"/>
              </w:rPr>
            </w:pPr>
          </w:p>
        </w:tc>
      </w:tr>
    </w:tbl>
    <w:p>
      <w:pPr>
        <w:pStyle w:val="2"/>
        <w:rPr>
          <w:rFonts w:hint="default" w:ascii="黑体" w:hAnsi="黑体" w:eastAsia="黑体" w:cs="黑体"/>
          <w:b w:val="0"/>
          <w:bCs w:val="0"/>
          <w:color w:val="FF0000"/>
          <w:sz w:val="24"/>
          <w:szCs w:val="24"/>
          <w:lang w:val="en-US" w:eastAsia="zh-CN"/>
        </w:rPr>
      </w:pPr>
    </w:p>
    <w:p>
      <w:pPr>
        <w:pStyle w:val="2"/>
        <w:ind w:left="0" w:leftChars="0" w:firstLine="0" w:firstLineChars="0"/>
        <w:rPr>
          <w:rFonts w:hint="default" w:cs="Times New Roman" w:asciiTheme="minorHAnsi" w:hAnsiTheme="minorHAnsi" w:eastAsiaTheme="minorEastAsia"/>
          <w:kern w:val="0"/>
          <w:sz w:val="28"/>
          <w:szCs w:val="28"/>
          <w:vertAlign w:val="baseline"/>
          <w:lang w:val="en-US" w:eastAsia="zh-CN" w:bidi="ar-SA"/>
        </w:rPr>
      </w:pPr>
    </w:p>
    <w:p>
      <w:pPr>
        <w:pStyle w:val="9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1" w:after="0" w:afterAutospacing="1" w:line="380" w:lineRule="exact"/>
        <w:ind w:right="0" w:firstLine="2412" w:firstLineChars="900"/>
        <w:textAlignment w:val="auto"/>
        <w:rPr>
          <w:rFonts w:hint="eastAsia"/>
          <w:sz w:val="28"/>
          <w:szCs w:val="28"/>
          <w:vertAlign w:val="baseline"/>
          <w:lang w:val="en-US" w:eastAsia="zh-CN"/>
        </w:rPr>
      </w:pPr>
      <w:r>
        <w:rPr>
          <w:rFonts w:hint="eastAsia"/>
          <w:sz w:val="28"/>
          <w:szCs w:val="28"/>
          <w:vertAlign w:val="baseline"/>
          <w:lang w:val="en-US" w:eastAsia="zh-CN"/>
        </w:rPr>
        <w:t>供应商（盖章）：</w:t>
      </w:r>
    </w:p>
    <w:p>
      <w:pPr>
        <w:pStyle w:val="9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1" w:after="0" w:afterAutospacing="1" w:line="380" w:lineRule="exact"/>
        <w:ind w:right="0" w:firstLine="2412" w:firstLineChars="900"/>
        <w:textAlignment w:val="auto"/>
        <w:rPr>
          <w:rFonts w:hint="eastAsia"/>
          <w:sz w:val="28"/>
          <w:szCs w:val="28"/>
          <w:vertAlign w:val="baseline"/>
          <w:lang w:val="en-US" w:eastAsia="zh-CN"/>
        </w:rPr>
      </w:pPr>
      <w:r>
        <w:rPr>
          <w:rFonts w:hint="eastAsia"/>
          <w:sz w:val="28"/>
          <w:szCs w:val="28"/>
          <w:vertAlign w:val="baseline"/>
          <w:lang w:val="en-US" w:eastAsia="zh-CN"/>
        </w:rPr>
        <w:t>日期：2022年    月    日</w:t>
      </w:r>
    </w:p>
    <w:sectPr>
      <w:pgSz w:w="11906" w:h="16838"/>
      <w:pgMar w:top="1157" w:right="1576" w:bottom="1157" w:left="1576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  <w:embedRegular r:id="rId1" w:fontKey="{CC546A84-8143-4CCC-9721-B8725B8745B8}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2" w:fontKey="{E8681C6B-66E7-446B-9A70-A3B8B0D017FE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EFF" w:usb1="C000247B" w:usb2="00000009" w:usb3="00000000" w:csb0="200001FF" w:csb1="00000000"/>
    <w:embedRegular r:id="rId3" w:fontKey="{4488D9E2-8925-477A-9026-317CBBE3FF4B}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4" w:fontKey="{C2782F9C-0A14-49CA-9B18-DC2E3AAC9D14}"/>
  </w:font>
  <w:font w:name="Wingdings 2">
    <w:panose1 w:val="05020102010507070707"/>
    <w:charset w:val="00"/>
    <w:family w:val="auto"/>
    <w:pitch w:val="default"/>
    <w:sig w:usb0="00000000" w:usb1="00000000" w:usb2="00000000" w:usb3="00000000" w:csb0="80000000" w:csb1="00000000"/>
    <w:embedRegular r:id="rId5" w:fontKey="{E7616681-5CBA-45D7-A51A-43D32DFE6024}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embedTrueTypeFonts/>
  <w:saveSubsetFonts/>
  <w:bordersDoNotSurroundHeader w:val="1"/>
  <w:bordersDoNotSurroundFooter w:val="1"/>
  <w:documentProtection w:enforcement="0"/>
  <w:defaultTabStop w:val="420"/>
  <w:drawingGridVerticalSpacing w:val="156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GNkYTgyOTdiYTJlMzgzZTQ0YmVlZGNmZWVkZGE1MmEifQ=="/>
  </w:docVars>
  <w:rsids>
    <w:rsidRoot w:val="00E13239"/>
    <w:rsid w:val="000604C6"/>
    <w:rsid w:val="001445E9"/>
    <w:rsid w:val="001727E0"/>
    <w:rsid w:val="00250411"/>
    <w:rsid w:val="005F28AF"/>
    <w:rsid w:val="006E0608"/>
    <w:rsid w:val="00840E89"/>
    <w:rsid w:val="008855B5"/>
    <w:rsid w:val="008B65FD"/>
    <w:rsid w:val="00A3107B"/>
    <w:rsid w:val="00A876D0"/>
    <w:rsid w:val="00C20255"/>
    <w:rsid w:val="00CE0CB5"/>
    <w:rsid w:val="00D40931"/>
    <w:rsid w:val="00DC520D"/>
    <w:rsid w:val="00E13239"/>
    <w:rsid w:val="00E615B1"/>
    <w:rsid w:val="00EB2578"/>
    <w:rsid w:val="017E5FA0"/>
    <w:rsid w:val="05023CFF"/>
    <w:rsid w:val="06F544D3"/>
    <w:rsid w:val="0A6C796F"/>
    <w:rsid w:val="0C335211"/>
    <w:rsid w:val="0FB010EE"/>
    <w:rsid w:val="11A749B9"/>
    <w:rsid w:val="13F509EA"/>
    <w:rsid w:val="14057A11"/>
    <w:rsid w:val="17F57830"/>
    <w:rsid w:val="1C3C6A05"/>
    <w:rsid w:val="1C872CDB"/>
    <w:rsid w:val="217A197F"/>
    <w:rsid w:val="2309327D"/>
    <w:rsid w:val="25145FD7"/>
    <w:rsid w:val="25C94B5D"/>
    <w:rsid w:val="26E87828"/>
    <w:rsid w:val="27030E16"/>
    <w:rsid w:val="284101E2"/>
    <w:rsid w:val="2AD16C23"/>
    <w:rsid w:val="2AD8135F"/>
    <w:rsid w:val="2EB437F4"/>
    <w:rsid w:val="31AC5A19"/>
    <w:rsid w:val="38CA5531"/>
    <w:rsid w:val="39D80B20"/>
    <w:rsid w:val="3EE528DE"/>
    <w:rsid w:val="3F447C1B"/>
    <w:rsid w:val="425F5B7C"/>
    <w:rsid w:val="43016ABA"/>
    <w:rsid w:val="47116AE2"/>
    <w:rsid w:val="47F953CA"/>
    <w:rsid w:val="4FC23D89"/>
    <w:rsid w:val="517C03B4"/>
    <w:rsid w:val="53A204EE"/>
    <w:rsid w:val="53D7502F"/>
    <w:rsid w:val="553A1452"/>
    <w:rsid w:val="597D250B"/>
    <w:rsid w:val="5B5C4EFD"/>
    <w:rsid w:val="60476A57"/>
    <w:rsid w:val="6137117B"/>
    <w:rsid w:val="62762F97"/>
    <w:rsid w:val="66D95112"/>
    <w:rsid w:val="6E917C7C"/>
    <w:rsid w:val="6F0F56B1"/>
    <w:rsid w:val="70551F49"/>
    <w:rsid w:val="780A3E23"/>
    <w:rsid w:val="7BB80C92"/>
    <w:rsid w:val="7C314F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nhideWhenUsed="0" w:uiPriority="1" w:semiHidden="0" w:name="heading 3"/>
    <w:lsdException w:qFormat="1" w:unhideWhenUsed="0" w:uiPriority="1" w:semiHidden="0" w:name="heading 4"/>
    <w:lsdException w:qFormat="1" w:unhideWhenUsed="0" w:uiPriority="1" w:semiHidden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qFormat="1" w:unhideWhenUsed="0" w:uiPriority="1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qFormat="1"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eastAsia="仿宋" w:cs="仿宋" w:asciiTheme="minorHAnsi" w:hAnsiTheme="minorHAnsi"/>
      <w:spacing w:val="-6"/>
      <w:kern w:val="2"/>
      <w:sz w:val="28"/>
      <w:szCs w:val="28"/>
      <w:lang w:val="en-US" w:eastAsia="zh-CN" w:bidi="ar-SA"/>
    </w:rPr>
  </w:style>
  <w:style w:type="paragraph" w:styleId="3">
    <w:name w:val="heading 1"/>
    <w:basedOn w:val="1"/>
    <w:next w:val="1"/>
    <w:qFormat/>
    <w:uiPriority w:val="0"/>
    <w:pPr>
      <w:spacing w:beforeAutospacing="1" w:afterAutospacing="1"/>
      <w:jc w:val="left"/>
      <w:outlineLvl w:val="0"/>
    </w:pPr>
    <w:rPr>
      <w:rFonts w:hint="eastAsia" w:ascii="宋体" w:hAnsi="宋体" w:eastAsia="宋体" w:cs="Times New Roman"/>
      <w:b/>
      <w:bCs/>
      <w:kern w:val="44"/>
      <w:sz w:val="48"/>
      <w:szCs w:val="48"/>
    </w:rPr>
  </w:style>
  <w:style w:type="paragraph" w:styleId="4">
    <w:name w:val="heading 3"/>
    <w:basedOn w:val="1"/>
    <w:next w:val="1"/>
    <w:qFormat/>
    <w:uiPriority w:val="1"/>
    <w:pPr>
      <w:outlineLvl w:val="3"/>
    </w:pPr>
    <w:rPr>
      <w:rFonts w:ascii="仿宋" w:hAnsi="仿宋" w:eastAsia="仿宋" w:cs="仿宋"/>
      <w:i/>
      <w:sz w:val="25"/>
      <w:szCs w:val="25"/>
      <w:lang w:val="zh-CN" w:eastAsia="zh-CN" w:bidi="zh-CN"/>
    </w:rPr>
  </w:style>
  <w:style w:type="paragraph" w:styleId="5">
    <w:name w:val="heading 4"/>
    <w:basedOn w:val="1"/>
    <w:next w:val="1"/>
    <w:qFormat/>
    <w:uiPriority w:val="1"/>
    <w:pPr>
      <w:ind w:left="231"/>
      <w:outlineLvl w:val="4"/>
    </w:pPr>
    <w:rPr>
      <w:rFonts w:ascii="仿宋" w:hAnsi="仿宋" w:eastAsia="仿宋" w:cs="仿宋"/>
      <w:b/>
      <w:bCs/>
      <w:sz w:val="24"/>
      <w:szCs w:val="24"/>
      <w:lang w:val="zh-CN" w:eastAsia="zh-CN" w:bidi="zh-CN"/>
    </w:rPr>
  </w:style>
  <w:style w:type="paragraph" w:styleId="6">
    <w:name w:val="heading 5"/>
    <w:basedOn w:val="1"/>
    <w:next w:val="1"/>
    <w:qFormat/>
    <w:uiPriority w:val="1"/>
    <w:pPr>
      <w:ind w:left="658"/>
      <w:outlineLvl w:val="5"/>
    </w:pPr>
    <w:rPr>
      <w:rFonts w:ascii="仿宋" w:hAnsi="仿宋" w:eastAsia="仿宋" w:cs="仿宋"/>
      <w:b/>
      <w:bCs/>
      <w:sz w:val="21"/>
      <w:szCs w:val="21"/>
      <w:lang w:val="zh-CN" w:eastAsia="zh-CN" w:bidi="zh-CN"/>
    </w:rPr>
  </w:style>
  <w:style w:type="character" w:default="1" w:styleId="12">
    <w:name w:val="Default Paragraph Font"/>
    <w:semiHidden/>
    <w:unhideWhenUsed/>
    <w:qFormat/>
    <w:uiPriority w:val="1"/>
  </w:style>
  <w:style w:type="table" w:default="1" w:styleId="10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1"/>
    <w:pPr>
      <w:ind w:left="658"/>
    </w:pPr>
    <w:rPr>
      <w:rFonts w:ascii="仿宋" w:hAnsi="仿宋" w:eastAsia="仿宋" w:cs="仿宋"/>
      <w:sz w:val="21"/>
      <w:szCs w:val="21"/>
      <w:lang w:val="zh-CN" w:eastAsia="zh-CN" w:bidi="zh-CN"/>
    </w:rPr>
  </w:style>
  <w:style w:type="paragraph" w:styleId="7">
    <w:name w:val="footer"/>
    <w:basedOn w:val="1"/>
    <w:link w:val="15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8">
    <w:name w:val="header"/>
    <w:basedOn w:val="1"/>
    <w:link w:val="14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9">
    <w:name w:val="Normal (Web)"/>
    <w:basedOn w:val="1"/>
    <w:qFormat/>
    <w:uiPriority w:val="0"/>
    <w:pPr>
      <w:spacing w:beforeAutospacing="1" w:afterAutospacing="1"/>
      <w:jc w:val="left"/>
    </w:pPr>
    <w:rPr>
      <w:rFonts w:cs="Times New Roman"/>
      <w:kern w:val="0"/>
      <w:sz w:val="24"/>
    </w:rPr>
  </w:style>
  <w:style w:type="table" w:styleId="11">
    <w:name w:val="Table Grid"/>
    <w:basedOn w:val="10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styleId="13">
    <w:name w:val="List Paragraph"/>
    <w:basedOn w:val="1"/>
    <w:qFormat/>
    <w:uiPriority w:val="34"/>
    <w:pPr>
      <w:ind w:firstLine="420" w:firstLineChars="200"/>
    </w:pPr>
    <w:rPr>
      <w:szCs w:val="22"/>
    </w:rPr>
  </w:style>
  <w:style w:type="character" w:customStyle="1" w:styleId="14">
    <w:name w:val="页眉 Char"/>
    <w:basedOn w:val="12"/>
    <w:link w:val="8"/>
    <w:qFormat/>
    <w:uiPriority w:val="0"/>
    <w:rPr>
      <w:rFonts w:asciiTheme="minorHAnsi" w:hAnsiTheme="minorHAnsi" w:eastAsiaTheme="minorEastAsia" w:cstheme="minorBidi"/>
      <w:kern w:val="2"/>
      <w:sz w:val="18"/>
      <w:szCs w:val="18"/>
    </w:rPr>
  </w:style>
  <w:style w:type="character" w:customStyle="1" w:styleId="15">
    <w:name w:val="页脚 Char"/>
    <w:basedOn w:val="12"/>
    <w:link w:val="7"/>
    <w:qFormat/>
    <w:uiPriority w:val="0"/>
    <w:rPr>
      <w:rFonts w:asciiTheme="minorHAnsi" w:hAnsiTheme="minorHAnsi" w:eastAsiaTheme="minorEastAsia" w:cstheme="minorBidi"/>
      <w:kern w:val="2"/>
      <w:sz w:val="18"/>
      <w:szCs w:val="18"/>
    </w:rPr>
  </w:style>
  <w:style w:type="paragraph" w:customStyle="1" w:styleId="16">
    <w:name w:val="Table Paragraph"/>
    <w:basedOn w:val="1"/>
    <w:qFormat/>
    <w:uiPriority w:val="1"/>
    <w:rPr>
      <w:rFonts w:ascii="仿宋" w:hAnsi="仿宋" w:eastAsia="仿宋" w:cs="仿宋"/>
      <w:lang w:val="zh-CN" w:eastAsia="zh-CN" w:bidi="zh-CN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5" Type="http://schemas.openxmlformats.org/officeDocument/2006/relationships/font" Target="fonts/font5.odttf"/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Win10NeT.COM</Company>
  <Pages>3</Pages>
  <Words>1481</Words>
  <Characters>1519</Characters>
  <Lines>4</Lines>
  <Paragraphs>1</Paragraphs>
  <TotalTime>9</TotalTime>
  <ScaleCrop>false</ScaleCrop>
  <LinksUpToDate>false</LinksUpToDate>
  <CharactersWithSpaces>1613</CharactersWithSpaces>
  <Application>WPS Office_11.1.0.11875_F1E327BC-269C-435d-A152-05C5408002CA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2021-08-19T08:17:00Z</dcterms:created>
  <dc:creator>ykt</dc:creator>
  <cp:lastModifiedBy>建中</cp:lastModifiedBy>
  <dcterms:modified xsi:type="dcterms:W3CDTF">2022-07-27T10:02:53Z</dcterms:modified>
  <cp:revision>9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2052-11.1.0.11875</vt:lpwstr>
  </property>
  <property fmtid="{D5CDD505-2E9C-101B-9397-08002B2CF9AE}" pid="3" name="KSOSaveFontToCloudKey">
    <vt:lpwstr>249816364_cloud</vt:lpwstr>
  </property>
  <property fmtid="{D5CDD505-2E9C-101B-9397-08002B2CF9AE}" pid="4" name="ICV">
    <vt:lpwstr>1C37EF8E1842445F86844EBFEB847A28</vt:lpwstr>
  </property>
</Properties>
</file>