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441701-2022-01529</w:t>
      </w:r>
    </w:p>
    <w:p>
      <w:pPr>
        <w:jc w:val="center"/>
      </w:pPr>
      <w:r>
        <w:rPr>
          <w:b/>
          <w:sz w:val="24"/>
        </w:rPr>
        <w:t>采购项目编号：</w:t>
      </w:r>
      <w:r>
        <w:rPr>
          <w:b/>
          <w:sz w:val="24"/>
        </w:rPr>
        <w:t>0877-22GZTP01N516</w:t>
      </w:r>
    </w:p>
    <w:p>
      <w:pPr>
        <w:jc w:val="center"/>
      </w:pPr>
      <w:r>
        <w:rPr>
          <w:b/>
          <w:sz w:val="24"/>
        </w:rPr>
        <w:t>项目名称：</w:t>
      </w:r>
      <w:r>
        <w:rPr>
          <w:b/>
          <w:sz w:val="24"/>
        </w:rPr>
        <w:t>阳江市人民医院医疗设备采购项目（22-8）</w:t>
      </w:r>
    </w:p>
    <w:p>
      <w:pPr>
        <w:jc w:val="center"/>
      </w:pPr>
      <w:r>
        <w:rPr>
          <w:b/>
          <w:sz w:val="24"/>
        </w:rPr>
        <w:t>采购人：</w:t>
      </w:r>
      <w:r>
        <w:rPr>
          <w:b/>
          <w:sz w:val="24"/>
        </w:rPr>
        <w:t>阳江市人民医院</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第一章投标邀请</w:t>
      </w:r>
    </w:p>
    <w:p>
      <w:pPr>
        <w:ind w:firstLine="480"/>
      </w:pPr>
      <w:r>
        <w:rPr/>
        <w:t>广东广招招标采购有限公司</w:t>
      </w:r>
      <w:r>
        <w:rPr/>
        <w:t>受</w:t>
      </w:r>
      <w:r>
        <w:rPr/>
        <w:t>阳江市人民医院</w:t>
      </w:r>
      <w:r>
        <w:rPr/>
        <w:t>的委托，采用</w:t>
      </w:r>
      <w:r>
        <w:rPr/>
        <w:t>公开招标</w:t>
      </w:r>
      <w:r>
        <w:rPr/>
        <w:t>方式组织采购</w:t>
      </w:r>
      <w:r>
        <w:rPr/>
        <w:t>阳江市人民医院医疗设备采购项目（22-8）</w:t>
      </w:r>
      <w:r>
        <w:rPr/>
        <w:t>。欢迎符合资格条件的国内供应商参加投标。</w:t>
      </w:r>
    </w:p>
    <w:p>
      <w:r>
        <w:rPr>
          <w:b/>
          <w:sz w:val="28"/>
        </w:rPr>
        <w:t>一.项目概述</w:t>
      </w:r>
    </w:p>
    <w:p>
      <w:r>
        <w:rPr>
          <w:b/>
          <w:sz w:val="24"/>
        </w:rPr>
        <w:t>1.名称与编号</w:t>
      </w:r>
    </w:p>
    <w:p>
      <w:pPr>
        <w:ind w:firstLine="480"/>
      </w:pPr>
      <w:r>
        <w:rPr/>
        <w:t>项目名称：</w:t>
      </w:r>
      <w:r>
        <w:rPr/>
        <w:t>阳江市人民医院医疗设备采购项目（22-8）</w:t>
      </w:r>
    </w:p>
    <w:p>
      <w:pPr>
        <w:ind w:firstLine="480"/>
      </w:pPr>
      <w:r>
        <w:rPr/>
        <w:t>采购计划编号：</w:t>
      </w:r>
      <w:r>
        <w:rPr/>
        <w:t>441701-2022-01529</w:t>
      </w:r>
    </w:p>
    <w:p>
      <w:pPr>
        <w:ind w:firstLine="480"/>
      </w:pPr>
      <w:r>
        <w:rPr/>
        <w:t>采购项目编号：</w:t>
      </w:r>
      <w:r>
        <w:rPr/>
        <w:t>0877-22GZTP01N516</w:t>
      </w:r>
    </w:p>
    <w:p>
      <w:pPr>
        <w:ind w:firstLine="480"/>
      </w:pPr>
      <w:r>
        <w:rPr/>
        <w:t>采购方式：</w:t>
      </w:r>
      <w:r>
        <w:rPr/>
        <w:t>公开招标</w:t>
      </w:r>
    </w:p>
    <w:p>
      <w:pPr>
        <w:ind w:firstLine="480"/>
      </w:pPr>
      <w:r>
        <w:rPr/>
        <w:t>预算金额：</w:t>
      </w:r>
      <w:r>
        <w:rPr/>
        <w:t>2,000,000.00</w:t>
      </w:r>
      <w:r>
        <w:rPr/>
        <w:t>元</w:t>
      </w:r>
    </w:p>
    <w:p>
      <w:r>
        <w:rPr>
          <w:b/>
          <w:sz w:val="24"/>
        </w:rPr>
        <w:t>2.项目内容及需求情况（采购项目技术规格、参数及要求）</w:t>
      </w:r>
    </w:p>
    <w:p>
      <w:pPr>
        <w:ind w:firstLine="480"/>
      </w:pPr>
    </w:p>
    <w:p/>
    <w:p>
      <w:r>
        <w:rPr/>
        <w:t>采购包1(放射治疗计划系统):</w:t>
      </w:r>
    </w:p>
    <w:p>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其他医疗设备</w:t>
            </w:r>
          </w:p>
        </w:tc>
        <w:tc>
          <w:tcPr>
            <w:tcW w:type="dxa" w:w="2136"/>
          </w:tcPr>
          <w:p>
            <w:r>
              <w:rPr/>
              <w:t>放射治疗计划系统</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合同履行期限：在合同签订生效后30天内完成安装工作，交付用户方使用。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2）有依法缴纳税收和社会保障资金的良好记录：提供2021年7月至今任意1个月依法缴纳税收和社会保障资金的相关材料。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财务状况报告或2021年7月至今任意一个月的财务报表复印件；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5）参加采购活动前3年内，在经营活动中没有重大违法记录：参加政府采购活动前3年内在经营活动中没有重大违法记录的书面声明。</w:t>
      </w:r>
    </w:p>
    <w:p/>
    <w:p>
      <w:r>
        <w:rPr>
          <w:b/>
          <w:sz w:val="24"/>
        </w:rPr>
        <w:t>2.落实政府采购政策需满足的资格要求：</w:t>
      </w:r>
    </w:p>
    <w:p>
      <w:pPr>
        <w:ind w:firstLine="480"/>
      </w:pPr>
    </w:p>
    <w:p>
      <w:pPr>
        <w:jc w:val="left"/>
      </w:pPr>
    </w:p>
    <w:p>
      <w:r>
        <w:rPr/>
        <w:t>采购包1（放射治疗计划系统）：</w:t>
      </w:r>
      <w:r>
        <w:rPr/>
        <w:t>本项目非专门面向中小企业采购的项目。</w:t>
      </w:r>
    </w:p>
    <w:p/>
    <w:p>
      <w:r>
        <w:rPr>
          <w:b/>
          <w:sz w:val="24"/>
        </w:rPr>
        <w:t>3.本项目特定的资格要求：</w:t>
      </w:r>
    </w:p>
    <w:p>
      <w:pPr>
        <w:ind w:firstLine="480"/>
      </w:pPr>
    </w:p>
    <w:p/>
    <w:p>
      <w:r>
        <w:rPr/>
        <w:t>采购包1（放射治疗计划系统）：</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3)投标人须具有医疗器械生产许可证或医疗器械经营许可证或医疗器械经营备案凭证。</w:t>
      </w:r>
    </w:p>
    <w:p/>
    <w:p>
      <w:r>
        <w:rPr/>
        <w:t>4)如所投产品隶属于医疗器械，则必须提供有效的《医疗器械注册证明》复印件。</w:t>
      </w:r>
    </w:p>
    <w:p/>
    <w:p>
      <w:r>
        <w:rPr/>
        <w:t>5)本项目不接受联合体投标。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阳江市人民医院</w:t>
      </w:r>
    </w:p>
    <w:p>
      <w:pPr>
        <w:ind w:firstLine="480"/>
      </w:pPr>
      <w:r>
        <w:rPr/>
        <w:t>地址：</w:t>
      </w:r>
      <w:r>
        <w:rPr/>
        <w:t>阳江市江城区东山路42号</w:t>
      </w:r>
    </w:p>
    <w:p>
      <w:pPr>
        <w:ind w:firstLine="480"/>
      </w:pPr>
      <w:r>
        <w:rPr/>
        <w:t>联系方式：</w:t>
      </w:r>
      <w:r>
        <w:rPr/>
        <w:t>0662-3282109</w:t>
      </w:r>
    </w:p>
    <w:p>
      <w:r>
        <w:rPr>
          <w:b/>
          <w:sz w:val="24"/>
        </w:rPr>
        <w:t>2.采购代理机构信息</w:t>
      </w:r>
    </w:p>
    <w:p>
      <w:pPr>
        <w:ind w:firstLine="480"/>
      </w:pPr>
      <w:r>
        <w:rPr/>
        <w:t>名称：</w:t>
      </w:r>
      <w:r>
        <w:rPr/>
        <w:t>广东广招招标采购有限公司</w:t>
      </w:r>
    </w:p>
    <w:p>
      <w:pPr>
        <w:ind w:firstLine="480"/>
      </w:pPr>
      <w:r>
        <w:rPr/>
        <w:t>地址：</w:t>
      </w:r>
      <w:r>
        <w:rPr/>
        <w:t>阳江市江城区东风二路东怡花园8幢50号</w:t>
      </w:r>
    </w:p>
    <w:p>
      <w:pPr>
        <w:ind w:firstLine="480"/>
      </w:pPr>
      <w:r>
        <w:rPr/>
        <w:t>联系方式：</w:t>
      </w:r>
      <w:r>
        <w:rPr/>
        <w:t>0662-3305822</w:t>
      </w:r>
    </w:p>
    <w:p>
      <w:r>
        <w:rPr>
          <w:b/>
          <w:sz w:val="24"/>
        </w:rPr>
        <w:t>3.项目联系方式</w:t>
      </w:r>
    </w:p>
    <w:p>
      <w:pPr>
        <w:ind w:firstLine="480"/>
      </w:pPr>
      <w:r>
        <w:rPr/>
        <w:t>项目联系人：</w:t>
      </w:r>
      <w:r>
        <w:rPr/>
        <w:t>陈工，王工</w:t>
      </w:r>
    </w:p>
    <w:p>
      <w:pPr>
        <w:ind w:firstLine="480"/>
      </w:pPr>
      <w:r>
        <w:rPr/>
        <w:t>电话：</w:t>
      </w:r>
      <w:r>
        <w:rPr/>
        <w:t>0662-3305822</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（一）有关说明</w:t>
      </w:r>
    </w:p>
    <w:p>
      <w:r>
        <w:rPr/>
        <w:t>1、投标人须对本项目的货物及服务进行整体投标，任何只对本项目其中一部分内容进行的投标都被视为无效投标。</w:t>
      </w:r>
    </w:p>
    <w:p>
      <w:r>
        <w:rPr/>
        <w:t>2、用户需求书中“★”号条款为实质性条款，必须逐条进行响应，有任何一条负偏离的，将导致无效投标。</w:t>
      </w:r>
    </w:p>
    <w:p>
      <w:r>
        <w:rPr/>
        <w:t>3、用户需求书中“▲”号条款为重要技术参数，投标人若有部分“▲”条款未响应或不满足，将导致其响应性评审加重扣分，但不作为无效投标条款。</w:t>
      </w:r>
    </w:p>
    <w:p>
      <w:r>
        <w:rPr/>
        <w:t>（二）采购项目内容：</w:t>
      </w:r>
    </w:p>
    <w:tbl>
      <w:tblPr>
        <w:tblW w:w="0" w:type="auto"/>
        <w:tblInd w:type="dxa" w:w="840"/>
        <w:tblBorders>
          <w:top w:val="none" w:color="000000" w:sz="4"/>
          <w:left w:val="none" w:color="000000" w:sz="4"/>
          <w:bottom w:val="none" w:color="000000" w:sz="4"/>
          <w:right w:val="none" w:color="000000" w:sz="4"/>
          <w:insideH w:val="none"/>
          <w:insideV w:val="none"/>
        </w:tblBorders>
      </w:tblPr>
      <w:tblGrid>
        <w:gridCol w:w="832"/>
        <w:gridCol w:w="1755"/>
        <w:gridCol w:w="696"/>
        <w:gridCol w:w="3041"/>
        <w:gridCol w:w="1982"/>
      </w:tblGrid>
      <w:tr>
        <w:tc>
          <w:tcPr>
            <w:tcW w:type="dxa" w:w="83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755"/>
            <w:tcBorders>
              <w:top w:val="single" w:color="000000" w:sz="4"/>
              <w:left w:val="single" w:color="000000" w:sz="4"/>
              <w:bottom w:val="single" w:color="000000" w:sz="4"/>
              <w:right w:val="single" w:color="000000" w:sz="4"/>
            </w:tcBorders>
            <w:vAlign w:val="top"/>
          </w:tcPr>
          <w:p>
            <w:pPr>
              <w:jc w:val="center"/>
            </w:pPr>
            <w:r>
              <w:rPr>
                <w:b/>
                <w:sz w:val="21"/>
              </w:rPr>
              <w:t>采购内容</w:t>
            </w:r>
          </w:p>
        </w:tc>
        <w:tc>
          <w:tcPr>
            <w:tcW w:type="dxa" w:w="696"/>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3041"/>
            <w:tcBorders>
              <w:top w:val="single" w:color="000000" w:sz="4"/>
              <w:left w:val="single" w:color="000000" w:sz="4"/>
              <w:bottom w:val="single" w:color="000000" w:sz="4"/>
              <w:right w:val="single" w:color="000000" w:sz="4"/>
            </w:tcBorders>
            <w:vAlign w:val="top"/>
          </w:tcPr>
          <w:p>
            <w:pPr>
              <w:jc w:val="center"/>
            </w:pPr>
            <w:r>
              <w:rPr>
                <w:b/>
                <w:sz w:val="21"/>
              </w:rPr>
              <w:t>交货期</w:t>
            </w:r>
          </w:p>
        </w:tc>
        <w:tc>
          <w:tcPr>
            <w:tcW w:type="dxa" w:w="1982"/>
            <w:tcBorders>
              <w:top w:val="single" w:color="000000" w:sz="4"/>
              <w:left w:val="single" w:color="000000" w:sz="4"/>
              <w:bottom w:val="single" w:color="000000" w:sz="4"/>
              <w:right w:val="single" w:color="000000" w:sz="4"/>
            </w:tcBorders>
            <w:vAlign w:val="top"/>
          </w:tcPr>
          <w:p>
            <w:pPr>
              <w:jc w:val="center"/>
            </w:pPr>
            <w:r>
              <w:rPr>
                <w:b/>
                <w:sz w:val="21"/>
              </w:rPr>
              <w:t>最高限价</w:t>
            </w:r>
          </w:p>
        </w:tc>
      </w:tr>
      <w:tr>
        <w:tc>
          <w:tcPr>
            <w:tcW w:type="dxa" w:w="83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755"/>
            <w:tcBorders>
              <w:top w:val="none" w:color="000000" w:sz="4"/>
              <w:left w:val="single" w:color="000000" w:sz="4"/>
              <w:bottom w:val="single" w:color="000000" w:sz="4"/>
              <w:right w:val="single" w:color="000000" w:sz="4"/>
            </w:tcBorders>
            <w:vAlign w:val="top"/>
          </w:tcPr>
          <w:p>
            <w:pPr>
              <w:jc w:val="center"/>
            </w:pPr>
            <w:r>
              <w:rPr>
                <w:sz w:val="21"/>
              </w:rPr>
              <w:t>放射治疗计划系统</w:t>
            </w:r>
          </w:p>
        </w:tc>
        <w:tc>
          <w:tcPr>
            <w:tcW w:type="dxa" w:w="696"/>
            <w:tcBorders>
              <w:top w:val="none" w:color="000000" w:sz="4"/>
              <w:left w:val="single" w:color="000000" w:sz="4"/>
              <w:bottom w:val="single" w:color="000000" w:sz="4"/>
              <w:right w:val="single" w:color="000000" w:sz="4"/>
            </w:tcBorders>
            <w:vAlign w:val="top"/>
          </w:tcPr>
          <w:p>
            <w:pPr>
              <w:jc w:val="center"/>
            </w:pPr>
            <w:r>
              <w:rPr>
                <w:sz w:val="21"/>
              </w:rPr>
              <w:t>1</w:t>
            </w:r>
            <w:r>
              <w:rPr>
                <w:sz w:val="21"/>
              </w:rPr>
              <w:t>套</w:t>
            </w:r>
          </w:p>
        </w:tc>
        <w:tc>
          <w:tcPr>
            <w:tcW w:type="dxa" w:w="3041"/>
            <w:tcBorders>
              <w:top w:val="none" w:color="000000" w:sz="4"/>
              <w:left w:val="single" w:color="000000" w:sz="4"/>
              <w:bottom w:val="single" w:color="000000" w:sz="4"/>
              <w:right w:val="single" w:color="000000" w:sz="4"/>
            </w:tcBorders>
            <w:vAlign w:val="top"/>
          </w:tcPr>
          <w:p>
            <w:pPr>
              <w:jc w:val="center"/>
            </w:pPr>
            <w:r>
              <w:rPr>
                <w:sz w:val="21"/>
              </w:rPr>
              <w:t>在合同签订生效后</w:t>
            </w:r>
            <w:r>
              <w:rPr>
                <w:sz w:val="21"/>
              </w:rPr>
              <w:t>30天内完成安装工作，交付用户方使用。</w:t>
            </w:r>
          </w:p>
        </w:tc>
        <w:tc>
          <w:tcPr>
            <w:tcW w:type="dxa" w:w="1982"/>
            <w:tcBorders>
              <w:top w:val="none" w:color="000000" w:sz="4"/>
              <w:left w:val="single" w:color="000000" w:sz="4"/>
              <w:bottom w:val="single" w:color="000000" w:sz="4"/>
              <w:right w:val="single" w:color="000000" w:sz="4"/>
            </w:tcBorders>
            <w:vAlign w:val="top"/>
          </w:tcPr>
          <w:p>
            <w:pPr>
              <w:jc w:val="center"/>
            </w:pPr>
            <w:r>
              <w:rPr>
                <w:sz w:val="21"/>
              </w:rPr>
              <w:t>人民币</w:t>
            </w:r>
            <w:r>
              <w:rPr>
                <w:sz w:val="21"/>
              </w:rPr>
              <w:t>200万元</w:t>
            </w:r>
          </w:p>
        </w:tc>
      </w:tr>
    </w:tbl>
    <w:p>
      <w:pPr>
        <w:ind w:firstLine="420"/>
        <w:jc w:val="both"/>
      </w:pPr>
      <w:r>
        <w:rPr>
          <w:sz w:val="21"/>
        </w:rPr>
        <w:t>注：</w:t>
      </w:r>
      <w:r>
        <w:rPr>
          <w:sz w:val="21"/>
        </w:rPr>
        <w:t>（</w:t>
      </w:r>
      <w:r>
        <w:rPr>
          <w:sz w:val="21"/>
        </w:rPr>
        <w:t>1</w:t>
      </w:r>
      <w:r>
        <w:rPr>
          <w:sz w:val="21"/>
        </w:rPr>
        <w:t>）</w:t>
      </w:r>
      <w:r>
        <w:rPr>
          <w:sz w:val="21"/>
        </w:rPr>
        <w:t>其他详见招标文件第二部分</w:t>
      </w:r>
      <w:r>
        <w:rPr>
          <w:sz w:val="21"/>
        </w:rPr>
        <w:t>“采购需求”；</w:t>
      </w:r>
    </w:p>
    <w:p>
      <w:pPr>
        <w:ind w:firstLine="420"/>
        <w:jc w:val="both"/>
      </w:pPr>
      <w:r>
        <w:rPr>
          <w:sz w:val="21"/>
        </w:rPr>
        <w:t>（</w:t>
      </w:r>
      <w:r>
        <w:rPr>
          <w:sz w:val="21"/>
        </w:rPr>
        <w:t>2</w:t>
      </w:r>
      <w:r>
        <w:rPr>
          <w:sz w:val="21"/>
        </w:rPr>
        <w:t>）</w:t>
      </w:r>
      <w:r>
        <w:rPr>
          <w:sz w:val="21"/>
        </w:rPr>
        <w:t>经政府采购管理部门</w:t>
      </w:r>
      <w:r>
        <w:rPr>
          <w:color w:val="000000"/>
          <w:sz w:val="21"/>
        </w:rPr>
        <w:t>同意</w:t>
      </w:r>
      <w:r>
        <w:rPr>
          <w:sz w:val="21"/>
        </w:rPr>
        <w:t>，</w:t>
      </w:r>
      <w:r>
        <w:rPr>
          <w:sz w:val="21"/>
        </w:rPr>
        <w:t>放射治疗计划系统</w:t>
      </w:r>
      <w:r>
        <w:rPr>
          <w:sz w:val="21"/>
        </w:rPr>
        <w:t>采购本国产品或不属于国家法律法规政策明确规定限制的进口产品；</w:t>
      </w:r>
    </w:p>
    <w:p>
      <w:pPr>
        <w:ind w:firstLine="420"/>
        <w:jc w:val="both"/>
      </w:pPr>
      <w:r>
        <w:rPr>
          <w:sz w:val="21"/>
        </w:rPr>
        <w:t>（</w:t>
      </w:r>
      <w:r>
        <w:rPr>
          <w:sz w:val="21"/>
        </w:rPr>
        <w:t>3</w:t>
      </w:r>
      <w:r>
        <w:rPr>
          <w:sz w:val="21"/>
        </w:rPr>
        <w:t>）</w:t>
      </w:r>
      <w:r>
        <w:rPr>
          <w:sz w:val="21"/>
        </w:rPr>
        <w:t>投标人须对本项目的所有内容进行投标，不允许只对部分内容进行投标</w:t>
      </w:r>
      <w:r>
        <w:rPr>
          <w:sz w:val="21"/>
        </w:rPr>
        <w:t>；</w:t>
      </w:r>
    </w:p>
    <w:p>
      <w:pPr>
        <w:ind w:firstLine="420"/>
        <w:jc w:val="both"/>
      </w:pPr>
      <w:r>
        <w:rPr>
          <w:sz w:val="21"/>
        </w:rPr>
        <w:t>（</w:t>
      </w:r>
      <w:r>
        <w:rPr>
          <w:sz w:val="21"/>
        </w:rPr>
        <w:t>4</w:t>
      </w:r>
      <w:r>
        <w:rPr>
          <w:sz w:val="21"/>
        </w:rPr>
        <w:t>）</w:t>
      </w:r>
      <w:r>
        <w:rPr>
          <w:sz w:val="21"/>
        </w:rPr>
        <w:t>品目名称：其他医疗设备</w:t>
      </w:r>
      <w:r>
        <w:rPr>
          <w:sz w:val="21"/>
        </w:rPr>
        <w:t>A032099；</w:t>
      </w:r>
    </w:p>
    <w:p>
      <w:pPr>
        <w:jc w:val="both"/>
      </w:pPr>
      <w:r>
        <w:rPr>
          <w:sz w:val="21"/>
        </w:rPr>
        <w:t xml:space="preserve">   （</w:t>
      </w:r>
      <w:r>
        <w:rPr>
          <w:sz w:val="21"/>
        </w:rPr>
        <w:t>5</w:t>
      </w:r>
      <w:r>
        <w:rPr>
          <w:sz w:val="21"/>
        </w:rPr>
        <w:t>）</w:t>
      </w:r>
      <w:r>
        <w:rPr>
          <w:sz w:val="21"/>
        </w:rPr>
        <w:t>本项目采购标的对应的中小企业划分标准所属行业为</w:t>
      </w:r>
      <w:r>
        <w:rPr>
          <w:sz w:val="21"/>
          <w:u w:val="single"/>
        </w:rPr>
        <w:t xml:space="preserve">  </w:t>
      </w:r>
      <w:r>
        <w:rPr>
          <w:sz w:val="21"/>
          <w:u w:val="single"/>
        </w:rPr>
        <w:t>工业</w:t>
      </w:r>
      <w:r>
        <w:rPr>
          <w:sz w:val="21"/>
          <w:u w:val="single"/>
        </w:rPr>
        <w:t xml:space="preserve"> </w:t>
      </w:r>
      <w:r>
        <w:rPr>
          <w:sz w:val="21"/>
        </w:rPr>
        <w:t>行业。</w:t>
      </w:r>
    </w:p>
    <w:p>
      <w:pPr>
        <w:jc w:val="both"/>
      </w:pPr>
      <w:r>
        <w:rPr/>
        <w:t>（三）设备采购清单</w:t>
      </w:r>
    </w:p>
    <w:p>
      <w:pPr>
        <w:ind w:firstLine="3795"/>
        <w:jc w:val="both"/>
      </w:pPr>
      <w:r>
        <w:rPr>
          <w:b/>
          <w:sz w:val="21"/>
        </w:rPr>
        <w:t>设备采购表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92"/>
        <w:gridCol w:w="3048"/>
        <w:gridCol w:w="1038"/>
        <w:gridCol w:w="1358"/>
        <w:gridCol w:w="2170"/>
      </w:tblGrid>
      <w:tr>
        <w:tc>
          <w:tcPr>
            <w:tcW w:type="dxa" w:w="692"/>
            <w:tcBorders>
              <w:top w:val="single" w:color="000000" w:sz="4"/>
              <w:left w:val="single" w:color="000000" w:sz="4"/>
              <w:bottom w:val="single" w:color="000000" w:sz="4"/>
              <w:right w:val="single" w:color="000000" w:sz="4"/>
            </w:tcBorders>
            <w:vAlign w:val="top"/>
          </w:tcPr>
          <w:p>
            <w:pPr>
              <w:jc w:val="left"/>
            </w:pPr>
            <w:r>
              <w:rPr>
                <w:sz w:val="21"/>
              </w:rPr>
              <w:t>序</w:t>
            </w:r>
            <w:r>
              <w:rPr>
                <w:sz w:val="21"/>
              </w:rPr>
              <w:t>号</w:t>
            </w:r>
          </w:p>
        </w:tc>
        <w:tc>
          <w:tcPr>
            <w:tcW w:type="dxa" w:w="3048"/>
            <w:tcBorders>
              <w:top w:val="single" w:color="000000" w:sz="4"/>
              <w:left w:val="none" w:color="000000" w:sz="4"/>
              <w:bottom w:val="single" w:color="000000" w:sz="4"/>
              <w:right w:val="single" w:color="000000" w:sz="4"/>
            </w:tcBorders>
            <w:vAlign w:val="top"/>
          </w:tcPr>
          <w:p>
            <w:pPr>
              <w:jc w:val="left"/>
            </w:pPr>
            <w:r>
              <w:rPr>
                <w:sz w:val="21"/>
              </w:rPr>
              <w:t>设备名称</w:t>
            </w:r>
          </w:p>
        </w:tc>
        <w:tc>
          <w:tcPr>
            <w:tcW w:type="dxa" w:w="1038"/>
            <w:tcBorders>
              <w:top w:val="single" w:color="000000" w:sz="4"/>
              <w:left w:val="none" w:color="000000" w:sz="4"/>
              <w:bottom w:val="single" w:color="000000" w:sz="4"/>
              <w:right w:val="single" w:color="000000" w:sz="4"/>
            </w:tcBorders>
            <w:vAlign w:val="top"/>
          </w:tcPr>
          <w:p>
            <w:pPr>
              <w:jc w:val="left"/>
            </w:pPr>
            <w:r>
              <w:rPr>
                <w:sz w:val="21"/>
              </w:rPr>
              <w:t>数</w:t>
            </w:r>
            <w:r>
              <w:rPr>
                <w:sz w:val="21"/>
              </w:rPr>
              <w:t>量</w:t>
            </w:r>
          </w:p>
        </w:tc>
        <w:tc>
          <w:tcPr>
            <w:tcW w:type="dxa" w:w="1358"/>
            <w:tcBorders>
              <w:top w:val="single" w:color="000000" w:sz="4"/>
              <w:left w:val="none" w:color="000000" w:sz="4"/>
              <w:bottom w:val="single" w:color="000000" w:sz="4"/>
              <w:right w:val="single" w:color="000000" w:sz="4"/>
            </w:tcBorders>
            <w:vAlign w:val="top"/>
          </w:tcPr>
          <w:p>
            <w:pPr>
              <w:jc w:val="left"/>
            </w:pPr>
            <w:r>
              <w:rPr>
                <w:sz w:val="21"/>
              </w:rPr>
              <w:t>单价</w:t>
            </w:r>
          </w:p>
        </w:tc>
        <w:tc>
          <w:tcPr>
            <w:tcW w:type="dxa" w:w="2170"/>
            <w:tcBorders>
              <w:top w:val="single" w:color="000000" w:sz="4"/>
              <w:left w:val="none" w:color="000000" w:sz="4"/>
              <w:bottom w:val="single" w:color="000000" w:sz="4"/>
              <w:right w:val="single" w:color="000000" w:sz="4"/>
            </w:tcBorders>
            <w:vAlign w:val="top"/>
          </w:tcPr>
          <w:p>
            <w:pPr>
              <w:jc w:val="left"/>
            </w:pPr>
            <w:r>
              <w:rPr>
                <w:sz w:val="21"/>
              </w:rPr>
              <w:t>最高限价</w:t>
            </w:r>
          </w:p>
        </w:tc>
      </w:tr>
      <w:tr>
        <w:tc>
          <w:tcPr>
            <w:tcW w:type="dxa" w:w="692"/>
            <w:tcBorders>
              <w:top w:val="none" w:color="000000" w:sz="4"/>
              <w:left w:val="single" w:color="000000" w:sz="4"/>
              <w:bottom w:val="single" w:color="000000" w:sz="4"/>
              <w:right w:val="single" w:color="000000" w:sz="4"/>
            </w:tcBorders>
            <w:vAlign w:val="top"/>
          </w:tcPr>
          <w:p>
            <w:pPr>
              <w:jc w:val="left"/>
            </w:pPr>
            <w:r>
              <w:rPr>
                <w:sz w:val="21"/>
              </w:rPr>
              <w:t>1</w:t>
            </w:r>
          </w:p>
        </w:tc>
        <w:tc>
          <w:tcPr>
            <w:tcW w:type="dxa" w:w="3048"/>
            <w:tcBorders>
              <w:top w:val="none" w:color="000000" w:sz="4"/>
              <w:left w:val="none" w:color="000000" w:sz="4"/>
              <w:bottom w:val="single" w:color="000000" w:sz="4"/>
              <w:right w:val="single" w:color="000000" w:sz="4"/>
            </w:tcBorders>
            <w:vAlign w:val="top"/>
          </w:tcPr>
          <w:p>
            <w:pPr>
              <w:jc w:val="left"/>
            </w:pPr>
            <w:r>
              <w:rPr>
                <w:sz w:val="21"/>
              </w:rPr>
              <w:t xml:space="preserve"> </w:t>
            </w:r>
            <w:r>
              <w:rPr>
                <w:sz w:val="21"/>
              </w:rPr>
              <w:t>放射治疗计划系统</w:t>
            </w:r>
          </w:p>
        </w:tc>
        <w:tc>
          <w:tcPr>
            <w:tcW w:type="dxa" w:w="1038"/>
            <w:tcBorders>
              <w:top w:val="none" w:color="000000" w:sz="4"/>
              <w:left w:val="none" w:color="000000" w:sz="4"/>
              <w:bottom w:val="single" w:color="000000" w:sz="4"/>
              <w:right w:val="single" w:color="000000" w:sz="4"/>
            </w:tcBorders>
            <w:vAlign w:val="top"/>
          </w:tcPr>
          <w:p>
            <w:pPr>
              <w:jc w:val="left"/>
            </w:pPr>
            <w:r>
              <w:rPr>
                <w:sz w:val="21"/>
              </w:rPr>
              <w:t>1</w:t>
            </w:r>
            <w:r>
              <w:rPr>
                <w:sz w:val="21"/>
              </w:rPr>
              <w:t>套</w:t>
            </w:r>
          </w:p>
        </w:tc>
        <w:tc>
          <w:tcPr>
            <w:tcW w:type="dxa" w:w="1358"/>
            <w:tcBorders>
              <w:top w:val="none" w:color="000000" w:sz="4"/>
              <w:left w:val="none" w:color="000000" w:sz="4"/>
              <w:bottom w:val="single" w:color="000000" w:sz="4"/>
              <w:right w:val="single" w:color="000000" w:sz="4"/>
            </w:tcBorders>
            <w:vAlign w:val="top"/>
          </w:tcPr>
          <w:p>
            <w:pPr>
              <w:jc w:val="left"/>
            </w:pPr>
            <w:r>
              <w:rPr>
                <w:sz w:val="21"/>
              </w:rPr>
              <w:t>200万元</w:t>
            </w:r>
          </w:p>
        </w:tc>
        <w:tc>
          <w:tcPr>
            <w:tcW w:type="dxa" w:w="2170"/>
            <w:tcBorders>
              <w:top w:val="none" w:color="000000" w:sz="4"/>
              <w:left w:val="none" w:color="000000" w:sz="4"/>
              <w:bottom w:val="single" w:color="000000" w:sz="4"/>
              <w:right w:val="single" w:color="000000" w:sz="4"/>
            </w:tcBorders>
            <w:vAlign w:val="top"/>
          </w:tcPr>
          <w:p>
            <w:pPr>
              <w:jc w:val="left"/>
            </w:pPr>
            <w:r>
              <w:rPr>
                <w:sz w:val="21"/>
              </w:rPr>
              <w:t>200万元</w:t>
            </w:r>
          </w:p>
        </w:tc>
      </w:tr>
      <w:tr>
        <w:tc>
          <w:tcPr>
            <w:tcW w:type="dxa" w:w="692"/>
            <w:tcBorders>
              <w:top w:val="none" w:color="000000" w:sz="4"/>
              <w:left w:val="single" w:color="000000" w:sz="4"/>
              <w:bottom w:val="single" w:color="000000" w:sz="4"/>
              <w:right w:val="single" w:color="000000" w:sz="4"/>
            </w:tcBorders>
            <w:vAlign w:val="top"/>
          </w:tcPr>
          <w:p>
            <w:pPr>
              <w:jc w:val="left"/>
            </w:pPr>
            <w:r>
              <w:rPr>
                <w:sz w:val="21"/>
              </w:rPr>
              <w:t>合计</w:t>
            </w:r>
          </w:p>
        </w:tc>
        <w:tc>
          <w:tcPr>
            <w:tcW w:type="dxa" w:w="3048"/>
            <w:tcBorders>
              <w:top w:val="none" w:color="000000" w:sz="4"/>
              <w:left w:val="none" w:color="000000" w:sz="4"/>
              <w:bottom w:val="single" w:color="000000" w:sz="4"/>
              <w:right w:val="single" w:color="000000" w:sz="4"/>
            </w:tcBorders>
            <w:vAlign w:val="top"/>
          </w:tcPr>
          <w:p>
            <w:pPr>
              <w:jc w:val="left"/>
            </w:pPr>
          </w:p>
        </w:tc>
        <w:tc>
          <w:tcPr>
            <w:tcW w:type="dxa" w:w="1038"/>
            <w:tcBorders>
              <w:top w:val="none" w:color="000000" w:sz="4"/>
              <w:left w:val="none" w:color="000000" w:sz="4"/>
              <w:bottom w:val="single" w:color="000000" w:sz="4"/>
              <w:right w:val="single" w:color="000000" w:sz="4"/>
            </w:tcBorders>
            <w:vAlign w:val="top"/>
          </w:tcPr>
          <w:p>
            <w:pPr>
              <w:jc w:val="left"/>
            </w:pPr>
          </w:p>
        </w:tc>
        <w:tc>
          <w:tcPr>
            <w:tcW w:type="dxa" w:w="1358"/>
            <w:tcBorders>
              <w:top w:val="none" w:color="000000" w:sz="4"/>
              <w:left w:val="none" w:color="000000" w:sz="4"/>
              <w:bottom w:val="single" w:color="000000" w:sz="4"/>
              <w:right w:val="single" w:color="000000" w:sz="4"/>
            </w:tcBorders>
            <w:vAlign w:val="top"/>
          </w:tcPr>
          <w:p>
            <w:pPr>
              <w:jc w:val="left"/>
            </w:pPr>
          </w:p>
        </w:tc>
        <w:tc>
          <w:tcPr>
            <w:tcW w:type="dxa" w:w="2170"/>
            <w:tcBorders>
              <w:top w:val="none" w:color="000000" w:sz="4"/>
              <w:left w:val="none" w:color="000000" w:sz="4"/>
              <w:bottom w:val="single" w:color="000000" w:sz="4"/>
              <w:right w:val="single" w:color="000000" w:sz="4"/>
            </w:tcBorders>
            <w:vAlign w:val="top"/>
          </w:tcPr>
          <w:p>
            <w:pPr>
              <w:jc w:val="left"/>
            </w:pPr>
            <w:r>
              <w:rPr>
                <w:sz w:val="21"/>
              </w:rPr>
              <w:t>200万元</w:t>
            </w:r>
          </w:p>
        </w:tc>
      </w:tr>
    </w:tbl>
    <w:p>
      <w:pPr>
        <w:jc w:val="both"/>
      </w:pPr>
      <w:r>
        <w:rPr>
          <w:sz w:val="21"/>
        </w:rPr>
        <w:t>注：供应商所投设备分项报价，金额不得超过设备单价及</w:t>
      </w:r>
      <w:r>
        <w:rPr>
          <w:sz w:val="21"/>
        </w:rPr>
        <w:t>最高限价</w:t>
      </w:r>
      <w:r>
        <w:rPr>
          <w:sz w:val="21"/>
        </w:rPr>
        <w:t>。</w:t>
      </w:r>
    </w:p>
    <w:p/>
    <w:p>
      <w:pPr>
        <w:ind w:firstLine="480"/>
      </w:pPr>
    </w:p>
    <w:p/>
    <w:p>
      <w:r>
        <w:rPr/>
        <w:t>采购包1（放射治疗计划系统）：</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在合同签订生效后30天内完成安装工作，交付用户方使用。</w:t>
            </w:r>
          </w:p>
        </w:tc>
      </w:tr>
      <w:tr>
        <w:tc>
          <w:tcPr>
            <w:tcW w:type="dxa" w:w="4153"/>
          </w:tcPr>
          <w:p>
            <w:r>
              <w:rPr/>
              <w:t>标的提供的地点</w:t>
            </w:r>
          </w:p>
        </w:tc>
        <w:tc>
          <w:tcPr>
            <w:tcW w:type="dxa" w:w="4153"/>
          </w:tcPr>
          <w:p>
            <w:pPr>
              <w:jc w:val="left"/>
            </w:pPr>
          </w:p>
          <w:p>
            <w:r>
              <w:rPr/>
              <w:t>阳江市人民医院</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1期：支付比例30%，采购人收到中标人合同总额5%银行履约保函（12个月）和到货验收合格正常使用后10至20个工作日内付合同总额的30%。</w:t>
            </w:r>
          </w:p>
          <w:p/>
          <w:p>
            <w:r>
              <w:rPr/>
              <w:t>2期：支付比例70%，正常使用4个月后10至20个工作日内付合同总额的70%，银行履约保函到期后，采购人将银行履约保函退还中标人。</w:t>
            </w:r>
          </w:p>
        </w:tc>
      </w:tr>
      <w:tr>
        <w:tc>
          <w:tcPr>
            <w:tcW w:type="dxa" w:w="4153"/>
          </w:tcPr>
          <w:p>
            <w:r>
              <w:rPr/>
              <w:t>验收要求</w:t>
            </w:r>
          </w:p>
        </w:tc>
        <w:tc>
          <w:tcPr>
            <w:tcW w:type="dxa" w:w="4153"/>
          </w:tcPr>
          <w:p>
            <w:pPr>
              <w:jc w:val="left"/>
            </w:pPr>
          </w:p>
          <w:p/>
          <w:p/>
          <w:p>
            <w:r>
              <w:rPr/>
              <w:t>1期：1、验收按国家有关的规定、规范进行。验收时如发现所交付的货物有短缺、次品、损坏或其它不符合本次采购要求之情形者，采购单位应做出详尽的现场记录，或由采购单位和中标单位双方签署备忘录。此现场记录或备忘录可用作补充、缺失和更换损坏部件的有效证据。由此产生的有关费用由中标单位承担。 2、如果货物在运输和安装调试过程中因事故造成货物短缺、损坏，中标单位应及时安排更换，以保证货物成功完整交付。更换货物的相关费用由中标单位承担。</w:t>
            </w:r>
          </w:p>
        </w:tc>
      </w:tr>
      <w:tr>
        <w:tc>
          <w:tcPr>
            <w:tcW w:type="dxa" w:w="4153"/>
          </w:tcPr>
          <w:p>
            <w:r>
              <w:rPr/>
              <w:t>履约保证金</w:t>
            </w:r>
          </w:p>
        </w:tc>
        <w:tc>
          <w:tcPr>
            <w:tcW w:type="dxa" w:w="4153"/>
          </w:tcPr>
          <w:p>
            <w:pPr>
              <w:jc w:val="left"/>
            </w:pPr>
          </w:p>
          <w:p/>
          <w:p/>
          <w:p/>
          <w:p>
            <w:r>
              <w:rPr/>
              <w:t>收取比例：5%,说明：合同总额5%银行履约保函（12个月）</w:t>
            </w:r>
          </w:p>
        </w:tc>
      </w:tr>
      <w:tr>
        <w:tc>
          <w:tcPr>
            <w:tcW w:type="dxa" w:w="4153"/>
          </w:tcPr>
          <w:p>
            <w:r>
              <w:rPr/>
              <w:t>其他</w:t>
            </w:r>
          </w:p>
        </w:tc>
        <w:tc>
          <w:tcPr>
            <w:tcW w:type="dxa" w:w="4153"/>
          </w:tcPr>
          <w:p>
            <w:pPr>
              <w:jc w:val="left"/>
            </w:pPr>
          </w:p>
          <w:p/>
          <w:p>
            <w:r>
              <w:rPr/>
              <w:t>一、投标说明及报价要求:1.投标人须以本项目为单位的货物进行整体投标，任何只对其中一部分内容进行的投标都被视为无效投标；投标人对本项目只能有一个报价，采购单位不接受有选择的报价。 2.投标人所投货物须为全新未使用的、最新型号且近期生产的装备。装备及其辅助装置的铭牌、使用指示、警告指示应以中文或英文及易懂的通用符号来表示，应能准确无误地表示设备的型号、规格、制造商。 3.投标人报价包括所有货物的运输、安装、调试、验收、试运行和强制检测、售后服务、培训的全包价（含税）。请投标人认真测算，项目实施过程中所需的而在招标文件中未列出的相关辅助材料和其他一切费用应由投标人在报价时一并考虑。项目实施后中标人不得另行收取其他任何费用，但必须保证满足项目的使用要求，不足部分由中标人负责免费提供。 4.投标人需在投标文件中详细列明对所供货物的售后服务措施，包括疑问解答，售后服务机构分布情况、维护响应时间及售后培训计划等。 5.本需求书中所出现的品牌、型号、重量、尺寸（如有）及所描述的货物相关要求等仅为方便描述而没有限制性，投标人可根据货物的实际情况，选用替代标准，但这些替代标准必须优于或相当于本用户需求书的标准，并在投标文件中如实列明所投产品的详细技术参数、品牌、型号及产地等。</w:t>
            </w:r>
          </w:p>
          <w:p/>
          <w:p>
            <w:r>
              <w:rPr/>
              <w:t>二、合同签订:合同签订时间从中标通知书发出之日起一月内签订合同。</w:t>
            </w:r>
          </w:p>
          <w:p/>
          <w:p>
            <w:r>
              <w:rPr/>
              <w:t>三、产品及售后服务:1、中标供应商应提供原装、全新的、符合质量标准的货物，不得以旧货翻新充数，并按有关要求进行包装及装运。 2、产品质量保证期不少于一年（若国家和/或生产厂家对本项目所涉及货物的质量保证期的规定高于本项目的要求，应按国家和/或生产厂家的规定执行）。电话报修后，48小时内到现场解决问题。 3、在质量保证期内发生的质量问题，由供应商负责免费解决，包退包换。 4、在质量保证期外发生的质量问题，由中标供应商负责解决，院方支付相应的费用。 5、在任何时候，供应商均不能免除因货物本身的缺陷所应负的责任。货物在质保期内发生质量问题，供应商须无条件给予退换。 6、中标人对所提供设备提供维修服务，质保期后的服务，只收取更换零部件的成本费，不得收取任何工时费及工程师差旅费等其他费用。 7、设备供应商须提交设备所涉及耗材的清单及价格，同时附至少三份三甲医院销售清单或合同。</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其他医疗设备</w:t>
            </w:r>
          </w:p>
        </w:tc>
        <w:tc>
          <w:tcPr>
            <w:tcW w:type="dxa" w:w="1923"/>
          </w:tcPr>
          <w:p>
            <w:r>
              <w:rPr/>
              <w:t>放射治疗计划系统</w:t>
            </w:r>
          </w:p>
        </w:tc>
        <w:tc>
          <w:tcPr>
            <w:tcW w:type="dxa" w:w="385"/>
          </w:tcPr>
          <w:p>
            <w:r>
              <w:rPr/>
              <w:t>套</w:t>
            </w:r>
          </w:p>
        </w:tc>
        <w:tc>
          <w:tcPr>
            <w:tcW w:type="dxa" w:w="769"/>
          </w:tcPr>
          <w:p>
            <w:pPr>
              <w:jc w:val="right"/>
            </w:pPr>
            <w:r>
              <w:rPr/>
              <w:t>1.0000</w:t>
            </w:r>
          </w:p>
        </w:tc>
        <w:tc>
          <w:tcPr>
            <w:tcW w:type="dxa" w:w="769"/>
          </w:tcPr>
          <w:p>
            <w:pPr>
              <w:jc w:val="right"/>
            </w:pPr>
            <w:r>
              <w:rPr/>
              <w:t>2,000,000.00</w:t>
            </w:r>
          </w:p>
        </w:tc>
        <w:tc>
          <w:tcPr>
            <w:tcW w:type="dxa" w:w="769"/>
          </w:tcPr>
          <w:p>
            <w:pPr>
              <w:jc w:val="right"/>
            </w:pPr>
            <w:r>
              <w:rPr/>
              <w:t>2,000,000.00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放射治疗计划系统</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center"/>
            </w:pPr>
            <w:r>
              <w:rPr>
                <w:b/>
                <w:sz w:val="21"/>
              </w:rPr>
              <w:t>放射治疗计划系统</w:t>
            </w:r>
            <w:r>
              <w:rPr>
                <w:b/>
                <w:sz w:val="21"/>
              </w:rPr>
              <w:t>招标参数</w:t>
            </w:r>
          </w:p>
          <w:p>
            <w:pPr>
              <w:jc w:val="left"/>
            </w:pPr>
          </w:p>
          <w:p>
            <w:pPr>
              <w:jc w:val="both"/>
            </w:pPr>
            <w:r>
              <w:rPr>
                <w:sz w:val="21"/>
              </w:rPr>
              <w:t>一、放射治疗计划系统</w:t>
            </w:r>
          </w:p>
          <w:p>
            <w:pPr>
              <w:jc w:val="both"/>
            </w:pPr>
            <w:r>
              <w:rPr>
                <w:sz w:val="21"/>
              </w:rPr>
              <w:t>设备数量：一套</w:t>
            </w:r>
          </w:p>
          <w:p>
            <w:pPr>
              <w:jc w:val="both"/>
            </w:pPr>
            <w:r>
              <w:rPr>
                <w:sz w:val="21"/>
              </w:rPr>
              <w:t>设备用途：本系统用于设计制定三维适形、设计制定逆向调强放射治疗计划。</w:t>
            </w:r>
          </w:p>
          <w:p>
            <w:pPr>
              <w:jc w:val="both"/>
            </w:pPr>
          </w:p>
          <w:p>
            <w:pPr>
              <w:jc w:val="both"/>
            </w:pPr>
            <w:r>
              <w:rPr>
                <w:sz w:val="21"/>
              </w:rPr>
              <w:t>二、设备性能参数</w:t>
            </w:r>
          </w:p>
          <w:p>
            <w:pPr>
              <w:jc w:val="both"/>
            </w:pPr>
            <w:r>
              <w:rPr>
                <w:sz w:val="21"/>
              </w:rPr>
              <w:t>1.</w:t>
            </w:r>
            <w:r>
              <w:rPr>
                <w:sz w:val="21"/>
              </w:rPr>
              <w:t>设备名称及配置</w:t>
            </w:r>
          </w:p>
          <w:p>
            <w:pPr>
              <w:jc w:val="both"/>
            </w:pPr>
            <w:r>
              <w:rPr>
                <w:sz w:val="21"/>
              </w:rPr>
              <w:t>1.1.</w:t>
            </w:r>
            <w:r>
              <w:rPr>
                <w:sz w:val="21"/>
              </w:rPr>
              <w:t>设备名称：放射治疗计划系统</w:t>
            </w:r>
          </w:p>
          <w:p>
            <w:pPr>
              <w:jc w:val="both"/>
            </w:pPr>
            <w:r>
              <w:rPr>
                <w:sz w:val="21"/>
              </w:rPr>
              <w:t>1.2.</w:t>
            </w:r>
            <w:r>
              <w:rPr>
                <w:sz w:val="21"/>
              </w:rPr>
              <w:t>基本配置要求：</w:t>
            </w:r>
          </w:p>
          <w:p>
            <w:pPr>
              <w:jc w:val="both"/>
            </w:pPr>
            <w:r>
              <w:rPr>
                <w:sz w:val="21"/>
              </w:rPr>
              <w:t>1.2.1.</w:t>
            </w:r>
            <w:r>
              <w:rPr>
                <w:sz w:val="21"/>
              </w:rPr>
              <w:t>服务器</w:t>
            </w:r>
            <w:r>
              <w:rPr>
                <w:sz w:val="21"/>
              </w:rPr>
              <w:t>1台</w:t>
            </w:r>
          </w:p>
          <w:p>
            <w:pPr>
              <w:jc w:val="both"/>
            </w:pPr>
            <w:r>
              <w:rPr>
                <w:sz w:val="21"/>
              </w:rPr>
              <w:t>▲1.2.2.</w:t>
            </w:r>
            <w:r>
              <w:rPr>
                <w:sz w:val="21"/>
              </w:rPr>
              <w:t>物理师工作站：</w:t>
            </w:r>
            <w:r>
              <w:rPr>
                <w:sz w:val="21"/>
              </w:rPr>
              <w:t>3台（提供加盖公章的承诺函）</w:t>
            </w:r>
          </w:p>
          <w:p>
            <w:pPr>
              <w:jc w:val="both"/>
            </w:pPr>
            <w:r>
              <w:rPr>
                <w:sz w:val="21"/>
              </w:rPr>
              <w:t>1.2.3.</w:t>
            </w:r>
            <w:r>
              <w:rPr>
                <w:sz w:val="21"/>
              </w:rPr>
              <w:t>提供基本的</w:t>
            </w:r>
            <w:r>
              <w:rPr>
                <w:sz w:val="21"/>
              </w:rPr>
              <w:t>CT模拟及三维外照射治疗计划软件授权3套</w:t>
            </w:r>
          </w:p>
          <w:p>
            <w:pPr>
              <w:jc w:val="both"/>
            </w:pPr>
            <w:r>
              <w:rPr>
                <w:sz w:val="21"/>
              </w:rPr>
              <w:t>1.2.4.</w:t>
            </w:r>
            <w:r>
              <w:rPr>
                <w:sz w:val="21"/>
              </w:rPr>
              <w:t>提供自动多形态影像配准软件授权</w:t>
            </w:r>
            <w:r>
              <w:rPr>
                <w:sz w:val="21"/>
              </w:rPr>
              <w:t>3套</w:t>
            </w:r>
          </w:p>
          <w:p>
            <w:pPr>
              <w:jc w:val="both"/>
            </w:pPr>
            <w:r>
              <w:rPr>
                <w:sz w:val="21"/>
              </w:rPr>
              <w:t>1.2.5.</w:t>
            </w:r>
            <w:r>
              <w:rPr>
                <w:sz w:val="21"/>
              </w:rPr>
              <w:t>提供调强放射治疗及逆向计划软件授权</w:t>
            </w:r>
            <w:r>
              <w:rPr>
                <w:sz w:val="21"/>
              </w:rPr>
              <w:t>3套</w:t>
            </w:r>
          </w:p>
          <w:p>
            <w:pPr>
              <w:jc w:val="both"/>
            </w:pPr>
            <w:r>
              <w:rPr>
                <w:sz w:val="21"/>
              </w:rPr>
              <w:t>2.</w:t>
            </w:r>
            <w:r>
              <w:rPr>
                <w:sz w:val="21"/>
              </w:rPr>
              <w:t>系统用途：本系统用于设计制定三维适形、设计制定逆向调强放射治疗计划。</w:t>
            </w:r>
          </w:p>
          <w:p>
            <w:pPr>
              <w:jc w:val="both"/>
            </w:pPr>
            <w:r>
              <w:rPr>
                <w:sz w:val="21"/>
              </w:rPr>
              <w:t>3.</w:t>
            </w:r>
            <w:r>
              <w:rPr>
                <w:sz w:val="21"/>
              </w:rPr>
              <w:t>治疗计划系统硬件要求</w:t>
            </w:r>
          </w:p>
          <w:p>
            <w:pPr>
              <w:jc w:val="both"/>
            </w:pPr>
            <w:r>
              <w:rPr>
                <w:sz w:val="21"/>
              </w:rPr>
              <w:t>3.1.</w:t>
            </w:r>
            <w:r>
              <w:rPr>
                <w:sz w:val="21"/>
              </w:rPr>
              <w:t>服务器要求：</w:t>
            </w:r>
          </w:p>
          <w:p>
            <w:pPr>
              <w:jc w:val="both"/>
            </w:pPr>
            <w:r>
              <w:rPr>
                <w:sz w:val="21"/>
              </w:rPr>
              <w:t>3.1.1.</w:t>
            </w:r>
            <w:r>
              <w:rPr>
                <w:sz w:val="21"/>
              </w:rPr>
              <w:t>操作系统：</w:t>
            </w:r>
            <w:r>
              <w:rPr>
                <w:sz w:val="21"/>
              </w:rPr>
              <w:t>UNIX或Windows</w:t>
            </w:r>
          </w:p>
          <w:p>
            <w:pPr>
              <w:jc w:val="both"/>
            </w:pPr>
            <w:r>
              <w:rPr>
                <w:sz w:val="21"/>
              </w:rPr>
              <w:t>3.1.2.</w:t>
            </w:r>
            <w:r>
              <w:rPr>
                <w:sz w:val="21"/>
              </w:rPr>
              <w:t>中央处理器：</w:t>
            </w:r>
            <w:r>
              <w:rPr>
                <w:sz w:val="21"/>
              </w:rPr>
              <w:t>2个英特尔至强14核处理器，主频：≥2.2GHz</w:t>
            </w:r>
          </w:p>
          <w:p>
            <w:pPr>
              <w:jc w:val="both"/>
            </w:pPr>
            <w:r>
              <w:rPr>
                <w:sz w:val="21"/>
              </w:rPr>
              <w:t>3.1.3.</w:t>
            </w:r>
            <w:r>
              <w:rPr>
                <w:sz w:val="21"/>
              </w:rPr>
              <w:t>服务器内存配置：</w:t>
            </w:r>
            <w:r>
              <w:rPr>
                <w:sz w:val="21"/>
              </w:rPr>
              <w:t>≥64GB</w:t>
            </w:r>
          </w:p>
          <w:p>
            <w:pPr>
              <w:jc w:val="both"/>
            </w:pPr>
            <w:r>
              <w:rPr>
                <w:sz w:val="21"/>
              </w:rPr>
              <w:t>3.1.4.</w:t>
            </w:r>
            <w:r>
              <w:rPr>
                <w:sz w:val="21"/>
              </w:rPr>
              <w:t>服务器硬盘在线存储可用空间：硬盘</w:t>
            </w:r>
            <w:r>
              <w:rPr>
                <w:sz w:val="21"/>
              </w:rPr>
              <w:t>≥6TB</w:t>
            </w:r>
          </w:p>
          <w:p>
            <w:pPr>
              <w:jc w:val="both"/>
            </w:pPr>
            <w:r>
              <w:rPr>
                <w:sz w:val="21"/>
              </w:rPr>
              <w:t>3.1.5.</w:t>
            </w:r>
            <w:r>
              <w:rPr>
                <w:sz w:val="21"/>
              </w:rPr>
              <w:t>网络端口：提供</w:t>
            </w:r>
            <w:r>
              <w:rPr>
                <w:sz w:val="21"/>
              </w:rPr>
              <w:t>4个1000Mbs以太网端口</w:t>
            </w:r>
          </w:p>
          <w:p>
            <w:pPr>
              <w:jc w:val="both"/>
            </w:pPr>
            <w:r>
              <w:rPr>
                <w:sz w:val="21"/>
              </w:rPr>
              <w:t>3.2.</w:t>
            </w:r>
            <w:r>
              <w:rPr>
                <w:sz w:val="21"/>
              </w:rPr>
              <w:t>工作站要求：</w:t>
            </w:r>
          </w:p>
          <w:p>
            <w:pPr>
              <w:jc w:val="both"/>
            </w:pPr>
            <w:r>
              <w:rPr>
                <w:sz w:val="21"/>
              </w:rPr>
              <w:t>★3.2.1.</w:t>
            </w:r>
            <w:r>
              <w:rPr>
                <w:sz w:val="21"/>
              </w:rPr>
              <w:t>调强和适形工作站可自由选择终端进行操作，无需具体指定</w:t>
            </w:r>
          </w:p>
          <w:p>
            <w:pPr>
              <w:jc w:val="both"/>
            </w:pPr>
            <w:r>
              <w:rPr>
                <w:sz w:val="21"/>
              </w:rPr>
              <w:t>3.2.2.</w:t>
            </w:r>
            <w:r>
              <w:rPr>
                <w:sz w:val="21"/>
              </w:rPr>
              <w:t>LCD彩色高分辨率显示器≥23”</w:t>
            </w:r>
          </w:p>
          <w:p>
            <w:pPr>
              <w:jc w:val="both"/>
            </w:pPr>
            <w:r>
              <w:rPr>
                <w:sz w:val="21"/>
              </w:rPr>
              <w:t>3.2.3.</w:t>
            </w:r>
            <w:r>
              <w:rPr>
                <w:sz w:val="21"/>
              </w:rPr>
              <w:t>显示分辨率</w:t>
            </w:r>
            <w:r>
              <w:rPr>
                <w:sz w:val="21"/>
              </w:rPr>
              <w:t>≥1920x1200</w:t>
            </w:r>
          </w:p>
          <w:p>
            <w:pPr>
              <w:jc w:val="both"/>
            </w:pPr>
            <w:r>
              <w:rPr>
                <w:sz w:val="21"/>
              </w:rPr>
              <w:t>3.2.4.</w:t>
            </w:r>
            <w:r>
              <w:rPr>
                <w:sz w:val="21"/>
              </w:rPr>
              <w:t>要求工作站在网络带宽</w:t>
            </w:r>
            <w:r>
              <w:rPr>
                <w:sz w:val="21"/>
              </w:rPr>
              <w:t>10M的情况下也可正常使用</w:t>
            </w:r>
          </w:p>
          <w:p>
            <w:pPr>
              <w:jc w:val="both"/>
            </w:pPr>
            <w:r>
              <w:rPr>
                <w:sz w:val="21"/>
              </w:rPr>
              <w:t>4.</w:t>
            </w:r>
            <w:r>
              <w:rPr>
                <w:sz w:val="21"/>
              </w:rPr>
              <w:t>计划系统软件要求</w:t>
            </w:r>
          </w:p>
          <w:p>
            <w:pPr>
              <w:jc w:val="both"/>
            </w:pPr>
            <w:r>
              <w:rPr>
                <w:sz w:val="21"/>
              </w:rPr>
              <w:t>4.1.</w:t>
            </w:r>
            <w:r>
              <w:rPr>
                <w:sz w:val="21"/>
              </w:rPr>
              <w:t>提供数据拟合（</w:t>
            </w:r>
            <w:r>
              <w:rPr>
                <w:sz w:val="21"/>
              </w:rPr>
              <w:t>modeling）模块，并对用户开放</w:t>
            </w:r>
          </w:p>
          <w:p>
            <w:pPr>
              <w:jc w:val="both"/>
            </w:pPr>
            <w:r>
              <w:rPr>
                <w:sz w:val="21"/>
              </w:rPr>
              <w:t>4.2.</w:t>
            </w:r>
            <w:r>
              <w:rPr>
                <w:sz w:val="21"/>
              </w:rPr>
              <w:t>患者模型建立及显示</w:t>
            </w:r>
          </w:p>
          <w:p>
            <w:pPr>
              <w:jc w:val="both"/>
            </w:pPr>
            <w:r>
              <w:rPr>
                <w:sz w:val="21"/>
              </w:rPr>
              <w:t>4.2.1.</w:t>
            </w:r>
            <w:r>
              <w:rPr>
                <w:sz w:val="21"/>
              </w:rPr>
              <w:t>招标治疗计划系统应能直接利用</w:t>
            </w:r>
            <w:r>
              <w:rPr>
                <w:sz w:val="21"/>
              </w:rPr>
              <w:t>CT数据，参照用户的临床实际要求，对病人模型进行三维实体重建</w:t>
            </w:r>
          </w:p>
          <w:p>
            <w:pPr>
              <w:jc w:val="both"/>
            </w:pPr>
            <w:r>
              <w:rPr>
                <w:sz w:val="21"/>
              </w:rPr>
              <w:t>4.2.2.</w:t>
            </w:r>
            <w:r>
              <w:rPr>
                <w:sz w:val="21"/>
              </w:rPr>
              <w:t>在重建的三维实体病人模型上</w:t>
            </w:r>
            <w:r>
              <w:rPr>
                <w:sz w:val="21"/>
              </w:rPr>
              <w:t>,能够以多种方式显示，包括皮肤、骨及其他特定模型显示</w:t>
            </w:r>
          </w:p>
          <w:p>
            <w:pPr>
              <w:jc w:val="both"/>
            </w:pPr>
            <w:r>
              <w:rPr>
                <w:sz w:val="21"/>
              </w:rPr>
              <w:t>4.2.3.</w:t>
            </w:r>
            <w:r>
              <w:rPr>
                <w:sz w:val="21"/>
              </w:rPr>
              <w:t>DRR视图应同时包含BEV，同时在DRR上可显示靶区、其它组织及照射野大小形状及挡块等</w:t>
            </w:r>
          </w:p>
          <w:p>
            <w:pPr>
              <w:jc w:val="both"/>
            </w:pPr>
            <w:r>
              <w:rPr>
                <w:sz w:val="21"/>
              </w:rPr>
              <w:t>★4.2.4.</w:t>
            </w:r>
            <w:r>
              <w:rPr>
                <w:sz w:val="21"/>
              </w:rPr>
              <w:t>DCR 功能，可编辑重建区的影像区域，以及过滤用于重建的影像信息</w:t>
            </w:r>
          </w:p>
          <w:p>
            <w:pPr>
              <w:jc w:val="both"/>
            </w:pPr>
            <w:r>
              <w:rPr>
                <w:sz w:val="21"/>
              </w:rPr>
              <w:t>4.3.</w:t>
            </w:r>
            <w:r>
              <w:rPr>
                <w:sz w:val="21"/>
              </w:rPr>
              <w:t>图像自动融合及配准功能要求</w:t>
            </w:r>
          </w:p>
          <w:p>
            <w:pPr>
              <w:jc w:val="both"/>
            </w:pPr>
            <w:r>
              <w:rPr>
                <w:sz w:val="21"/>
              </w:rPr>
              <w:t>4.3.1.</w:t>
            </w:r>
            <w:r>
              <w:rPr>
                <w:sz w:val="21"/>
              </w:rPr>
              <w:t>允许</w:t>
            </w:r>
            <w:r>
              <w:rPr>
                <w:sz w:val="21"/>
              </w:rPr>
              <w:t>2个或者更多的图像组进行图像配准，可融合PET-CT、MRI、CT的DICOM格式图像</w:t>
            </w:r>
          </w:p>
          <w:p>
            <w:pPr>
              <w:jc w:val="both"/>
            </w:pPr>
            <w:r>
              <w:rPr>
                <w:sz w:val="21"/>
              </w:rPr>
              <w:t>4.3.2.</w:t>
            </w:r>
            <w:r>
              <w:rPr>
                <w:sz w:val="21"/>
              </w:rPr>
              <w:t>包括</w:t>
            </w:r>
            <w:r>
              <w:rPr>
                <w:sz w:val="21"/>
              </w:rPr>
              <w:t>3种自动图像基础的优化算法，包括交互信息，交叉关联和位置校正</w:t>
            </w:r>
          </w:p>
          <w:p>
            <w:pPr>
              <w:jc w:val="both"/>
            </w:pPr>
            <w:r>
              <w:rPr>
                <w:sz w:val="21"/>
              </w:rPr>
              <w:t>4.3.3.</w:t>
            </w:r>
            <w:r>
              <w:rPr>
                <w:sz w:val="21"/>
              </w:rPr>
              <w:t>在自动配准阶段，允许用户定义的感兴趣区的选择的需要主要和次要数据组，有手动调整功能</w:t>
            </w:r>
          </w:p>
          <w:p>
            <w:pPr>
              <w:jc w:val="both"/>
            </w:pPr>
            <w:r>
              <w:rPr>
                <w:sz w:val="21"/>
              </w:rPr>
              <w:t>4.4.</w:t>
            </w:r>
            <w:r>
              <w:rPr>
                <w:sz w:val="21"/>
              </w:rPr>
              <w:t>轮廓勾画工具具有以下功能</w:t>
            </w:r>
          </w:p>
          <w:p>
            <w:pPr>
              <w:jc w:val="both"/>
            </w:pPr>
            <w:r>
              <w:rPr>
                <w:sz w:val="21"/>
              </w:rPr>
              <w:t>4.4.1.</w:t>
            </w:r>
            <w:r>
              <w:rPr>
                <w:sz w:val="21"/>
              </w:rPr>
              <w:t>传统击点连线法、手动连续画法、二维自动画法、三维自动画法及可控涂画法等</w:t>
            </w:r>
          </w:p>
          <w:p>
            <w:pPr>
              <w:jc w:val="both"/>
            </w:pPr>
            <w:r>
              <w:rPr>
                <w:sz w:val="21"/>
              </w:rPr>
              <w:t>4.4.2.</w:t>
            </w:r>
            <w:r>
              <w:rPr>
                <w:sz w:val="21"/>
              </w:rPr>
              <w:t>方便灵活的三维扩放缩小技术，可根据用户勾画的多个临床靶区（</w:t>
            </w:r>
            <w:r>
              <w:rPr>
                <w:sz w:val="21"/>
              </w:rPr>
              <w:t>CTV）和周围正常组织的关系，确定组合方式和边界,生成计划靶区(PTV)</w:t>
            </w:r>
          </w:p>
          <w:p>
            <w:pPr>
              <w:jc w:val="both"/>
            </w:pPr>
            <w:r>
              <w:rPr>
                <w:sz w:val="21"/>
              </w:rPr>
              <w:t>4.4.3.</w:t>
            </w:r>
            <w:r>
              <w:rPr>
                <w:sz w:val="21"/>
              </w:rPr>
              <w:t>方便灵活的手工编辑、移动、复制、套用、擦除和缩放工具，不同层间轮廓精确内插</w:t>
            </w:r>
          </w:p>
          <w:p>
            <w:pPr>
              <w:jc w:val="both"/>
            </w:pPr>
            <w:r>
              <w:rPr>
                <w:sz w:val="21"/>
              </w:rPr>
              <w:t>4.4.4.</w:t>
            </w:r>
            <w:r>
              <w:rPr>
                <w:sz w:val="21"/>
              </w:rPr>
              <w:t>应能接受医院其它</w:t>
            </w:r>
            <w:r>
              <w:rPr>
                <w:sz w:val="21"/>
              </w:rPr>
              <w:t>DICOM RT兼容设备输出的已勾画的轮廓</w:t>
            </w:r>
          </w:p>
          <w:p>
            <w:pPr>
              <w:jc w:val="both"/>
            </w:pPr>
            <w:r>
              <w:rPr>
                <w:sz w:val="21"/>
              </w:rPr>
              <w:t>4.4.5.</w:t>
            </w:r>
            <w:r>
              <w:rPr>
                <w:sz w:val="21"/>
              </w:rPr>
              <w:t>系统应支持：在除横断轴面外的其它剖面（矢状面、冠状面）进行轮廓勾画</w:t>
            </w:r>
          </w:p>
          <w:p>
            <w:pPr>
              <w:jc w:val="both"/>
            </w:pPr>
            <w:r>
              <w:rPr>
                <w:sz w:val="21"/>
              </w:rPr>
              <w:t>4.4.6.</w:t>
            </w:r>
            <w:r>
              <w:rPr>
                <w:sz w:val="21"/>
              </w:rPr>
              <w:t>自动勾画剂量靶区，可以自动将指定的剂量分布区域勾画出来，以便临床评估使用</w:t>
            </w:r>
          </w:p>
          <w:p>
            <w:pPr>
              <w:jc w:val="both"/>
            </w:pPr>
            <w:r>
              <w:rPr>
                <w:sz w:val="21"/>
              </w:rPr>
              <w:t>4.4.7.具有动态调强计划设计、4DCT计划设计功能及权限，并支持本院现有加速器Synergy能实现动态调强、4DCT功能。</w:t>
            </w:r>
          </w:p>
          <w:p>
            <w:pPr>
              <w:jc w:val="both"/>
            </w:pPr>
            <w:r>
              <w:rPr>
                <w:sz w:val="21"/>
              </w:rPr>
              <w:t>4.4.8.具有逆向调强计划、电子线计划设计、CT模拟功能QA计划的功能及权限。</w:t>
            </w:r>
          </w:p>
          <w:p>
            <w:pPr>
              <w:jc w:val="both"/>
            </w:pPr>
            <w:r>
              <w:rPr>
                <w:sz w:val="21"/>
              </w:rPr>
              <w:t>4.5.</w:t>
            </w:r>
            <w:r>
              <w:rPr>
                <w:sz w:val="21"/>
              </w:rPr>
              <w:t>外照射计划设计要求</w:t>
            </w:r>
          </w:p>
          <w:p>
            <w:pPr>
              <w:jc w:val="both"/>
            </w:pPr>
            <w:r>
              <w:rPr>
                <w:sz w:val="21"/>
              </w:rPr>
              <w:t>4.5.1.</w:t>
            </w:r>
            <w:r>
              <w:rPr>
                <w:sz w:val="21"/>
              </w:rPr>
              <w:t>能一次完成两个以上靶区的照射设计</w:t>
            </w:r>
          </w:p>
          <w:p>
            <w:pPr>
              <w:jc w:val="both"/>
            </w:pPr>
            <w:r>
              <w:rPr>
                <w:sz w:val="21"/>
              </w:rPr>
              <w:t>4.5.2.</w:t>
            </w:r>
            <w:r>
              <w:rPr>
                <w:sz w:val="21"/>
              </w:rPr>
              <w:t>非共面照射技术</w:t>
            </w:r>
          </w:p>
          <w:p>
            <w:pPr>
              <w:jc w:val="both"/>
            </w:pPr>
            <w:r>
              <w:rPr>
                <w:sz w:val="21"/>
              </w:rPr>
              <w:t>4.5.3.</w:t>
            </w:r>
            <w:r>
              <w:rPr>
                <w:sz w:val="21"/>
              </w:rPr>
              <w:t>多个共面和非共面照射弧技术</w:t>
            </w:r>
          </w:p>
          <w:p>
            <w:pPr>
              <w:jc w:val="both"/>
            </w:pPr>
            <w:r>
              <w:rPr>
                <w:sz w:val="21"/>
              </w:rPr>
              <w:t>4.5.4.</w:t>
            </w:r>
            <w:r>
              <w:rPr>
                <w:sz w:val="21"/>
              </w:rPr>
              <w:t>方便灵活的照射野挡块编辑工具：手动点画法，自动生成法，能自动定义间隙大小，挡块能实时自动修改、适形，多层挡块重叠设计</w:t>
            </w:r>
          </w:p>
          <w:p>
            <w:pPr>
              <w:jc w:val="both"/>
            </w:pPr>
            <w:r>
              <w:rPr>
                <w:sz w:val="21"/>
              </w:rPr>
              <w:t>4.5.5.</w:t>
            </w:r>
            <w:r>
              <w:rPr>
                <w:sz w:val="21"/>
              </w:rPr>
              <w:t>能接受</w:t>
            </w:r>
            <w:r>
              <w:rPr>
                <w:sz w:val="21"/>
              </w:rPr>
              <w:t>4D CT传输的四维CT数据，并以此为基础设计治疗计划</w:t>
            </w:r>
          </w:p>
          <w:p>
            <w:pPr>
              <w:jc w:val="both"/>
            </w:pPr>
            <w:r>
              <w:rPr>
                <w:sz w:val="21"/>
              </w:rPr>
              <w:t>▲4.6.</w:t>
            </w:r>
            <w:r>
              <w:rPr>
                <w:sz w:val="21"/>
              </w:rPr>
              <w:t>能够支持瓦里安和医科达具备</w:t>
            </w:r>
            <w:r>
              <w:rPr>
                <w:sz w:val="21"/>
              </w:rPr>
              <w:t>FFF治疗模式的高端直线加速器（提供加盖公章的承诺函）</w:t>
            </w:r>
          </w:p>
          <w:p>
            <w:pPr>
              <w:jc w:val="both"/>
            </w:pPr>
            <w:r>
              <w:rPr>
                <w:sz w:val="21"/>
              </w:rPr>
              <w:t>4.7.</w:t>
            </w:r>
            <w:r>
              <w:rPr>
                <w:sz w:val="21"/>
              </w:rPr>
              <w:t>剂量计算</w:t>
            </w:r>
          </w:p>
          <w:p>
            <w:pPr>
              <w:jc w:val="both"/>
            </w:pPr>
            <w:r>
              <w:rPr>
                <w:sz w:val="21"/>
              </w:rPr>
              <w:t>4.7.1.</w:t>
            </w:r>
            <w:r>
              <w:rPr>
                <w:sz w:val="21"/>
              </w:rPr>
              <w:t>光子线计算应采用</w:t>
            </w:r>
            <w:r>
              <w:rPr>
                <w:sz w:val="21"/>
              </w:rPr>
              <w:t>Collapsed Cone Convolution Superposition算法</w:t>
            </w:r>
          </w:p>
          <w:p>
            <w:pPr>
              <w:jc w:val="both"/>
            </w:pPr>
            <w:r>
              <w:rPr>
                <w:sz w:val="21"/>
              </w:rPr>
              <w:t>4.7.2.</w:t>
            </w:r>
            <w:r>
              <w:rPr>
                <w:sz w:val="21"/>
              </w:rPr>
              <w:t>电子线计算采用笔形束算法</w:t>
            </w:r>
          </w:p>
          <w:p>
            <w:pPr>
              <w:jc w:val="both"/>
            </w:pPr>
            <w:r>
              <w:rPr>
                <w:sz w:val="21"/>
              </w:rPr>
              <w:t>4.7.3.</w:t>
            </w:r>
            <w:r>
              <w:rPr>
                <w:sz w:val="21"/>
              </w:rPr>
              <w:t>对组织不均匀性进行基于</w:t>
            </w:r>
            <w:r>
              <w:rPr>
                <w:sz w:val="21"/>
              </w:rPr>
              <w:t>CT像素的逐点修正</w:t>
            </w:r>
          </w:p>
          <w:p>
            <w:pPr>
              <w:jc w:val="both"/>
            </w:pPr>
            <w:r>
              <w:rPr>
                <w:sz w:val="21"/>
              </w:rPr>
              <w:t>4.7.4.</w:t>
            </w:r>
            <w:r>
              <w:rPr>
                <w:sz w:val="21"/>
              </w:rPr>
              <w:t>对</w:t>
            </w:r>
            <w:r>
              <w:rPr>
                <w:sz w:val="21"/>
              </w:rPr>
              <w:t>CT扫描层厚不够的病人资料能由用户定义病人模型两端模拟延伸,以保证剂量计算有足够的散射修正</w:t>
            </w:r>
          </w:p>
          <w:p>
            <w:pPr>
              <w:jc w:val="both"/>
            </w:pPr>
            <w:r>
              <w:rPr>
                <w:sz w:val="21"/>
              </w:rPr>
              <w:t>4.7.5.</w:t>
            </w:r>
            <w:r>
              <w:rPr>
                <w:sz w:val="21"/>
              </w:rPr>
              <w:t>能显示任意多个感兴趣点的剂量</w:t>
            </w:r>
          </w:p>
          <w:p>
            <w:pPr>
              <w:jc w:val="both"/>
            </w:pPr>
            <w:r>
              <w:rPr>
                <w:sz w:val="21"/>
              </w:rPr>
              <w:t>★4.7.6.</w:t>
            </w:r>
            <w:r>
              <w:rPr>
                <w:sz w:val="21"/>
              </w:rPr>
              <w:t>支持不勾画体表外轮廓进行剂量计算</w:t>
            </w:r>
          </w:p>
          <w:p>
            <w:pPr>
              <w:jc w:val="both"/>
            </w:pPr>
            <w:r>
              <w:rPr>
                <w:sz w:val="21"/>
              </w:rPr>
              <w:t>4.7.7.</w:t>
            </w:r>
            <w:r>
              <w:rPr>
                <w:sz w:val="21"/>
              </w:rPr>
              <w:t>重新设定照射野权重即得到新的剂量，而不必重新计算，并能实时显示剂量曲线分布和显示</w:t>
            </w:r>
            <w:r>
              <w:rPr>
                <w:sz w:val="21"/>
              </w:rPr>
              <w:t>DVH图</w:t>
            </w:r>
          </w:p>
          <w:p>
            <w:pPr>
              <w:jc w:val="both"/>
            </w:pPr>
            <w:r>
              <w:rPr>
                <w:sz w:val="21"/>
              </w:rPr>
              <w:t>4.7.8.</w:t>
            </w:r>
            <w:r>
              <w:rPr>
                <w:sz w:val="21"/>
              </w:rPr>
              <w:t>对于修改了的计划，只需要计算那些改动过的射束，而不必全部重新计算</w:t>
            </w:r>
          </w:p>
          <w:p>
            <w:pPr>
              <w:jc w:val="both"/>
            </w:pPr>
            <w:r>
              <w:rPr>
                <w:sz w:val="21"/>
              </w:rPr>
              <w:t>4.7.9.</w:t>
            </w:r>
            <w:r>
              <w:rPr>
                <w:sz w:val="21"/>
              </w:rPr>
              <w:t>多种剂量归一方式，包括点剂量和等剂量线归一（如靶区平均剂量）</w:t>
            </w:r>
          </w:p>
          <w:p>
            <w:pPr>
              <w:jc w:val="both"/>
            </w:pPr>
            <w:r>
              <w:rPr>
                <w:sz w:val="21"/>
              </w:rPr>
              <w:t>4.8.</w:t>
            </w:r>
            <w:r>
              <w:rPr>
                <w:sz w:val="21"/>
              </w:rPr>
              <w:t>IMRT逆向计划功能要求</w:t>
            </w:r>
          </w:p>
          <w:p>
            <w:pPr>
              <w:jc w:val="both"/>
            </w:pPr>
            <w:r>
              <w:rPr>
                <w:sz w:val="21"/>
              </w:rPr>
              <w:t>4.8.1.</w:t>
            </w:r>
            <w:r>
              <w:rPr>
                <w:sz w:val="21"/>
              </w:rPr>
              <w:t>采用业界标准的快速准确的优化算法，目标函数类型应为以物理剂量或体积为基础，可优化参数包括：</w:t>
            </w:r>
            <w:r>
              <w:rPr>
                <w:sz w:val="21"/>
              </w:rPr>
              <w:t>CTV、PTV及危及器官的最大剂量、最小剂量、单位体积内剂量及相应的权重设定等，用户应能设定停止计算的标准并选择迭代次数</w:t>
            </w:r>
          </w:p>
          <w:p>
            <w:pPr>
              <w:jc w:val="both"/>
            </w:pPr>
            <w:r>
              <w:rPr>
                <w:sz w:val="21"/>
              </w:rPr>
              <w:t>4.8.2.</w:t>
            </w:r>
            <w:r>
              <w:rPr>
                <w:sz w:val="21"/>
              </w:rPr>
              <w:t>优化过程应能利用常规传统三维适形方案，在适形计划上叠加</w:t>
            </w:r>
            <w:r>
              <w:rPr>
                <w:sz w:val="21"/>
              </w:rPr>
              <w:t>IMRT计划</w:t>
            </w:r>
          </w:p>
          <w:p>
            <w:pPr>
              <w:jc w:val="both"/>
            </w:pPr>
            <w:r>
              <w:rPr>
                <w:sz w:val="21"/>
              </w:rPr>
              <w:t>4.8.3.</w:t>
            </w:r>
            <w:r>
              <w:rPr>
                <w:sz w:val="21"/>
              </w:rPr>
              <w:t>可对优化后的子野进行叶片位置的编辑及剂量权重的优化</w:t>
            </w:r>
          </w:p>
          <w:p>
            <w:pPr>
              <w:jc w:val="both"/>
            </w:pPr>
            <w:r>
              <w:rPr>
                <w:sz w:val="21"/>
              </w:rPr>
              <w:t>4.8.3.1.</w:t>
            </w:r>
            <w:r>
              <w:rPr>
                <w:sz w:val="21"/>
              </w:rPr>
              <w:t>用户可预先定义子野数量，最小</w:t>
            </w:r>
            <w:r>
              <w:rPr>
                <w:sz w:val="21"/>
              </w:rPr>
              <w:t>MU等参数</w:t>
            </w:r>
          </w:p>
          <w:p>
            <w:pPr>
              <w:jc w:val="both"/>
            </w:pPr>
            <w:r>
              <w:rPr>
                <w:sz w:val="21"/>
              </w:rPr>
              <w:t>4.8.3.2.</w:t>
            </w:r>
            <w:r>
              <w:rPr>
                <w:sz w:val="21"/>
              </w:rPr>
              <w:t>优化结果直接生成子野序列，无需优化通量图</w:t>
            </w:r>
          </w:p>
          <w:p>
            <w:pPr>
              <w:jc w:val="both"/>
            </w:pPr>
            <w:r>
              <w:rPr>
                <w:sz w:val="21"/>
              </w:rPr>
              <w:t>4.8.3.3.</w:t>
            </w:r>
            <w:r>
              <w:rPr>
                <w:sz w:val="21"/>
              </w:rPr>
              <w:t>能设置同时运动的最小叶片对数</w:t>
            </w:r>
          </w:p>
          <w:p>
            <w:pPr>
              <w:jc w:val="both"/>
            </w:pPr>
            <w:r>
              <w:rPr>
                <w:sz w:val="21"/>
              </w:rPr>
              <w:t>4.8.3.4.</w:t>
            </w:r>
            <w:r>
              <w:rPr>
                <w:sz w:val="21"/>
              </w:rPr>
              <w:t>能设置叶片间隙距离</w:t>
            </w:r>
          </w:p>
          <w:p>
            <w:pPr>
              <w:jc w:val="both"/>
            </w:pPr>
            <w:r>
              <w:rPr>
                <w:sz w:val="21"/>
              </w:rPr>
              <w:t>4.8.4.</w:t>
            </w:r>
            <w:r>
              <w:rPr>
                <w:sz w:val="21"/>
              </w:rPr>
              <w:t>可对优化后的子野进行叶片位置的编辑及剂量权重的优化</w:t>
            </w:r>
          </w:p>
          <w:p>
            <w:pPr>
              <w:jc w:val="both"/>
            </w:pPr>
            <w:r>
              <w:rPr>
                <w:sz w:val="21"/>
              </w:rPr>
              <w:t>4.8.5.</w:t>
            </w:r>
            <w:r>
              <w:rPr>
                <w:sz w:val="21"/>
              </w:rPr>
              <w:t>支持剂量通量图的输出，以便进行</w:t>
            </w:r>
            <w:r>
              <w:rPr>
                <w:sz w:val="21"/>
              </w:rPr>
              <w:t>IMRT的剂量验证</w:t>
            </w:r>
          </w:p>
          <w:p>
            <w:pPr>
              <w:jc w:val="both"/>
            </w:pPr>
            <w:r>
              <w:rPr>
                <w:sz w:val="21"/>
              </w:rPr>
              <w:t>4.8.6.</w:t>
            </w:r>
            <w:r>
              <w:rPr>
                <w:sz w:val="21"/>
              </w:rPr>
              <w:t>可同时计算静态适形电子线野剂量，以保证调强线束与电子线束相接处剂量分布均匀</w:t>
            </w:r>
          </w:p>
          <w:p>
            <w:pPr>
              <w:jc w:val="both"/>
            </w:pPr>
            <w:r>
              <w:rPr>
                <w:sz w:val="21"/>
              </w:rPr>
              <w:t>▲4.9.</w:t>
            </w:r>
            <w:r>
              <w:rPr>
                <w:sz w:val="21"/>
              </w:rPr>
              <w:t>基于器官模型的自动勾画要求（提供功能截图加盖公章）</w:t>
            </w:r>
          </w:p>
          <w:p>
            <w:pPr>
              <w:jc w:val="both"/>
            </w:pPr>
            <w:r>
              <w:rPr>
                <w:sz w:val="21"/>
              </w:rPr>
              <w:t>4.9.1.</w:t>
            </w:r>
            <w:r>
              <w:rPr>
                <w:sz w:val="21"/>
              </w:rPr>
              <w:t>器官模型应包括头颈部及胸腹部各正常器官</w:t>
            </w:r>
          </w:p>
          <w:p>
            <w:pPr>
              <w:jc w:val="both"/>
            </w:pPr>
            <w:r>
              <w:rPr>
                <w:sz w:val="21"/>
              </w:rPr>
              <w:t>4.9.2.</w:t>
            </w:r>
            <w:r>
              <w:rPr>
                <w:sz w:val="21"/>
              </w:rPr>
              <w:t>用户可自由定义器官模型</w:t>
            </w:r>
          </w:p>
          <w:p>
            <w:pPr>
              <w:jc w:val="both"/>
            </w:pPr>
            <w:r>
              <w:rPr>
                <w:sz w:val="21"/>
              </w:rPr>
              <w:t>4.9.3.</w:t>
            </w:r>
            <w:r>
              <w:rPr>
                <w:sz w:val="21"/>
              </w:rPr>
              <w:t>器官模型数量无限制</w:t>
            </w:r>
          </w:p>
          <w:p>
            <w:pPr>
              <w:jc w:val="both"/>
            </w:pPr>
            <w:r>
              <w:rPr>
                <w:sz w:val="21"/>
              </w:rPr>
              <w:t>4.10.</w:t>
            </w:r>
            <w:r>
              <w:rPr>
                <w:sz w:val="21"/>
              </w:rPr>
              <w:t>剂量分布显示方式</w:t>
            </w:r>
          </w:p>
          <w:p>
            <w:pPr>
              <w:jc w:val="both"/>
            </w:pPr>
            <w:r>
              <w:rPr>
                <w:sz w:val="21"/>
              </w:rPr>
              <w:t>4.10.1.</w:t>
            </w:r>
            <w:r>
              <w:rPr>
                <w:sz w:val="21"/>
              </w:rPr>
              <w:t>三维彩色剂量显示，三维等剂量线显示，三维剂量云显示</w:t>
            </w:r>
          </w:p>
          <w:p>
            <w:pPr>
              <w:jc w:val="both"/>
            </w:pPr>
            <w:r>
              <w:rPr>
                <w:sz w:val="21"/>
              </w:rPr>
              <w:t>4.10.2.</w:t>
            </w:r>
            <w:r>
              <w:rPr>
                <w:sz w:val="21"/>
              </w:rPr>
              <w:t>能在三维的轮廓图上显示</w:t>
            </w:r>
          </w:p>
          <w:p>
            <w:pPr>
              <w:jc w:val="both"/>
            </w:pPr>
            <w:r>
              <w:rPr>
                <w:sz w:val="21"/>
              </w:rPr>
              <w:t>▲4.11</w:t>
            </w:r>
            <w:r>
              <w:rPr>
                <w:sz w:val="21"/>
              </w:rPr>
              <w:t>有剂量体积直方图（</w:t>
            </w:r>
            <w:r>
              <w:rPr>
                <w:sz w:val="21"/>
              </w:rPr>
              <w:t>DVH）计划评估工具（提供功能截图加盖公章）</w:t>
            </w:r>
          </w:p>
          <w:p>
            <w:pPr>
              <w:jc w:val="both"/>
            </w:pPr>
            <w:r>
              <w:rPr>
                <w:sz w:val="21"/>
              </w:rPr>
              <w:t>4.11.1.</w:t>
            </w:r>
            <w:r>
              <w:rPr>
                <w:sz w:val="21"/>
              </w:rPr>
              <w:t>DVH计算和显示，包括积分DVH及微分DVH</w:t>
            </w:r>
          </w:p>
          <w:p>
            <w:pPr>
              <w:jc w:val="both"/>
            </w:pPr>
            <w:r>
              <w:rPr>
                <w:sz w:val="21"/>
              </w:rPr>
              <w:t>4.11.2.</w:t>
            </w:r>
            <w:r>
              <w:rPr>
                <w:sz w:val="21"/>
              </w:rPr>
              <w:t>DVH实时更新</w:t>
            </w:r>
          </w:p>
          <w:p>
            <w:pPr>
              <w:jc w:val="both"/>
            </w:pPr>
            <w:r>
              <w:rPr>
                <w:sz w:val="21"/>
              </w:rPr>
              <w:t>4.12.</w:t>
            </w:r>
            <w:r>
              <w:rPr>
                <w:sz w:val="21"/>
              </w:rPr>
              <w:t>同一计划的不同试验间的比较</w:t>
            </w:r>
          </w:p>
          <w:p>
            <w:pPr>
              <w:jc w:val="both"/>
            </w:pPr>
            <w:r>
              <w:rPr>
                <w:sz w:val="21"/>
              </w:rPr>
              <w:t>4.12.1.</w:t>
            </w:r>
            <w:r>
              <w:rPr>
                <w:sz w:val="21"/>
              </w:rPr>
              <w:t>可生成全新试验计划</w:t>
            </w:r>
          </w:p>
          <w:p>
            <w:pPr>
              <w:jc w:val="both"/>
            </w:pPr>
            <w:r>
              <w:rPr>
                <w:sz w:val="21"/>
              </w:rPr>
              <w:t>4.12.2.</w:t>
            </w:r>
            <w:r>
              <w:rPr>
                <w:sz w:val="21"/>
              </w:rPr>
              <w:t>可利用</w:t>
            </w:r>
            <w:r>
              <w:rPr>
                <w:sz w:val="21"/>
              </w:rPr>
              <w:t>DVH进行实时比较</w:t>
            </w:r>
          </w:p>
          <w:p>
            <w:pPr>
              <w:jc w:val="both"/>
            </w:pPr>
            <w:r>
              <w:rPr>
                <w:sz w:val="21"/>
              </w:rPr>
              <w:t>4.13.</w:t>
            </w:r>
            <w:r>
              <w:rPr>
                <w:sz w:val="21"/>
              </w:rPr>
              <w:t>计划输出要求：</w:t>
            </w:r>
          </w:p>
          <w:p>
            <w:pPr>
              <w:jc w:val="both"/>
            </w:pPr>
            <w:r>
              <w:rPr>
                <w:sz w:val="21"/>
              </w:rPr>
              <w:t>4.13.1.</w:t>
            </w:r>
            <w:r>
              <w:rPr>
                <w:sz w:val="21"/>
              </w:rPr>
              <w:t>最后计划输出应包含每一照射野的几何参数，</w:t>
            </w:r>
            <w:r>
              <w:rPr>
                <w:sz w:val="21"/>
              </w:rPr>
              <w:t>MU结果及MU计算的中间参数</w:t>
            </w:r>
          </w:p>
          <w:p>
            <w:pPr>
              <w:jc w:val="both"/>
            </w:pPr>
            <w:r>
              <w:rPr>
                <w:sz w:val="21"/>
              </w:rPr>
              <w:t>4.13.2.</w:t>
            </w:r>
            <w:r>
              <w:rPr>
                <w:sz w:val="21"/>
              </w:rPr>
              <w:t>可以任意比例打印输出挡铅的形状</w:t>
            </w:r>
          </w:p>
          <w:p>
            <w:pPr>
              <w:jc w:val="both"/>
            </w:pPr>
            <w:r>
              <w:rPr>
                <w:sz w:val="21"/>
              </w:rPr>
              <w:t>4.13.3.</w:t>
            </w:r>
            <w:r>
              <w:rPr>
                <w:sz w:val="21"/>
              </w:rPr>
              <w:t>可打印输出任何窗口视图及文字，可在窗口中随意添加文字标签</w:t>
            </w:r>
          </w:p>
          <w:p>
            <w:pPr>
              <w:jc w:val="both"/>
            </w:pPr>
            <w:r>
              <w:rPr>
                <w:sz w:val="21"/>
              </w:rPr>
              <w:t>4.13.4.</w:t>
            </w:r>
            <w:r>
              <w:rPr>
                <w:sz w:val="21"/>
              </w:rPr>
              <w:t>可产生数字化挡块文件并通过网络传送至挡块切割机进行切割</w:t>
            </w:r>
          </w:p>
          <w:p>
            <w:pPr>
              <w:jc w:val="both"/>
            </w:pPr>
            <w:r>
              <w:rPr>
                <w:sz w:val="21"/>
              </w:rPr>
              <w:t>4.13.5.</w:t>
            </w:r>
            <w:r>
              <w:rPr>
                <w:sz w:val="21"/>
              </w:rPr>
              <w:t>治疗参数可经</w:t>
            </w:r>
            <w:r>
              <w:rPr>
                <w:sz w:val="21"/>
              </w:rPr>
              <w:t>DICOM-RT传至治疗机</w:t>
            </w:r>
          </w:p>
          <w:p>
            <w:pPr>
              <w:jc w:val="both"/>
            </w:pPr>
            <w:r>
              <w:rPr>
                <w:sz w:val="21"/>
              </w:rPr>
              <w:t>★4.14.</w:t>
            </w:r>
            <w:r>
              <w:rPr>
                <w:sz w:val="21"/>
              </w:rPr>
              <w:t>可在系统中保留软件不同版本，并可随时使用，以使重新观察旧病人时不需要计算，并可完全保持原有计划参数</w:t>
            </w:r>
          </w:p>
          <w:p>
            <w:pPr>
              <w:jc w:val="both"/>
            </w:pPr>
            <w:r>
              <w:rPr>
                <w:sz w:val="21"/>
              </w:rPr>
              <w:t>4.15.</w:t>
            </w:r>
            <w:r>
              <w:rPr>
                <w:sz w:val="21"/>
              </w:rPr>
              <w:t>脚本功能：可以自由定义脚本和任意的操作记录脚本，可定制及修改任意治疗计划的脚本，方便临床规范化使用。医生批准后的治疗计划应可被锁定，不能进行任何修改和变动</w:t>
            </w:r>
          </w:p>
          <w:p>
            <w:pPr>
              <w:jc w:val="both"/>
            </w:pPr>
            <w:r>
              <w:rPr>
                <w:sz w:val="21"/>
              </w:rPr>
              <w:t>▲4.16.</w:t>
            </w:r>
            <w:r>
              <w:rPr>
                <w:sz w:val="21"/>
              </w:rPr>
              <w:t>调强终端可以并行处理病人，包括剂量计算。同时处理多个病人，后台计算功能；要求能够同时处理</w:t>
            </w:r>
            <w:r>
              <w:rPr>
                <w:sz w:val="21"/>
              </w:rPr>
              <w:t>4个以上病人（提供加盖公章的承诺函）</w:t>
            </w:r>
          </w:p>
          <w:p>
            <w:pPr>
              <w:jc w:val="both"/>
            </w:pPr>
            <w:r>
              <w:rPr>
                <w:sz w:val="21"/>
              </w:rPr>
              <w:t>4.17.</w:t>
            </w:r>
            <w:r>
              <w:rPr>
                <w:sz w:val="21"/>
              </w:rPr>
              <w:t>网络及接口软件要求：</w:t>
            </w:r>
          </w:p>
          <w:p>
            <w:pPr>
              <w:jc w:val="both"/>
            </w:pPr>
            <w:r>
              <w:rPr>
                <w:sz w:val="21"/>
              </w:rPr>
              <w:t>4.17.1.</w:t>
            </w:r>
            <w:r>
              <w:rPr>
                <w:sz w:val="21"/>
              </w:rPr>
              <w:t>系统应完全遵从</w:t>
            </w:r>
            <w:r>
              <w:rPr>
                <w:sz w:val="21"/>
              </w:rPr>
              <w:t>DICOM3.0标准，以实现医学影像共享</w:t>
            </w:r>
          </w:p>
          <w:p>
            <w:pPr>
              <w:jc w:val="both"/>
            </w:pPr>
            <w:r>
              <w:rPr>
                <w:sz w:val="21"/>
              </w:rPr>
              <w:t>4.17.2.</w:t>
            </w:r>
            <w:r>
              <w:rPr>
                <w:sz w:val="21"/>
              </w:rPr>
              <w:t>提供</w:t>
            </w:r>
            <w:r>
              <w:rPr>
                <w:sz w:val="21"/>
              </w:rPr>
              <w:t>DICOM图像的输入和输出功能</w:t>
            </w:r>
          </w:p>
          <w:p>
            <w:pPr>
              <w:jc w:val="both"/>
            </w:pPr>
            <w:r>
              <w:rPr>
                <w:sz w:val="21"/>
              </w:rPr>
              <w:t>4.17.3.</w:t>
            </w:r>
            <w:r>
              <w:rPr>
                <w:sz w:val="21"/>
              </w:rPr>
              <w:t>提供</w:t>
            </w:r>
            <w:r>
              <w:rPr>
                <w:sz w:val="21"/>
              </w:rPr>
              <w:t>DICOM RT的输入和输出功能</w:t>
            </w:r>
          </w:p>
          <w:p>
            <w:pPr>
              <w:jc w:val="both"/>
            </w:pPr>
            <w:r>
              <w:rPr>
                <w:sz w:val="21"/>
              </w:rPr>
              <w:t>三、配置要求</w:t>
            </w:r>
          </w:p>
          <w:tbl>
            <w:tblPr>
              <w:tblInd w:type="dxa" w:w="270"/>
              <w:tblBorders>
                <w:top w:val="none" w:color="000000" w:sz="4"/>
                <w:left w:val="none" w:color="000000" w:sz="4"/>
                <w:bottom w:val="none" w:color="000000" w:sz="4"/>
                <w:right w:val="none" w:color="000000" w:sz="4"/>
                <w:insideH w:val="none"/>
                <w:insideV w:val="none"/>
              </w:tblBorders>
            </w:tblPr>
            <w:tblGrid>
              <w:gridCol w:w="1145"/>
              <w:gridCol w:w="1614"/>
              <w:gridCol w:w="1351"/>
              <w:gridCol w:w="1488"/>
            </w:tblGrid>
            <w:tr>
              <w:tc>
                <w:tcPr>
                  <w:tcW w:type="dxa" w:w="1145"/>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1614"/>
                  <w:tcBorders>
                    <w:top w:val="single" w:color="000000" w:sz="4"/>
                    <w:left w:val="single" w:color="000000" w:sz="4"/>
                    <w:bottom w:val="single" w:color="000000" w:sz="4"/>
                    <w:right w:val="single" w:color="000000" w:sz="4"/>
                  </w:tcBorders>
                  <w:vAlign w:val="top"/>
                </w:tcPr>
                <w:p>
                  <w:pPr>
                    <w:jc w:val="both"/>
                  </w:pPr>
                  <w:r>
                    <w:rPr>
                      <w:sz w:val="21"/>
                    </w:rPr>
                    <w:t>物品名称</w:t>
                  </w:r>
                </w:p>
              </w:tc>
              <w:tc>
                <w:tcPr>
                  <w:tcW w:type="dxa" w:w="1351"/>
                  <w:tcBorders>
                    <w:top w:val="single" w:color="000000" w:sz="4"/>
                    <w:left w:val="single" w:color="000000" w:sz="4"/>
                    <w:bottom w:val="single" w:color="000000" w:sz="4"/>
                    <w:right w:val="single" w:color="000000" w:sz="4"/>
                  </w:tcBorders>
                  <w:vAlign w:val="top"/>
                </w:tcPr>
                <w:p>
                  <w:pPr>
                    <w:jc w:val="both"/>
                  </w:pPr>
                  <w:r>
                    <w:rPr>
                      <w:sz w:val="21"/>
                    </w:rPr>
                    <w:t>数量</w:t>
                  </w:r>
                </w:p>
              </w:tc>
              <w:tc>
                <w:tcPr>
                  <w:tcW w:type="dxa" w:w="1488"/>
                  <w:tcBorders>
                    <w:top w:val="single" w:color="000000" w:sz="4"/>
                    <w:left w:val="single" w:color="000000" w:sz="4"/>
                    <w:bottom w:val="single" w:color="000000" w:sz="4"/>
                    <w:right w:val="single" w:color="000000" w:sz="4"/>
                  </w:tcBorders>
                  <w:vAlign w:val="top"/>
                </w:tcPr>
                <w:p>
                  <w:pPr>
                    <w:jc w:val="both"/>
                  </w:pPr>
                  <w:r>
                    <w:rPr>
                      <w:sz w:val="21"/>
                    </w:rPr>
                    <w:t>备注</w:t>
                  </w:r>
                </w:p>
              </w:tc>
            </w:tr>
            <w:tr>
              <w:tc>
                <w:tcPr>
                  <w:tcW w:type="dxa" w:w="1145"/>
                  <w:tcBorders>
                    <w:top w:val="none" w:color="000000" w:sz="4"/>
                    <w:left w:val="single" w:color="000000" w:sz="4"/>
                    <w:bottom w:val="single" w:color="000000" w:sz="4"/>
                    <w:right w:val="single" w:color="000000" w:sz="4"/>
                  </w:tcBorders>
                  <w:vAlign w:val="top"/>
                </w:tcPr>
                <w:p>
                  <w:pPr>
                    <w:jc w:val="both"/>
                  </w:pPr>
                  <w:r>
                    <w:rPr>
                      <w:sz w:val="21"/>
                    </w:rPr>
                    <w:t>1</w:t>
                  </w:r>
                </w:p>
              </w:tc>
              <w:tc>
                <w:tcPr>
                  <w:tcW w:type="dxa" w:w="1614"/>
                  <w:tcBorders>
                    <w:top w:val="none" w:color="000000" w:sz="4"/>
                    <w:left w:val="single" w:color="000000" w:sz="4"/>
                    <w:bottom w:val="single" w:color="000000" w:sz="4"/>
                    <w:right w:val="single" w:color="000000" w:sz="4"/>
                  </w:tcBorders>
                  <w:vAlign w:val="top"/>
                </w:tcPr>
                <w:p>
                  <w:pPr>
                    <w:jc w:val="both"/>
                  </w:pPr>
                  <w:r>
                    <w:rPr>
                      <w:sz w:val="21"/>
                    </w:rPr>
                    <w:t>服务器</w:t>
                  </w:r>
                </w:p>
              </w:tc>
              <w:tc>
                <w:tcPr>
                  <w:tcW w:type="dxa" w:w="1351"/>
                  <w:tcBorders>
                    <w:top w:val="none" w:color="000000" w:sz="4"/>
                    <w:left w:val="single" w:color="000000" w:sz="4"/>
                    <w:bottom w:val="single" w:color="000000" w:sz="4"/>
                    <w:right w:val="single" w:color="000000" w:sz="4"/>
                  </w:tcBorders>
                  <w:vAlign w:val="top"/>
                </w:tcPr>
                <w:p>
                  <w:pPr>
                    <w:jc w:val="both"/>
                  </w:pPr>
                  <w:r>
                    <w:rPr>
                      <w:sz w:val="21"/>
                    </w:rPr>
                    <w:t>1台</w:t>
                  </w:r>
                </w:p>
              </w:tc>
              <w:tc>
                <w:tcPr>
                  <w:tcW w:type="dxa" w:w="1488"/>
                  <w:tcBorders>
                    <w:top w:val="none" w:color="000000" w:sz="4"/>
                    <w:left w:val="single" w:color="000000" w:sz="4"/>
                    <w:bottom w:val="single" w:color="000000" w:sz="4"/>
                    <w:right w:val="single" w:color="000000" w:sz="4"/>
                  </w:tcBorders>
                  <w:vAlign w:val="top"/>
                </w:tcPr>
                <w:p>
                  <w:pPr>
                    <w:jc w:val="both"/>
                  </w:pPr>
                </w:p>
              </w:tc>
            </w:tr>
            <w:tr>
              <w:tc>
                <w:tcPr>
                  <w:tcW w:type="dxa" w:w="1145"/>
                  <w:tcBorders>
                    <w:top w:val="none" w:color="000000" w:sz="4"/>
                    <w:left w:val="single" w:color="000000" w:sz="4"/>
                    <w:bottom w:val="single" w:color="000000" w:sz="4"/>
                    <w:right w:val="single" w:color="000000" w:sz="4"/>
                  </w:tcBorders>
                  <w:vAlign w:val="top"/>
                </w:tcPr>
                <w:p>
                  <w:pPr>
                    <w:jc w:val="both"/>
                  </w:pPr>
                  <w:r>
                    <w:rPr>
                      <w:sz w:val="21"/>
                    </w:rPr>
                    <w:t>2</w:t>
                  </w:r>
                </w:p>
              </w:tc>
              <w:tc>
                <w:tcPr>
                  <w:tcW w:type="dxa" w:w="1614"/>
                  <w:tcBorders>
                    <w:top w:val="none" w:color="000000" w:sz="4"/>
                    <w:left w:val="single" w:color="000000" w:sz="4"/>
                    <w:bottom w:val="single" w:color="000000" w:sz="4"/>
                    <w:right w:val="single" w:color="000000" w:sz="4"/>
                  </w:tcBorders>
                  <w:vAlign w:val="top"/>
                </w:tcPr>
                <w:p>
                  <w:pPr>
                    <w:jc w:val="both"/>
                  </w:pPr>
                  <w:r>
                    <w:rPr>
                      <w:sz w:val="21"/>
                    </w:rPr>
                    <w:t>工作站</w:t>
                  </w:r>
                </w:p>
              </w:tc>
              <w:tc>
                <w:tcPr>
                  <w:tcW w:type="dxa" w:w="1351"/>
                  <w:tcBorders>
                    <w:top w:val="none" w:color="000000" w:sz="4"/>
                    <w:left w:val="single" w:color="000000" w:sz="4"/>
                    <w:bottom w:val="single" w:color="000000" w:sz="4"/>
                    <w:right w:val="single" w:color="000000" w:sz="4"/>
                  </w:tcBorders>
                  <w:vAlign w:val="top"/>
                </w:tcPr>
                <w:p>
                  <w:pPr>
                    <w:jc w:val="both"/>
                  </w:pPr>
                  <w:r>
                    <w:rPr>
                      <w:sz w:val="21"/>
                    </w:rPr>
                    <w:t>3套</w:t>
                  </w:r>
                </w:p>
              </w:tc>
              <w:tc>
                <w:tcPr>
                  <w:tcW w:type="dxa" w:w="1488"/>
                  <w:tcBorders>
                    <w:top w:val="none" w:color="000000" w:sz="4"/>
                    <w:left w:val="single" w:color="000000" w:sz="4"/>
                    <w:bottom w:val="single" w:color="000000" w:sz="4"/>
                    <w:right w:val="single" w:color="000000" w:sz="4"/>
                  </w:tcBorders>
                  <w:vAlign w:val="top"/>
                </w:tcPr>
                <w:p>
                  <w:pPr>
                    <w:jc w:val="both"/>
                  </w:pPr>
                </w:p>
              </w:tc>
            </w:tr>
          </w:tbl>
          <w:p>
            <w:pPr>
              <w:jc w:val="both"/>
            </w:pPr>
          </w:p>
          <w:p>
            <w:pPr>
              <w:jc w:val="both"/>
            </w:pPr>
            <w:r>
              <w:rPr/>
              <w:t xml:space="preserve"> </w:t>
            </w:r>
          </w:p>
          <w:p>
            <w:pPr>
              <w:jc w:val="both"/>
            </w:pPr>
            <w:r>
              <w:rPr/>
              <w:t xml:space="preserve"> </w:t>
            </w:r>
          </w:p>
          <w:p>
            <w:pPr>
              <w:jc w:val="both"/>
            </w:pPr>
            <w:r>
              <w:rPr/>
              <w:t xml:space="preserve"> </w:t>
            </w:r>
          </w:p>
          <w:p>
            <w:pPr>
              <w:jc w:val="both"/>
            </w:pPr>
            <w:r>
              <w:rPr/>
              <w:t xml:space="preserve"> </w:t>
            </w:r>
          </w:p>
        </w:tc>
      </w:tr>
      <w:tr>
        <w:tc>
          <w:tcPr>
            <w:tcW w:type="dxa" w:w="2076"/>
          </w:tcPr>
          <w:p>
            <w:r>
              <w:rPr/>
              <w:t>★</w:t>
            </w:r>
          </w:p>
        </w:tc>
        <w:tc>
          <w:tcPr>
            <w:tcW w:type="dxa" w:w="415"/>
          </w:tcPr>
          <w:p>
            <w:r>
              <w:rPr/>
              <w:t>2</w:t>
            </w:r>
          </w:p>
        </w:tc>
        <w:tc>
          <w:tcPr>
            <w:tcW w:type="dxa" w:w="5814"/>
          </w:tcPr>
          <w:p>
            <w:pPr>
              <w:jc w:val="both"/>
            </w:pPr>
            <w:r>
              <w:rPr/>
              <w:t xml:space="preserve"> </w:t>
            </w:r>
          </w:p>
          <w:p>
            <w:pPr>
              <w:jc w:val="both"/>
            </w:pPr>
            <w:r>
              <w:rPr/>
              <w:t xml:space="preserve"> </w:t>
            </w:r>
          </w:p>
          <w:p>
            <w:pPr>
              <w:jc w:val="both"/>
            </w:pPr>
            <w:r>
              <w:rPr>
                <w:sz w:val="21"/>
              </w:rPr>
              <w:t>★3.2.1.</w:t>
            </w:r>
            <w:r>
              <w:rPr>
                <w:sz w:val="21"/>
              </w:rPr>
              <w:t>调强和适形工作站可自由选择终端进行操作，无需具体指定</w:t>
            </w:r>
          </w:p>
          <w:p>
            <w:pPr>
              <w:jc w:val="both"/>
            </w:pPr>
            <w:r>
              <w:rPr>
                <w:sz w:val="21"/>
              </w:rPr>
              <w:t>★4.2.4.</w:t>
            </w:r>
            <w:r>
              <w:rPr>
                <w:sz w:val="21"/>
              </w:rPr>
              <w:t>DCR 功能，可编辑重建区的影像区域，以及过滤用于重建的影像信息</w:t>
            </w:r>
          </w:p>
          <w:p>
            <w:pPr>
              <w:jc w:val="both"/>
            </w:pPr>
            <w:r>
              <w:rPr>
                <w:sz w:val="21"/>
              </w:rPr>
              <w:t>★4.7.6.</w:t>
            </w:r>
            <w:r>
              <w:rPr>
                <w:sz w:val="21"/>
              </w:rPr>
              <w:t>支持不勾画体表外轮廓进行剂量计算</w:t>
            </w:r>
          </w:p>
          <w:p>
            <w:pPr>
              <w:jc w:val="both"/>
            </w:pPr>
            <w:r>
              <w:rPr>
                <w:sz w:val="21"/>
              </w:rPr>
              <w:t>★4.14.</w:t>
            </w:r>
            <w:r>
              <w:rPr>
                <w:sz w:val="21"/>
              </w:rPr>
              <w:t>可在系统中保留软件不同版本，并可随时使用，以使重新观察旧病人时不需要计算，并可完全保持原有计划参数</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1.采购代理机构：本项目是指广东广招招标采购有限公司，负责整个采购活动的组织，依法负责编制和发布招标文件，对招标文件拥有最终的解释权，不以任何身份出任评标委员会成员。</w:t>
      </w:r>
    </w:p>
    <w:p>
      <w:pPr>
        <w:ind w:firstLine="480"/>
      </w:pPr>
      <w:r>
        <w:rPr/>
        <w:t>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采购包1：保证金人民币：40,000.00元整。</w:t>
            </w:r>
          </w:p>
          <w:p>
            <w:r>
              <w:rPr/>
              <w:t>开户单位：</w:t>
            </w:r>
            <w:r>
              <w:rPr/>
              <w:t>广东广招招标采购有限公司</w:t>
            </w:r>
          </w:p>
          <w:p>
            <w:r>
              <w:rPr/>
              <w:t>开户账号：</w:t>
            </w:r>
            <w:r>
              <w:rPr/>
              <w:t>101001516010013984</w:t>
            </w:r>
          </w:p>
          <w:p>
            <w:r>
              <w:rPr/>
              <w:t>开户银行：</w:t>
            </w:r>
            <w:r>
              <w:rPr/>
              <w:t>广发银行广州分行广发大厦支行</w:t>
            </w:r>
          </w:p>
          <w:p>
            <w:r>
              <w:rPr/>
              <w:t>支票提交方式：</w:t>
            </w:r>
            <w:r>
              <w:rPr/>
              <w:t>投标保证金方式：投标保证金应当以转账、支票、汇票、本票或者金融机构、担保机构出具的保函等非现金形式提交。</w:t>
            </w:r>
          </w:p>
          <w:p>
            <w:r>
              <w:rPr/>
              <w:t>汇票、本票提交方式：</w:t>
            </w:r>
            <w:r>
              <w:rPr/>
              <w:t>投标保证金方式：投标保证金应当以转账、支票、汇票、本票或者金融机构、担保机构出具的保函等非现金形式提交。</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5</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采购机构代理服务收费标准：本项目采购机构代理服务收费标准：本项目中标人应缴纳的中标服务费的收费标准和规定参照 《中华人民共和国国家计划委员会关于印发&lt;招标代理服务收 费管理暂行办法&gt;的通知》（计 价格〔2002〕1980号）、《国家发展改革委办公厅关于招标代理服务收费有关问题的通知》 （发改办价格〔2003〕857号）及《国家发展改革委关于降低部分建设项目收费标准规范收费 行为等有关问题的通知》（发改价格〔2011〕534号）的“货物类”标准计算，以本项目的中标 金额作为收费的计算依据，经计算得出中标服务费低于5000元的按5000元定额收取。 根据财 库〔2016〕198号《政府采购评审专家管理办法》第二十三条和第二十五条中“集中采购目录外 的项目，由采购人负责支付本项目评审专家劳务报酬、异地专家（如有）往返城市间交通费、 住宿费等”的规定；本项目评审专家劳务报酬、异地专家（如有）往返城市间交通费、住宿费等 ，先委托招标代理机构垫付，后由中标人在支付代理服务费时一并支付。 采购代理机构收款人 、开户行及帐号如下： 收款人：广东广招招标采购有限公司 开户行：中国工商银行广州市东城 支行 帐 号：3602031409200624988。</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；请各投标人在投标文件递交截止时间前按须知前附表规定的金额递交至</w:t>
      </w:r>
      <w:r>
        <w:rPr/>
        <w:t>广东广招招标采购有限公司</w:t>
      </w:r>
      <w:r>
        <w:rPr/>
        <w:t>，到账情况以开标时</w:t>
      </w:r>
      <w:r>
        <w:rPr/>
        <w:t>广东广招招标采购有限公司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陈工，王工</w:t>
      </w:r>
    </w:p>
    <w:p>
      <w:pPr>
        <w:ind w:firstLine="480"/>
      </w:pPr>
      <w:r>
        <w:rPr/>
        <w:t>电话：</w:t>
      </w:r>
      <w:r>
        <w:rPr/>
        <w:t>0662-3305822</w:t>
      </w:r>
    </w:p>
    <w:p>
      <w:pPr>
        <w:ind w:firstLine="480"/>
      </w:pPr>
      <w:r>
        <w:rPr/>
        <w:t>传真：</w:t>
      </w:r>
      <w:r>
        <w:rPr/>
        <w:t>0662-2269882</w:t>
      </w:r>
    </w:p>
    <w:p>
      <w:pPr>
        <w:ind w:firstLine="480"/>
      </w:pPr>
      <w:r>
        <w:rPr/>
        <w:t>邮箱：</w:t>
      </w:r>
      <w:r>
        <w:rPr/>
        <w:t>gz37816279@163.com</w:t>
      </w:r>
    </w:p>
    <w:p>
      <w:pPr>
        <w:ind w:firstLine="480"/>
      </w:pPr>
      <w:r>
        <w:rPr/>
        <w:t>地址：</w:t>
      </w:r>
      <w:r>
        <w:rPr/>
        <w:t>阳江市江城区东风二路东怡花园8幢50号会议室（阳江市行政服务中心西侧仙踪路路口直入约50米）。</w:t>
      </w:r>
    </w:p>
    <w:p>
      <w:pPr>
        <w:ind w:firstLine="480"/>
      </w:pPr>
      <w:r>
        <w:rPr/>
        <w:t>邮编：</w:t>
      </w:r>
      <w:r>
        <w:rPr/>
        <w:t>529500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政府采购监督管理机构名称：广东省阳江市政府采购管理办公室</w:t>
      </w:r>
    </w:p>
    <w:p>
      <w:r>
        <w:rPr/>
        <w:t>地  址：阳江市江城区石湾北路225号</w:t>
      </w:r>
    </w:p>
    <w:p>
      <w:r>
        <w:rPr/>
        <w:t>电  话：0662-3418693</w:t>
      </w:r>
    </w:p>
    <w:p>
      <w:r>
        <w:rPr/>
        <w:t>邮  编：529500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采购包1(放射治疗计划系统)：综合评分法,是指投标文件满足招标文件全部实质性要求，且按照评审因素的量化指标评审得分最高的投标人为中标候选人的评标方法。（最低报价不是中标的唯一依据。）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广东广招招标采购有限公司</w:t>
      </w:r>
      <w:r>
        <w:rPr/>
        <w:t>统一对外发布。</w:t>
      </w:r>
    </w:p>
    <w:p>
      <w:pPr>
        <w:ind w:firstLine="480"/>
      </w:pPr>
      <w:r>
        <w:rPr/>
        <w:t>（2）对</w:t>
      </w:r>
      <w:r>
        <w:rPr/>
        <w:t>广东广招招标采购有限公司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采购包1（放射治疗计划系统）：</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采购包1（放射治疗计划系统）：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提供2021年7月至今任意1个月依法缴纳税收和社会保障资金的相关材料。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供应商必须具有良好的商业信誉和健全的财务会计制度（提供2020年度财务状况报告或2021年7月至今任意一个月的财务报表复印件；或银行出具的资信证明材料复印件；）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参加政府采购活动前3年内在经营活动中没有重大违法记录的书面声明。</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投标人须具有医疗器械生产许可证或医疗器械经营许可证或医疗器械经营备案凭证</w:t>
            </w:r>
          </w:p>
        </w:tc>
        <w:tc>
          <w:tcPr>
            <w:tcW w:type="dxa" w:w="4238"/>
          </w:tcPr>
          <w:p>
            <w:r>
              <w:rPr/>
              <w:t>投标人须具有医疗器械生产许可证或医疗器械经营许可证或医疗器械经营备案凭证。</w:t>
            </w:r>
          </w:p>
        </w:tc>
      </w:tr>
      <w:tr>
        <w:tc>
          <w:tcPr>
            <w:tcW w:type="dxa" w:w="890"/>
          </w:tcPr>
          <w:p>
            <w:r>
              <w:rPr/>
              <w:t>9</w:t>
            </w:r>
          </w:p>
        </w:tc>
        <w:tc>
          <w:tcPr>
            <w:tcW w:type="dxa" w:w="3178"/>
          </w:tcPr>
          <w:p>
            <w:r>
              <w:rPr/>
              <w:t>如所投产品隶属于医疗器械，则必须提供有效的《医疗器械注册证明》复印件</w:t>
            </w:r>
          </w:p>
        </w:tc>
        <w:tc>
          <w:tcPr>
            <w:tcW w:type="dxa" w:w="4238"/>
          </w:tcPr>
          <w:p>
            <w:r>
              <w:rPr/>
              <w:t>如所投产品隶属于医疗器械，则必须提供有效的《医疗器械注册证明》复印件。</w:t>
            </w:r>
          </w:p>
        </w:tc>
      </w:tr>
      <w:tr>
        <w:tc>
          <w:tcPr>
            <w:tcW w:type="dxa" w:w="890"/>
          </w:tcPr>
          <w:p>
            <w:r>
              <w:rPr/>
              <w:t>10</w:t>
            </w:r>
          </w:p>
        </w:tc>
        <w:tc>
          <w:tcPr>
            <w:tcW w:type="dxa" w:w="3178"/>
          </w:tcPr>
          <w:p>
            <w:r>
              <w:rPr/>
              <w:t>本项目不接受联合体投标</w:t>
            </w:r>
          </w:p>
        </w:tc>
        <w:tc>
          <w:tcPr>
            <w:tcW w:type="dxa" w:w="4238"/>
          </w:tcPr>
          <w:p>
            <w:r>
              <w:rPr/>
              <w:t>本项目不接受联合体投标。</w:t>
            </w:r>
          </w:p>
        </w:tc>
      </w:tr>
      <w:tr>
        <w:tc>
          <w:tcPr>
            <w:tcW w:type="dxa" w:w="890"/>
          </w:tcPr>
          <w:p>
            <w:r>
              <w:rPr/>
              <w:t>11</w:t>
            </w:r>
          </w:p>
        </w:tc>
        <w:tc>
          <w:tcPr>
            <w:tcW w:type="dxa" w:w="3178"/>
          </w:tcPr>
          <w:p>
            <w:r>
              <w:rPr/>
              <w:t>落实政府采购政策需满足的资格要求</w:t>
            </w:r>
          </w:p>
        </w:tc>
        <w:tc>
          <w:tcPr>
            <w:tcW w:type="dxa" w:w="4238"/>
          </w:tcPr>
          <w:p>
            <w:r>
              <w:rPr/>
              <w:t>本项目非专门面向中小企业采购的项目。</w:t>
            </w:r>
          </w:p>
        </w:tc>
      </w:tr>
    </w:tbl>
    <w:p/>
    <w:p>
      <w:pPr>
        <w:ind w:firstLine="480"/>
      </w:pPr>
      <w:r>
        <w:rPr/>
        <w:t>表二符合性审查表：</w:t>
      </w:r>
    </w:p>
    <w:p>
      <w:pPr>
        <w:ind w:firstLine="480"/>
      </w:pPr>
    </w:p>
    <w:p/>
    <w:p>
      <w:r>
        <w:rPr/>
        <w:t>采购包1（放射治疗计划系统）：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按照招标文件规定要求签署和盖章的；</w:t>
            </w:r>
          </w:p>
        </w:tc>
        <w:tc>
          <w:tcPr>
            <w:tcW w:type="dxa" w:w="4238"/>
          </w:tcPr>
          <w:p>
            <w:r>
              <w:rPr/>
              <w:t>按照招标文件规定要求签署和盖章的；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投标函已提交并符合招标文件要求的，且投标有效期满足招标文件要求的；</w:t>
            </w:r>
          </w:p>
        </w:tc>
        <w:tc>
          <w:tcPr>
            <w:tcW w:type="dxa" w:w="4238"/>
          </w:tcPr>
          <w:p>
            <w:r>
              <w:rPr/>
              <w:t>投标函已提交并符合招标文件要求的，且投标有效期满足招标文件要求的；</w:t>
            </w:r>
          </w:p>
        </w:tc>
      </w:tr>
      <w:tr>
        <w:tc>
          <w:tcPr>
            <w:tcW w:type="dxa" w:w="890"/>
          </w:tcPr>
          <w:p>
            <w:r>
              <w:rPr/>
              <w:t>4</w:t>
            </w:r>
          </w:p>
        </w:tc>
        <w:tc>
          <w:tcPr>
            <w:tcW w:type="dxa" w:w="3178"/>
          </w:tcPr>
          <w:p>
            <w:r>
              <w:rPr/>
              <w:t>投标人按招标文件要求提交投标保证金的；</w:t>
            </w:r>
          </w:p>
        </w:tc>
        <w:tc>
          <w:tcPr>
            <w:tcW w:type="dxa" w:w="4238"/>
          </w:tcPr>
          <w:p>
            <w:r>
              <w:rPr/>
              <w:t>投标人按招标文件要求提交投标保证金的；</w:t>
            </w:r>
          </w:p>
        </w:tc>
      </w:tr>
      <w:tr>
        <w:tc>
          <w:tcPr>
            <w:tcW w:type="dxa" w:w="890"/>
          </w:tcPr>
          <w:p>
            <w:r>
              <w:rPr/>
              <w:t>5</w:t>
            </w:r>
          </w:p>
        </w:tc>
        <w:tc>
          <w:tcPr>
            <w:tcW w:type="dxa" w:w="3178"/>
          </w:tcPr>
          <w:p>
            <w:r>
              <w:rPr/>
              <w:t>投标文件完全满足对招标文件的实质性条款（即标注★号条款）无负偏离的；</w:t>
            </w:r>
          </w:p>
        </w:tc>
        <w:tc>
          <w:tcPr>
            <w:tcW w:type="dxa" w:w="4238"/>
          </w:tcPr>
          <w:p>
            <w:r>
              <w:rPr/>
              <w:t>投标文件完全满足对招标文件的实质性条款（即标注★号条款）无负偏离的；</w:t>
            </w:r>
          </w:p>
        </w:tc>
      </w:tr>
      <w:tr>
        <w:tc>
          <w:tcPr>
            <w:tcW w:type="dxa" w:w="890"/>
          </w:tcPr>
          <w:p>
            <w:r>
              <w:rPr/>
              <w:t>6</w:t>
            </w:r>
          </w:p>
        </w:tc>
        <w:tc>
          <w:tcPr>
            <w:tcW w:type="dxa" w:w="3178"/>
          </w:tcPr>
          <w:p>
            <w:r>
              <w:rPr/>
              <w:t>投标报价没有超过本项目最高限价（或采购预算）；</w:t>
            </w:r>
          </w:p>
        </w:tc>
        <w:tc>
          <w:tcPr>
            <w:tcW w:type="dxa" w:w="4238"/>
          </w:tcPr>
          <w:p>
            <w:r>
              <w:rPr/>
              <w:t>投标报价没有超过本项目最高限价（或采购预算）；</w:t>
            </w:r>
          </w:p>
        </w:tc>
      </w:tr>
      <w:tr>
        <w:tc>
          <w:tcPr>
            <w:tcW w:type="dxa" w:w="890"/>
          </w:tcPr>
          <w:p>
            <w:r>
              <w:rPr/>
              <w:t>7</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8</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9</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10</w:t>
            </w:r>
          </w:p>
        </w:tc>
        <w:tc>
          <w:tcPr>
            <w:tcW w:type="dxa" w:w="3178"/>
          </w:tcPr>
          <w:p>
            <w:r>
              <w:rPr/>
              <w:t>没有法律、法规规定的其他无效情形。</w:t>
            </w:r>
          </w:p>
        </w:tc>
        <w:tc>
          <w:tcPr>
            <w:tcW w:type="dxa" w:w="4238"/>
          </w:tcPr>
          <w:p>
            <w:r>
              <w:rPr/>
              <w:t>没有法律、法规规定的其他无效情形。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放射治疗计划系统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(30.0分)</w:t>
            </w:r>
          </w:p>
        </w:tc>
        <w:tc>
          <w:tcPr>
            <w:tcW w:type="dxa" w:w="5076"/>
          </w:tcPr>
          <w:p>
            <w:pPr>
              <w:jc w:val="left"/>
            </w:pPr>
            <w:r>
              <w:rPr/>
              <w:t>完全满足响应采购需求的技术参数的得满分30分；其中标注▲技术参数负偏离一条扣5分，一般技术参数负偏离扣0.1分，扣完为止。【①对采购需求带“▲”号的条款，采购需求要求提供相关证明资料的，则投标文件须提供对应产品技术参数的证明资料，否则不得分。②对采购需求带“▲”号的条款，采购需求未要求提供相关证明资料的，则投标文件中须提供所投设备的彩页或技术白皮书或说明书或官网截图及链接或原厂商所作的技术参数说明等详细技术资料，否则不得分。】</w:t>
            </w:r>
          </w:p>
        </w:tc>
      </w:tr>
      <w:tr>
        <w:tc>
          <w:tcPr>
            <w:tcW w:type="dxa" w:w="922"/>
            <w:gridSpan w:val="2"/>
            <w:vMerge/>
          </w:tcPr>
          <w:p/>
        </w:tc>
        <w:tc>
          <w:tcPr>
            <w:tcW w:type="dxa" w:w="2307"/>
          </w:tcPr>
          <w:p>
            <w:pPr>
              <w:jc w:val="left"/>
            </w:pPr>
            <w:r>
              <w:rPr/>
              <w:t>项目实施方案 (20.0分)</w:t>
            </w:r>
          </w:p>
        </w:tc>
        <w:tc>
          <w:tcPr>
            <w:tcW w:type="dxa" w:w="5076"/>
          </w:tcPr>
          <w:p>
            <w:pPr>
              <w:jc w:val="left"/>
            </w:pPr>
            <w:r>
              <w:rPr/>
              <w:t>根据各投标人针对本项目制定的项目实施方案的详细程度、合理可行性和针对性进行评审： 项目实施方案完整详细、科学合理，可行性强，具有针对性，为优，得20分； 项目实施方案详细、合理，具有可行性和针对性，为良，得10分； 项目实施方案不详细、不合理，不具有可行性和针对性，为差，得2分； 不提供不得分。</w:t>
            </w:r>
          </w:p>
        </w:tc>
      </w:tr>
      <w:tr>
        <w:tc>
          <w:tcPr>
            <w:tcW w:type="dxa" w:w="922"/>
            <w:gridSpan w:val="2"/>
            <w:vMerge/>
          </w:tcPr>
          <w:p/>
        </w:tc>
        <w:tc>
          <w:tcPr>
            <w:tcW w:type="dxa" w:w="2307"/>
          </w:tcPr>
          <w:p>
            <w:pPr>
              <w:jc w:val="left"/>
            </w:pPr>
            <w:r>
              <w:rPr/>
              <w:t>售后服务、保修期、维护保养及应急维修安排 (10.0分)</w:t>
            </w:r>
          </w:p>
        </w:tc>
        <w:tc>
          <w:tcPr>
            <w:tcW w:type="dxa" w:w="5076"/>
          </w:tcPr>
          <w:p>
            <w:pPr>
              <w:jc w:val="left"/>
            </w:pPr>
            <w:r>
              <w:rPr/>
              <w:t>保修期满足甚至超出招标要求，维护保养及应急维修方案合理，售后服务承诺有人力物力保障：10分； 保修期满足招标要求，维护保养及应急维修方案不够详尽，售后服务承诺保障力不足：5分； 保修期不满足招标要求，维护保养及应急维修方案较差，售后服务承诺缺少保障：1分。 不提供不得分。</w:t>
            </w:r>
          </w:p>
        </w:tc>
      </w:tr>
      <w:tr>
        <w:tc>
          <w:tcPr>
            <w:tcW w:type="dxa" w:w="922"/>
            <w:gridSpan w:val="2"/>
            <w:vMerge w:val="restart"/>
          </w:tcPr>
          <w:p>
            <w:pPr>
              <w:jc w:val="center"/>
            </w:pPr>
            <w:r>
              <w:rPr/>
              <w:t>商务部分</w:t>
            </w:r>
          </w:p>
        </w:tc>
        <w:tc>
          <w:tcPr>
            <w:tcW w:type="dxa" w:w="2307"/>
          </w:tcPr>
          <w:p>
            <w:pPr>
              <w:jc w:val="left"/>
            </w:pPr>
            <w:r>
              <w:rPr/>
              <w:t>同类项目业绩 (7.0分)</w:t>
            </w:r>
          </w:p>
        </w:tc>
        <w:tc>
          <w:tcPr>
            <w:tcW w:type="dxa" w:w="5076"/>
          </w:tcPr>
          <w:p>
            <w:pPr>
              <w:jc w:val="left"/>
            </w:pPr>
            <w:r>
              <w:rPr/>
              <w:t>根据各投标人的同类项目业绩进行打分，每提供一个同类项目业绩得1分，最高得7分。 注：需提供合同、中标通知书及验收报告复印件并加盖投标人公章，不提供或提供不全不得分。</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投标人具有质量管理体系认证证书、环境管理体系认证证书、职业健康安全管理体系认证证书,并在有效期内，每个得1分，最高得3分。（需提供证书的复印件并加盖投标人公章，不提供不得分）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52"/>
          <w:u w:val="single"/>
        </w:rPr>
        <w:t>阳江市人民医院医疗设备采购项目（</w:t>
      </w:r>
      <w:r>
        <w:rPr>
          <w:b/>
          <w:sz w:val="52"/>
          <w:u w:val="single"/>
        </w:rPr>
        <w:t>22-8）</w:t>
      </w:r>
      <w:r>
        <w:rPr>
          <w:b/>
          <w:sz w:val="52"/>
        </w:rPr>
        <w:t>政府采购</w:t>
      </w:r>
    </w:p>
    <w:p>
      <w:pPr>
        <w:jc w:val="both"/>
      </w:pPr>
    </w:p>
    <w:p>
      <w:pPr>
        <w:jc w:val="center"/>
      </w:pPr>
      <w:r>
        <w:rPr>
          <w:b/>
          <w:sz w:val="52"/>
        </w:rPr>
        <w:t>合</w:t>
      </w:r>
      <w:r>
        <w:rPr>
          <w:b/>
          <w:sz w:val="52"/>
        </w:rPr>
        <w:t>同</w:t>
      </w:r>
      <w:r>
        <w:rPr>
          <w:b/>
          <w:sz w:val="52"/>
        </w:rPr>
        <w:t>书</w:t>
      </w:r>
    </w:p>
    <w:p>
      <w:pPr>
        <w:jc w:val="center"/>
      </w:pPr>
      <w:r>
        <w:rPr>
          <w:b/>
          <w:sz w:val="44"/>
        </w:rPr>
        <w:t>（</w:t>
      </w:r>
      <w:r>
        <w:rPr>
          <w:b/>
          <w:sz w:val="44"/>
        </w:rPr>
        <w:t>货物类</w:t>
      </w:r>
      <w:r>
        <w:rPr>
          <w:b/>
          <w:sz w:val="44"/>
        </w:rPr>
        <w:t>）</w:t>
      </w:r>
    </w:p>
    <w:p>
      <w:pPr>
        <w:jc w:val="center"/>
      </w:pPr>
    </w:p>
    <w:p>
      <w:pPr>
        <w:jc w:val="both"/>
      </w:pPr>
    </w:p>
    <w:p>
      <w:pPr>
        <w:jc w:val="both"/>
      </w:pP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jc w:val="both"/>
            </w:pPr>
            <w:r>
              <w:rPr>
                <w:b/>
                <w:sz w:val="24"/>
              </w:rPr>
              <w:t>采购编号：</w:t>
            </w:r>
            <w:r>
              <w:rPr>
                <w:b/>
                <w:sz w:val="21"/>
                <w:u w:val="single"/>
              </w:rPr>
              <w:t xml:space="preserve">                          </w:t>
            </w:r>
            <w:r>
              <w:rPr>
                <w:b/>
                <w:sz w:val="21"/>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项目名称：</w:t>
            </w:r>
            <w:r>
              <w:rPr>
                <w:b/>
                <w:sz w:val="21"/>
                <w:u w:val="single"/>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bl>
    <w:p>
      <w:pPr>
        <w:jc w:val="both"/>
      </w:pPr>
    </w:p>
    <w:p>
      <w:pPr>
        <w:jc w:val="both"/>
      </w:pPr>
    </w:p>
    <w:p>
      <w:pPr>
        <w:jc w:val="both"/>
      </w:pPr>
    </w:p>
    <w:p>
      <w:pPr>
        <w:jc w:val="both"/>
      </w:pPr>
    </w:p>
    <w:p>
      <w:pPr>
        <w:jc w:val="both"/>
      </w:pPr>
    </w:p>
    <w:p>
      <w:pPr>
        <w:jc w:val="both"/>
      </w:pPr>
      <w:r>
        <w:rPr>
          <w:b/>
          <w:sz w:val="21"/>
        </w:rPr>
        <w:t>注：本合同仅为合同的参考文本，合同签订双方可根据项目的具体要求进行修订。</w:t>
      </w:r>
    </w:p>
    <w:p>
      <w:pPr>
        <w:jc w:val="both"/>
      </w:pPr>
    </w:p>
    <w:p>
      <w:r>
        <w:rPr>
          <w:b/>
          <w:sz w:val="21"/>
        </w:rPr>
        <w:t>甲</w:t>
      </w:r>
      <w:r>
        <w:rPr>
          <w:b/>
          <w:sz w:val="21"/>
        </w:rPr>
        <w:t xml:space="preserve">   </w:t>
      </w:r>
      <w:r>
        <w:rPr>
          <w:b/>
          <w:sz w:val="21"/>
        </w:rPr>
        <w:t>方：</w:t>
      </w:r>
      <w:r>
        <w:rPr>
          <w:b/>
          <w:sz w:val="21"/>
        </w:rPr>
        <w:t>阳江市人民医院</w:t>
      </w:r>
    </w:p>
    <w:p>
      <w:r>
        <w:rPr/>
        <w:t xml:space="preserve"> </w:t>
      </w:r>
    </w:p>
    <w:p>
      <w:pPr>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jc w:val="both"/>
      </w:pPr>
      <w:r>
        <w:rPr>
          <w:b/>
          <w:sz w:val="21"/>
        </w:rPr>
        <w:t>乙</w:t>
      </w:r>
      <w:r>
        <w:rPr>
          <w:b/>
          <w:sz w:val="21"/>
        </w:rPr>
        <w:t xml:space="preserve">   </w:t>
      </w:r>
      <w:r>
        <w:rPr>
          <w:b/>
          <w:sz w:val="21"/>
        </w:rPr>
        <w:t>方：</w:t>
      </w:r>
      <w:r>
        <w:rPr>
          <w:b/>
          <w:sz w:val="21"/>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jc w:val="both"/>
      </w:pPr>
      <w:r>
        <w:rPr>
          <w:sz w:val="21"/>
        </w:rPr>
        <w:t>项目名称：</w:t>
      </w:r>
      <w:r>
        <w:rPr>
          <w:sz w:val="21"/>
        </w:rPr>
        <w:t>阳江市人民医院医疗设备采购项目（</w:t>
      </w:r>
      <w:r>
        <w:rPr>
          <w:sz w:val="21"/>
        </w:rPr>
        <w:t>22-8）</w:t>
      </w:r>
      <w:r>
        <w:rPr>
          <w:sz w:val="21"/>
        </w:rPr>
        <w:t xml:space="preserve">                                   </w:t>
      </w:r>
    </w:p>
    <w:p>
      <w:pPr>
        <w:jc w:val="both"/>
      </w:pPr>
      <w:r>
        <w:rPr>
          <w:sz w:val="21"/>
        </w:rPr>
        <w:t>采购编号：</w:t>
      </w:r>
      <w:r>
        <w:rPr>
          <w:sz w:val="21"/>
        </w:rPr>
        <w:t>0877-22GZTP01N516</w:t>
      </w:r>
    </w:p>
    <w:p>
      <w:pPr>
        <w:jc w:val="both"/>
      </w:pPr>
      <w:r>
        <w:rPr>
          <w:sz w:val="21"/>
        </w:rPr>
        <w:t xml:space="preserve">    </w:t>
      </w:r>
      <w:r>
        <w:rPr>
          <w:sz w:val="21"/>
        </w:rPr>
        <w:t>根据</w:t>
      </w:r>
      <w:r>
        <w:rPr>
          <w:sz w:val="21"/>
          <w:u w:val="single"/>
        </w:rPr>
        <w:t xml:space="preserve"> </w:t>
      </w:r>
      <w:r>
        <w:rPr>
          <w:sz w:val="21"/>
          <w:u w:val="single"/>
        </w:rPr>
        <w:t xml:space="preserve">  </w:t>
      </w:r>
      <w:r>
        <w:rPr>
          <w:sz w:val="21"/>
          <w:u w:val="single"/>
        </w:rPr>
        <w:t>阳江市人民医院医疗设备采购项目（</w:t>
      </w:r>
      <w:r>
        <w:rPr>
          <w:sz w:val="21"/>
          <w:u w:val="single"/>
        </w:rPr>
        <w:t>22-8）</w:t>
      </w:r>
      <w:r>
        <w:rPr>
          <w:sz w:val="21"/>
          <w:u w:val="single"/>
        </w:rPr>
        <w:t xml:space="preserve">    </w:t>
      </w:r>
      <w:r>
        <w:rPr>
          <w:sz w:val="21"/>
        </w:rPr>
        <w:t>的采购结果，按照《中华人民共和国政府采购法》、《</w:t>
      </w:r>
      <w:r>
        <w:rPr>
          <w:sz w:val="21"/>
        </w:rPr>
        <w:t>中华人民共和国民法典</w:t>
      </w:r>
      <w:r>
        <w:rPr>
          <w:sz w:val="21"/>
        </w:rPr>
        <w:t>》的规定，经双方协商，本着平等互利和诚实信用的原则，一致同意签订本合同如下。</w:t>
      </w:r>
    </w:p>
    <w:p>
      <w:pPr>
        <w:jc w:val="both"/>
      </w:pPr>
      <w:r>
        <w:rPr>
          <w:b/>
          <w:sz w:val="21"/>
        </w:rPr>
        <w:t>一、</w:t>
      </w:r>
      <w:r>
        <w:rPr>
          <w:b/>
          <w:sz w:val="21"/>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2"/>
        <w:gridCol w:w="1025"/>
        <w:gridCol w:w="3115"/>
        <w:gridCol w:w="799"/>
        <w:gridCol w:w="799"/>
        <w:gridCol w:w="958"/>
        <w:gridCol w:w="958"/>
      </w:tblGrid>
      <w:tr>
        <w:tc>
          <w:tcPr>
            <w:tcW w:type="dxa" w:w="65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25"/>
            <w:tcBorders>
              <w:top w:val="single" w:color="000000" w:sz="4"/>
              <w:left w:val="single" w:color="000000" w:sz="4"/>
              <w:bottom w:val="single" w:color="000000" w:sz="4"/>
              <w:right w:val="single" w:color="000000" w:sz="4"/>
            </w:tcBorders>
            <w:vAlign w:val="top"/>
          </w:tcPr>
          <w:p>
            <w:pPr>
              <w:jc w:val="center"/>
            </w:pPr>
            <w:r>
              <w:rPr>
                <w:sz w:val="21"/>
              </w:rPr>
              <w:t>商品名称</w:t>
            </w:r>
          </w:p>
        </w:tc>
        <w:tc>
          <w:tcPr>
            <w:tcW w:type="dxa" w:w="3115"/>
            <w:tcBorders>
              <w:top w:val="single" w:color="000000" w:sz="4"/>
              <w:left w:val="none" w:color="000000" w:sz="4"/>
              <w:bottom w:val="single" w:color="000000" w:sz="4"/>
              <w:right w:val="single" w:color="000000" w:sz="4"/>
            </w:tcBorders>
            <w:vAlign w:val="top"/>
          </w:tcPr>
          <w:p>
            <w:pPr>
              <w:jc w:val="center"/>
            </w:pPr>
            <w:r>
              <w:rPr>
                <w:sz w:val="21"/>
              </w:rPr>
              <w:t>品牌、规格型号、配置（性能参数）</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958"/>
            <w:tcBorders>
              <w:top w:val="single" w:color="000000" w:sz="4"/>
              <w:left w:val="none" w:color="000000" w:sz="4"/>
              <w:bottom w:val="none" w:color="000000" w:sz="4"/>
              <w:right w:val="single" w:color="000000" w:sz="4"/>
            </w:tcBorders>
            <w:vAlign w:val="top"/>
          </w:tcPr>
          <w:p>
            <w:pPr>
              <w:jc w:val="center"/>
            </w:pPr>
            <w:r>
              <w:rPr>
                <w:sz w:val="21"/>
              </w:rPr>
              <w:t>单价</w:t>
            </w:r>
            <w:r>
              <w:rPr>
                <w:sz w:val="21"/>
              </w:rPr>
              <w:t>(元)</w:t>
            </w:r>
          </w:p>
        </w:tc>
        <w:tc>
          <w:tcPr>
            <w:tcW w:type="dxa" w:w="958"/>
            <w:tcBorders>
              <w:top w:val="single" w:color="000000" w:sz="4"/>
              <w:left w:val="single" w:color="000000" w:sz="4"/>
              <w:bottom w:val="none" w:color="000000" w:sz="4"/>
              <w:right w:val="single" w:color="000000" w:sz="4"/>
            </w:tcBorders>
            <w:vAlign w:val="top"/>
          </w:tcPr>
          <w:p>
            <w:pPr>
              <w:jc w:val="center"/>
            </w:pPr>
            <w:r>
              <w:rPr>
                <w:sz w:val="21"/>
              </w:rPr>
              <w:t>金额</w:t>
            </w:r>
            <w:r>
              <w:rPr>
                <w:sz w:val="21"/>
              </w:rPr>
              <w:t>(元)</w:t>
            </w:r>
          </w:p>
        </w:tc>
      </w:tr>
      <w:tr>
        <w:tc>
          <w:tcPr>
            <w:tcW w:type="dxa" w:w="65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25"/>
            <w:tcBorders>
              <w:top w:val="none" w:color="000000" w:sz="4"/>
              <w:left w:val="single" w:color="000000" w:sz="4"/>
              <w:bottom w:val="single" w:color="000000" w:sz="4"/>
              <w:right w:val="single" w:color="000000" w:sz="4"/>
            </w:tcBorders>
            <w:vAlign w:val="top"/>
          </w:tcPr>
          <w:p>
            <w:pPr>
              <w:jc w:val="both"/>
            </w:pPr>
          </w:p>
        </w:tc>
        <w:tc>
          <w:tcPr>
            <w:tcW w:type="dxa" w:w="3115"/>
            <w:tcBorders>
              <w:top w:val="single" w:color="000000" w:sz="4"/>
              <w:left w:val="none" w:color="000000" w:sz="4"/>
              <w:bottom w:val="single" w:color="000000" w:sz="4"/>
              <w:right w:val="single" w:color="000000" w:sz="4"/>
            </w:tcBorders>
            <w:vAlign w:val="top"/>
          </w:tcPr>
          <w:p>
            <w:pPr>
              <w:jc w:val="both"/>
            </w:pPr>
          </w:p>
        </w:tc>
        <w:tc>
          <w:tcPr>
            <w:tcW w:type="dxa" w:w="799"/>
            <w:tcBorders>
              <w:top w:val="single" w:color="000000" w:sz="4"/>
              <w:left w:val="none" w:color="000000" w:sz="4"/>
              <w:bottom w:val="single" w:color="000000" w:sz="4"/>
              <w:right w:val="single" w:color="000000" w:sz="4"/>
            </w:tcBorders>
            <w:vAlign w:val="top"/>
          </w:tcPr>
          <w:p>
            <w:pPr>
              <w:jc w:val="both"/>
            </w:pPr>
          </w:p>
        </w:tc>
        <w:tc>
          <w:tcPr>
            <w:tcW w:type="dxa" w:w="799"/>
            <w:tcBorders>
              <w:top w:val="single" w:color="000000" w:sz="4"/>
              <w:left w:val="none" w:color="000000" w:sz="4"/>
              <w:bottom w:val="single" w:color="000000" w:sz="4"/>
              <w:right w:val="single" w:color="000000" w:sz="4"/>
            </w:tcBorders>
            <w:vAlign w:val="top"/>
          </w:tcPr>
          <w:p>
            <w:pPr>
              <w:jc w:val="both"/>
            </w:pPr>
          </w:p>
        </w:tc>
        <w:tc>
          <w:tcPr>
            <w:tcW w:type="dxa" w:w="958"/>
            <w:tcBorders>
              <w:top w:val="single" w:color="000000" w:sz="4"/>
              <w:left w:val="none" w:color="000000" w:sz="4"/>
              <w:bottom w:val="none" w:color="000000" w:sz="4"/>
              <w:right w:val="single" w:color="000000" w:sz="4"/>
            </w:tcBorders>
            <w:vAlign w:val="top"/>
          </w:tcPr>
          <w:p>
            <w:pPr>
              <w:jc w:val="both"/>
            </w:pPr>
          </w:p>
        </w:tc>
        <w:tc>
          <w:tcPr>
            <w:tcW w:type="dxa" w:w="958"/>
            <w:tcBorders>
              <w:top w:val="single" w:color="000000" w:sz="4"/>
              <w:left w:val="single" w:color="000000" w:sz="4"/>
              <w:bottom w:val="none" w:color="000000" w:sz="4"/>
              <w:right w:val="single" w:color="000000" w:sz="4"/>
            </w:tcBorders>
            <w:vAlign w:val="top"/>
          </w:tcPr>
          <w:p>
            <w:pPr>
              <w:jc w:val="both"/>
            </w:pPr>
          </w:p>
        </w:tc>
      </w:tr>
      <w:tr>
        <w:tc>
          <w:tcPr>
            <w:tcW w:type="dxa" w:w="65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25"/>
            <w:tcBorders>
              <w:top w:val="none" w:color="000000" w:sz="4"/>
              <w:left w:val="single" w:color="000000" w:sz="4"/>
              <w:bottom w:val="single" w:color="000000" w:sz="4"/>
              <w:right w:val="single" w:color="000000" w:sz="4"/>
            </w:tcBorders>
            <w:vAlign w:val="top"/>
          </w:tcPr>
          <w:p>
            <w:pPr>
              <w:jc w:val="both"/>
            </w:pPr>
          </w:p>
        </w:tc>
        <w:tc>
          <w:tcPr>
            <w:tcW w:type="dxa" w:w="3115"/>
            <w:tcBorders>
              <w:top w:val="none" w:color="000000" w:sz="4"/>
              <w:left w:val="none" w:color="000000" w:sz="4"/>
              <w:bottom w:val="single" w:color="000000" w:sz="4"/>
              <w:right w:val="single" w:color="000000" w:sz="4"/>
            </w:tcBorders>
            <w:vAlign w:val="top"/>
          </w:tcPr>
          <w:p>
            <w:pPr>
              <w:jc w:val="both"/>
            </w:pPr>
          </w:p>
        </w:tc>
        <w:tc>
          <w:tcPr>
            <w:tcW w:type="dxa" w:w="799"/>
            <w:tcBorders>
              <w:top w:val="single" w:color="000000" w:sz="4"/>
              <w:left w:val="none" w:color="000000" w:sz="4"/>
              <w:bottom w:val="single" w:color="000000" w:sz="4"/>
              <w:right w:val="single" w:color="000000" w:sz="4"/>
            </w:tcBorders>
            <w:vAlign w:val="top"/>
          </w:tcPr>
          <w:p>
            <w:pPr>
              <w:jc w:val="both"/>
            </w:pPr>
          </w:p>
        </w:tc>
        <w:tc>
          <w:tcPr>
            <w:tcW w:type="dxa" w:w="799"/>
            <w:tcBorders>
              <w:top w:val="single" w:color="000000" w:sz="4"/>
              <w:left w:val="none" w:color="000000" w:sz="4"/>
              <w:bottom w:val="single" w:color="000000" w:sz="4"/>
              <w:right w:val="single" w:color="000000" w:sz="4"/>
            </w:tcBorders>
            <w:vAlign w:val="top"/>
          </w:tcPr>
          <w:p>
            <w:pPr>
              <w:jc w:val="both"/>
            </w:pPr>
          </w:p>
        </w:tc>
        <w:tc>
          <w:tcPr>
            <w:tcW w:type="dxa" w:w="958"/>
            <w:tcBorders>
              <w:top w:val="single" w:color="000000" w:sz="4"/>
              <w:left w:val="none" w:color="000000" w:sz="4"/>
              <w:bottom w:val="none" w:color="000000" w:sz="4"/>
              <w:right w:val="single" w:color="000000" w:sz="4"/>
            </w:tcBorders>
            <w:vAlign w:val="top"/>
          </w:tcPr>
          <w:p>
            <w:pPr>
              <w:jc w:val="both"/>
            </w:pPr>
          </w:p>
        </w:tc>
        <w:tc>
          <w:tcPr>
            <w:tcW w:type="dxa" w:w="958"/>
            <w:tcBorders>
              <w:top w:val="single" w:color="000000" w:sz="4"/>
              <w:left w:val="single" w:color="000000" w:sz="4"/>
              <w:bottom w:val="none" w:color="000000" w:sz="4"/>
              <w:right w:val="single" w:color="000000" w:sz="4"/>
            </w:tcBorders>
            <w:vAlign w:val="top"/>
          </w:tcPr>
          <w:p>
            <w:pPr>
              <w:jc w:val="both"/>
            </w:pPr>
          </w:p>
        </w:tc>
      </w:tr>
      <w:tr>
        <w:tc>
          <w:tcPr>
            <w:tcW w:type="dxa" w:w="8306"/>
            <w:gridSpan w:val="7"/>
            <w:tcBorders>
              <w:top w:val="none" w:color="000000" w:sz="4"/>
              <w:left w:val="single" w:color="000000" w:sz="4"/>
              <w:bottom w:val="single" w:color="000000" w:sz="4"/>
              <w:right w:val="single" w:color="000000" w:sz="4"/>
            </w:tcBorders>
            <w:vAlign w:val="top"/>
          </w:tcPr>
          <w:p>
            <w:pPr>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ind w:firstLine="420"/>
        <w:jc w:val="both"/>
      </w:pPr>
      <w:r>
        <w:rPr>
          <w:sz w:val="21"/>
        </w:rPr>
        <w:t>注：货物名称内容必须与投标文件中货物名称内容一致。</w:t>
      </w:r>
    </w:p>
    <w:p>
      <w:pPr>
        <w:jc w:val="both"/>
      </w:pPr>
      <w:r>
        <w:rPr>
          <w:b/>
          <w:sz w:val="21"/>
        </w:rPr>
        <w:t>二、</w:t>
      </w:r>
      <w:r>
        <w:rPr>
          <w:b/>
          <w:sz w:val="21"/>
        </w:rPr>
        <w:t>合同金额：</w:t>
      </w:r>
    </w:p>
    <w:p>
      <w:pPr>
        <w:ind w:firstLine="420"/>
        <w:jc w:val="both"/>
      </w:pPr>
      <w:r>
        <w:rPr>
          <w:sz w:val="21"/>
        </w:rPr>
        <w:t>合同金额为（大写）：</w:t>
      </w:r>
      <w:r>
        <w:rPr>
          <w:sz w:val="21"/>
          <w:u w:val="single"/>
        </w:rPr>
        <w:t xml:space="preserve">             </w:t>
      </w:r>
      <w:r>
        <w:rPr>
          <w:sz w:val="21"/>
        </w:rPr>
        <w:t>_____元（￥</w:t>
      </w:r>
      <w:r>
        <w:rPr>
          <w:sz w:val="21"/>
          <w:u w:val="single"/>
        </w:rPr>
        <w:t xml:space="preserve">             </w:t>
      </w:r>
      <w:r>
        <w:rPr>
          <w:sz w:val="21"/>
        </w:rPr>
        <w:t>___元）人民币。</w:t>
      </w:r>
    </w:p>
    <w:p>
      <w:pPr>
        <w:jc w:val="both"/>
      </w:pPr>
      <w:r>
        <w:rPr>
          <w:b/>
          <w:sz w:val="21"/>
        </w:rPr>
        <w:t>三、</w:t>
      </w:r>
      <w:r>
        <w:rPr>
          <w:b/>
          <w:sz w:val="21"/>
        </w:rPr>
        <w:t>设备要求：</w:t>
      </w:r>
    </w:p>
    <w:p>
      <w:pPr>
        <w:ind w:firstLine="420"/>
        <w:jc w:val="both"/>
      </w:pPr>
      <w:r>
        <w:rPr>
          <w:sz w:val="21"/>
        </w:rPr>
        <w:t>1、</w:t>
      </w:r>
      <w:r>
        <w:rPr>
          <w:sz w:val="21"/>
        </w:rPr>
        <w:t>货物为原制造商制造的全新产品，整机无污染，无侵权行为、表面无划损、无任何缺陷隐患，在中国境内可依常规安全合法使用。</w:t>
      </w:r>
    </w:p>
    <w:p>
      <w:pPr>
        <w:ind w:firstLine="420"/>
        <w:jc w:val="both"/>
      </w:pPr>
      <w:r>
        <w:rPr>
          <w:sz w:val="21"/>
        </w:rPr>
        <w:t>2、</w:t>
      </w:r>
      <w:r>
        <w:rPr>
          <w:sz w:val="21"/>
        </w:rPr>
        <w:t>交付验收标准依次序对照适用标准为：</w:t>
      </w:r>
      <w:r>
        <w:rPr>
          <w:sz w:val="21"/>
        </w:rPr>
        <w:t xml:space="preserve">①符合中华人民共和国国家安全质量标准、环保标准或行业标准；②符合采购文件和响应承诺中甲方认可的合理最佳配置、参数及各项要求；③货物来源国官方标准。    </w:t>
      </w:r>
    </w:p>
    <w:p>
      <w:pPr>
        <w:ind w:firstLine="420"/>
        <w:jc w:val="both"/>
      </w:pPr>
      <w:r>
        <w:rPr>
          <w:sz w:val="21"/>
        </w:rPr>
        <w:t>3、</w:t>
      </w:r>
      <w:r>
        <w:rPr>
          <w:sz w:val="21"/>
        </w:rPr>
        <w:t>进口产品必须具备原产地证明和商检局的检验证明及合法进货渠道证明。</w:t>
      </w:r>
    </w:p>
    <w:p>
      <w:pPr>
        <w:ind w:firstLine="420"/>
        <w:jc w:val="both"/>
      </w:pPr>
      <w:r>
        <w:rPr>
          <w:sz w:val="21"/>
        </w:rPr>
        <w:t>4、</w:t>
      </w:r>
      <w:r>
        <w:rPr>
          <w:sz w:val="21"/>
        </w:rPr>
        <w:t>货物为原厂商未启封全新包装，具出厂合格证，序列号、包装箱号与出厂批号一致，并可追索查阅。</w:t>
      </w:r>
    </w:p>
    <w:p>
      <w:pPr>
        <w:ind w:firstLine="420"/>
        <w:jc w:val="both"/>
      </w:pPr>
      <w:r>
        <w:rPr>
          <w:sz w:val="21"/>
        </w:rPr>
        <w:t>5、</w:t>
      </w:r>
      <w:r>
        <w:rPr>
          <w:sz w:val="21"/>
        </w:rPr>
        <w:t>乙方应将关键主机设备的用户手册、保修手册、有关单证资料及配备件、随机工具等交付给甲方，使用操作及安全须知等重要资料应附有中文说明。</w:t>
      </w:r>
    </w:p>
    <w:p>
      <w:pPr>
        <w:jc w:val="both"/>
      </w:pPr>
      <w:r>
        <w:rPr>
          <w:b/>
          <w:sz w:val="21"/>
        </w:rPr>
        <w:t>四、</w:t>
      </w:r>
      <w:r>
        <w:rPr>
          <w:b/>
          <w:sz w:val="21"/>
        </w:rPr>
        <w:t>交货期、交货方式及交货地点：</w:t>
      </w:r>
    </w:p>
    <w:p>
      <w:pPr>
        <w:ind w:firstLine="420"/>
        <w:jc w:val="both"/>
      </w:pPr>
      <w:r>
        <w:rPr>
          <w:sz w:val="21"/>
        </w:rPr>
        <w:t>1</w:t>
      </w:r>
      <w:r>
        <w:rPr>
          <w:sz w:val="21"/>
        </w:rPr>
        <w:t>、</w:t>
      </w:r>
      <w:r>
        <w:rPr>
          <w:sz w:val="21"/>
        </w:rPr>
        <w:t>交货期：</w:t>
      </w:r>
      <w:r>
        <w:rPr>
          <w:sz w:val="21"/>
        </w:rPr>
        <w:t>在合同签订生效后</w:t>
      </w:r>
      <w:r>
        <w:rPr>
          <w:sz w:val="21"/>
        </w:rPr>
        <w:t>30天内完成安装工作，交付用户方使用。</w:t>
      </w:r>
    </w:p>
    <w:p>
      <w:pPr>
        <w:ind w:firstLine="420"/>
        <w:jc w:val="both"/>
      </w:pPr>
      <w:r>
        <w:rPr>
          <w:sz w:val="21"/>
        </w:rPr>
        <w:t>2</w:t>
      </w:r>
      <w:r>
        <w:rPr>
          <w:sz w:val="21"/>
        </w:rPr>
        <w:t>、</w:t>
      </w:r>
      <w:r>
        <w:rPr>
          <w:sz w:val="21"/>
        </w:rPr>
        <w:t xml:space="preserve"> </w:t>
      </w:r>
      <w:r>
        <w:rPr>
          <w:sz w:val="21"/>
        </w:rPr>
        <w:t>交货方式：合同货物到达甲方指定交货地点时，甲乙双方现场确认货物件数。</w:t>
      </w:r>
    </w:p>
    <w:p>
      <w:pPr>
        <w:ind w:firstLine="420"/>
        <w:jc w:val="both"/>
      </w:pPr>
      <w:r>
        <w:rPr>
          <w:sz w:val="21"/>
        </w:rPr>
        <w:t>3</w:t>
      </w:r>
      <w:r>
        <w:rPr>
          <w:sz w:val="21"/>
        </w:rPr>
        <w:t>、</w:t>
      </w:r>
      <w:r>
        <w:rPr>
          <w:sz w:val="21"/>
        </w:rPr>
        <w:t>交货地点：甲方指定地点。</w:t>
      </w:r>
    </w:p>
    <w:p>
      <w:pPr>
        <w:jc w:val="both"/>
      </w:pPr>
      <w:r>
        <w:rPr>
          <w:b/>
          <w:sz w:val="21"/>
        </w:rPr>
        <w:t>五、</w:t>
      </w:r>
      <w:r>
        <w:rPr>
          <w:b/>
          <w:sz w:val="21"/>
        </w:rPr>
        <w:t>合同签订及</w:t>
      </w:r>
      <w:r>
        <w:rPr>
          <w:b/>
          <w:sz w:val="21"/>
        </w:rPr>
        <w:t>付款方式：</w:t>
      </w:r>
    </w:p>
    <w:p>
      <w:pPr>
        <w:ind w:firstLine="420"/>
        <w:jc w:val="both"/>
      </w:pPr>
      <w:r>
        <w:rPr>
          <w:sz w:val="21"/>
        </w:rPr>
        <w:t>合同签订时间从中标通知书发出之日起一月内签订合同，付款方式：</w:t>
      </w:r>
      <w:r>
        <w:rPr>
          <w:sz w:val="21"/>
        </w:rPr>
        <w:t>甲方</w:t>
      </w:r>
      <w:r>
        <w:rPr>
          <w:sz w:val="21"/>
        </w:rPr>
        <w:t>收到</w:t>
      </w:r>
      <w:r>
        <w:rPr>
          <w:sz w:val="21"/>
        </w:rPr>
        <w:t>乙方</w:t>
      </w:r>
      <w:r>
        <w:rPr>
          <w:sz w:val="21"/>
        </w:rPr>
        <w:t>合同总额</w:t>
      </w:r>
      <w:r>
        <w:rPr>
          <w:sz w:val="21"/>
        </w:rPr>
        <w:t>5%银行履约保函（1</w:t>
      </w:r>
      <w:r>
        <w:rPr>
          <w:sz w:val="21"/>
        </w:rPr>
        <w:t>2</w:t>
      </w:r>
      <w:r>
        <w:rPr>
          <w:sz w:val="21"/>
        </w:rPr>
        <w:t>个月）</w:t>
      </w:r>
      <w:r>
        <w:rPr>
          <w:sz w:val="21"/>
        </w:rPr>
        <w:t>和</w:t>
      </w:r>
      <w:r>
        <w:rPr>
          <w:sz w:val="21"/>
        </w:rPr>
        <w:t>到货验收合格正常使用后</w:t>
      </w:r>
      <w:r>
        <w:rPr>
          <w:sz w:val="21"/>
        </w:rPr>
        <w:t>10至20个工作日内付合同总额的30%；正常使用4个月后10至20个工作日内付合同总额的70%，银行履约保函到期后，</w:t>
      </w:r>
      <w:r>
        <w:rPr>
          <w:sz w:val="21"/>
        </w:rPr>
        <w:t>甲方</w:t>
      </w:r>
      <w:r>
        <w:rPr>
          <w:sz w:val="21"/>
        </w:rPr>
        <w:t>将银行履约保函退还</w:t>
      </w:r>
      <w:r>
        <w:rPr>
          <w:sz w:val="21"/>
        </w:rPr>
        <w:t>乙方</w:t>
      </w:r>
      <w:r>
        <w:rPr>
          <w:sz w:val="21"/>
        </w:rPr>
        <w:t>。</w:t>
      </w:r>
    </w:p>
    <w:p>
      <w:pPr>
        <w:jc w:val="both"/>
      </w:pPr>
      <w:r>
        <w:rPr>
          <w:b/>
          <w:sz w:val="21"/>
        </w:rPr>
        <w:t>六、</w:t>
      </w:r>
      <w:r>
        <w:rPr>
          <w:b/>
          <w:sz w:val="21"/>
        </w:rPr>
        <w:t>产品及售后服务：</w:t>
      </w:r>
    </w:p>
    <w:p>
      <w:pPr>
        <w:ind w:firstLine="420"/>
        <w:jc w:val="both"/>
      </w:pPr>
      <w:r>
        <w:rPr>
          <w:sz w:val="21"/>
        </w:rPr>
        <w:t>1、乙方应提供原装、全新的、符合质量标准的货物，不得以旧货翻新充数，并按有关要求进行包装及装运。</w:t>
      </w:r>
    </w:p>
    <w:p>
      <w:pPr>
        <w:ind w:firstLine="420"/>
        <w:jc w:val="both"/>
      </w:pPr>
      <w:r>
        <w:rPr>
          <w:sz w:val="21"/>
        </w:rPr>
        <w:t>2、产品质量保证期不少于一年（若国家和/或生产厂家对本项目所涉及货物的质量保证期的规定高于本项目的要求，应按国家和/或生产厂家的规定执行）。电话报修后，48小时内到现场解决问题。</w:t>
      </w:r>
    </w:p>
    <w:p>
      <w:pPr>
        <w:ind w:firstLine="420"/>
        <w:jc w:val="both"/>
      </w:pPr>
      <w:r>
        <w:rPr>
          <w:sz w:val="21"/>
        </w:rPr>
        <w:t>3、在质量保证期内发生的质量问题，由乙方负责免费解决，包退包换。</w:t>
      </w:r>
    </w:p>
    <w:p>
      <w:pPr>
        <w:ind w:firstLine="420"/>
        <w:jc w:val="both"/>
      </w:pPr>
      <w:r>
        <w:rPr>
          <w:sz w:val="21"/>
        </w:rPr>
        <w:t>4、在质量保证期外发生的质量问题，由乙方负责解决，甲方支付相应的费用。</w:t>
      </w:r>
    </w:p>
    <w:p>
      <w:pPr>
        <w:ind w:firstLine="420"/>
        <w:jc w:val="both"/>
      </w:pPr>
      <w:r>
        <w:rPr>
          <w:sz w:val="21"/>
        </w:rPr>
        <w:t>5、在任何时候，乙方均不能免除因货物本身的缺陷所应负的责任。货物在质保期内发生质量问题，乙方须无条件给予退换。</w:t>
      </w:r>
    </w:p>
    <w:p>
      <w:pPr>
        <w:ind w:firstLine="420"/>
        <w:jc w:val="both"/>
      </w:pPr>
      <w:r>
        <w:rPr>
          <w:sz w:val="21"/>
        </w:rPr>
        <w:t>6、乙方对所提供设备提供维修服务，质保期后的服务，只收取更换零部件的成本费，不得收取任何工时费及工程师差旅费等其他费用。</w:t>
      </w:r>
    </w:p>
    <w:p>
      <w:pPr>
        <w:ind w:firstLine="420"/>
        <w:jc w:val="both"/>
      </w:pPr>
      <w:r>
        <w:rPr>
          <w:sz w:val="21"/>
        </w:rPr>
        <w:t>7、乙方须提交设备所涉及耗材的清单及价格，同时附至少三份三甲医院销售清单或合同。</w:t>
      </w:r>
    </w:p>
    <w:p>
      <w:pPr>
        <w:ind w:firstLine="420"/>
        <w:jc w:val="both"/>
      </w:pPr>
    </w:p>
    <w:p>
      <w:pPr>
        <w:jc w:val="both"/>
      </w:pPr>
      <w:r>
        <w:rPr>
          <w:b/>
          <w:sz w:val="21"/>
        </w:rPr>
        <w:t>七、</w:t>
      </w:r>
      <w:r>
        <w:rPr>
          <w:b/>
          <w:sz w:val="21"/>
        </w:rPr>
        <w:t>安装与调试：</w:t>
      </w:r>
    </w:p>
    <w:p>
      <w:pPr>
        <w:ind w:firstLine="420"/>
        <w:jc w:val="both"/>
      </w:pPr>
      <w:r>
        <w:rPr>
          <w:sz w:val="21"/>
        </w:rPr>
        <w:t>1、</w:t>
      </w:r>
      <w:r>
        <w:rPr>
          <w:sz w:val="21"/>
        </w:rPr>
        <w:t>乙方必须依照采购文件的要求和投标文件的承诺，将设备、系统安装并调试至正常运行的最佳状态。</w:t>
      </w:r>
    </w:p>
    <w:p>
      <w:pPr>
        <w:jc w:val="both"/>
      </w:pPr>
      <w:r>
        <w:rPr>
          <w:b/>
          <w:sz w:val="21"/>
        </w:rPr>
        <w:t>八、</w:t>
      </w:r>
      <w:r>
        <w:rPr>
          <w:b/>
          <w:sz w:val="21"/>
        </w:rPr>
        <w:t>验收：</w:t>
      </w:r>
    </w:p>
    <w:p>
      <w:pPr>
        <w:ind w:firstLine="420"/>
        <w:jc w:val="both"/>
      </w:pPr>
      <w:r>
        <w:rPr>
          <w:sz w:val="21"/>
        </w:rPr>
        <w:t>1、</w:t>
      </w:r>
      <w:r>
        <w:rPr>
          <w:sz w:val="21"/>
        </w:rPr>
        <w:t>乙方必须依照招标文件的要求和投标文件的承诺，将设备、系统安装并调试至正常运行的最佳状态</w:t>
      </w:r>
      <w:r>
        <w:rPr>
          <w:sz w:val="21"/>
        </w:rPr>
        <w:t>，</w:t>
      </w:r>
      <w:r>
        <w:rPr>
          <w:sz w:val="21"/>
        </w:rPr>
        <w:t>并提供由第三方检测机构出具的计量检测报告。</w:t>
      </w:r>
    </w:p>
    <w:p>
      <w:pPr>
        <w:ind w:firstLine="420"/>
        <w:jc w:val="both"/>
      </w:pPr>
      <w:r>
        <w:rPr>
          <w:sz w:val="21"/>
        </w:rPr>
        <w:t>2、</w:t>
      </w:r>
      <w:r>
        <w:rPr>
          <w:sz w:val="21"/>
        </w:rPr>
        <w:t>货物若有国家标准按照国家标准验收，若无国家标准按行业标准验收，为原制造商制造的全新产品，整机无污染，无侵权行为、表面无划损、无任何缺陷隐患，在中国境内可依常规安全合法使用。</w:t>
      </w:r>
    </w:p>
    <w:p>
      <w:pPr>
        <w:ind w:firstLine="420"/>
        <w:jc w:val="both"/>
      </w:pPr>
      <w:r>
        <w:rPr>
          <w:sz w:val="21"/>
        </w:rPr>
        <w:t>3、</w:t>
      </w:r>
      <w:r>
        <w:rPr>
          <w:sz w:val="21"/>
        </w:rPr>
        <w:t>货物为原厂商未启封全新包装，具出厂合格证，序列号、包装箱号与出厂批号一致，并可追索查阅。所有随设备的附件必须齐全。</w:t>
      </w:r>
    </w:p>
    <w:p>
      <w:pPr>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ind w:firstLine="420"/>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采购人承担；否则鉴定费由乙方承担。</w:t>
      </w:r>
    </w:p>
    <w:p>
      <w:pPr>
        <w:jc w:val="both"/>
      </w:pPr>
      <w:r>
        <w:rPr>
          <w:b/>
          <w:sz w:val="21"/>
        </w:rPr>
        <w:t>九、</w:t>
      </w:r>
      <w:r>
        <w:rPr>
          <w:b/>
          <w:sz w:val="21"/>
        </w:rPr>
        <w:t>违约责任与赔偿损失：</w:t>
      </w:r>
    </w:p>
    <w:p>
      <w:pPr>
        <w:ind w:firstLine="420"/>
        <w:jc w:val="both"/>
      </w:pPr>
      <w:r>
        <w:rPr>
          <w:sz w:val="21"/>
        </w:rPr>
        <w:t>1、</w:t>
      </w:r>
      <w:r>
        <w:rPr>
          <w:sz w:val="21"/>
        </w:rPr>
        <w:t>乙方交付的货物、工程</w:t>
      </w:r>
      <w:r>
        <w:rPr>
          <w:sz w:val="21"/>
        </w:rPr>
        <w:t>/提供的服务不符合采购文件、报价文件或本合同规定的，甲方有权拒收，并且乙方须向甲方支付本合同总价5%的违约金。</w:t>
      </w:r>
    </w:p>
    <w:p>
      <w:pPr>
        <w:ind w:firstLine="420"/>
        <w:jc w:val="both"/>
      </w:pPr>
      <w:r>
        <w:rPr>
          <w:sz w:val="21"/>
        </w:rPr>
        <w:t>2、</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ind w:firstLine="420"/>
        <w:jc w:val="both"/>
      </w:pPr>
      <w:r>
        <w:rPr>
          <w:sz w:val="21"/>
        </w:rPr>
        <w:t>3、</w:t>
      </w:r>
      <w:r>
        <w:rPr>
          <w:sz w:val="21"/>
        </w:rPr>
        <w:t>甲方无正当理由拒收货物</w:t>
      </w:r>
      <w:r>
        <w:rPr>
          <w:sz w:val="21"/>
        </w:rPr>
        <w:t>/接受服务，到期拒付货物/服务款项的，甲方向乙方偿付本合同总的5%的违约金。甲方人逾期付款，则每日按本合同总价的3‰向乙方偿付违约金。</w:t>
      </w:r>
    </w:p>
    <w:p>
      <w:pPr>
        <w:ind w:firstLine="420"/>
        <w:jc w:val="both"/>
      </w:pPr>
      <w:r>
        <w:rPr>
          <w:sz w:val="21"/>
        </w:rPr>
        <w:t>4、</w:t>
      </w:r>
      <w:r>
        <w:rPr>
          <w:sz w:val="21"/>
        </w:rPr>
        <w:t>其它违约责任按</w:t>
      </w:r>
      <w:r>
        <w:rPr>
          <w:sz w:val="21"/>
        </w:rPr>
        <w:t>《</w:t>
      </w:r>
      <w:r>
        <w:rPr>
          <w:sz w:val="21"/>
        </w:rPr>
        <w:t>中华人民共和国民法典</w:t>
      </w:r>
      <w:r>
        <w:rPr>
          <w:sz w:val="21"/>
        </w:rPr>
        <w:t>》</w:t>
      </w:r>
      <w:r>
        <w:rPr>
          <w:sz w:val="21"/>
        </w:rPr>
        <w:t>处理。</w:t>
      </w:r>
    </w:p>
    <w:p>
      <w:pPr>
        <w:jc w:val="both"/>
      </w:pPr>
      <w:r>
        <w:rPr>
          <w:b/>
          <w:sz w:val="21"/>
        </w:rPr>
        <w:t>十、</w:t>
      </w:r>
      <w:r>
        <w:rPr>
          <w:b/>
          <w:sz w:val="21"/>
        </w:rPr>
        <w:t>争议的解决</w:t>
      </w:r>
      <w:r>
        <w:rPr>
          <w:b/>
          <w:sz w:val="21"/>
        </w:rPr>
        <w:t>:</w:t>
      </w:r>
    </w:p>
    <w:p>
      <w:pPr>
        <w:ind w:firstLine="420"/>
        <w:jc w:val="both"/>
      </w:pPr>
      <w:r>
        <w:rPr>
          <w:sz w:val="21"/>
        </w:rPr>
        <w:t>1、</w:t>
      </w:r>
      <w:r>
        <w:rPr>
          <w:sz w:val="21"/>
        </w:rPr>
        <w:t>合同执行过程中发生的任何争议，如双方不能通过友好协商解决，按相关法律法规处理。</w:t>
      </w:r>
    </w:p>
    <w:p>
      <w:pPr>
        <w:jc w:val="both"/>
      </w:pPr>
      <w:r>
        <w:rPr>
          <w:b/>
          <w:sz w:val="21"/>
        </w:rPr>
        <w:t>十一、</w:t>
      </w:r>
      <w:r>
        <w:rPr>
          <w:b/>
          <w:sz w:val="21"/>
        </w:rPr>
        <w:t>不可抗力：</w:t>
      </w:r>
    </w:p>
    <w:p>
      <w:pPr>
        <w:ind w:firstLine="420"/>
        <w:jc w:val="both"/>
      </w:pPr>
      <w:r>
        <w:rPr>
          <w:sz w:val="21"/>
        </w:rPr>
        <w:t>1、</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十二、</w:t>
      </w:r>
      <w:r>
        <w:rPr>
          <w:b/>
          <w:sz w:val="21"/>
        </w:rPr>
        <w:t>其它</w:t>
      </w:r>
      <w:r>
        <w:rPr>
          <w:b/>
          <w:sz w:val="21"/>
        </w:rPr>
        <w:t>:</w:t>
      </w:r>
    </w:p>
    <w:p>
      <w:pPr>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ind w:firstLine="420"/>
        <w:jc w:val="both"/>
      </w:pPr>
      <w:r>
        <w:rPr>
          <w:sz w:val="21"/>
        </w:rPr>
        <w:t>2、</w:t>
      </w:r>
      <w:r>
        <w:rPr>
          <w:sz w:val="21"/>
        </w:rPr>
        <w:t>在执行本合同的过程中，所有经双方签署确认的文件（包括会议纪要、补充协议、往来信函）即成为本合同的有效组成部分。</w:t>
      </w:r>
    </w:p>
    <w:p>
      <w:pPr>
        <w:ind w:firstLine="420"/>
        <w:jc w:val="both"/>
      </w:pPr>
      <w:r>
        <w:rPr>
          <w:sz w:val="21"/>
        </w:rPr>
        <w:t>3、</w:t>
      </w:r>
      <w:r>
        <w:rPr>
          <w:sz w:val="21"/>
        </w:rPr>
        <w:t>如一方地址、电话、传真号码有变更，应在变更当日内书面通知对方，否则，应承担相应责任。</w:t>
      </w:r>
    </w:p>
    <w:p>
      <w:pPr>
        <w:ind w:firstLine="420"/>
        <w:jc w:val="both"/>
      </w:pPr>
      <w:r>
        <w:rPr>
          <w:sz w:val="21"/>
        </w:rPr>
        <w:t>4、</w:t>
      </w:r>
      <w:r>
        <w:rPr>
          <w:sz w:val="21"/>
        </w:rPr>
        <w:t>除甲方事先书面同意外，乙方不得部分或全部转让其应履行的合同项下的义务。</w:t>
      </w:r>
    </w:p>
    <w:p>
      <w:pPr>
        <w:jc w:val="both"/>
      </w:pPr>
      <w:r>
        <w:rPr>
          <w:b/>
          <w:sz w:val="21"/>
        </w:rPr>
        <w:t>十三、</w:t>
      </w:r>
      <w:r>
        <w:rPr>
          <w:b/>
          <w:sz w:val="21"/>
        </w:rPr>
        <w:t>合同生效：</w:t>
      </w:r>
    </w:p>
    <w:p>
      <w:pPr>
        <w:ind w:firstLine="420"/>
        <w:jc w:val="both"/>
      </w:pPr>
      <w:r>
        <w:rPr>
          <w:sz w:val="21"/>
        </w:rPr>
        <w:t>1、</w:t>
      </w:r>
      <w:r>
        <w:rPr>
          <w:sz w:val="21"/>
        </w:rPr>
        <w:t>本合同在甲乙双方法人代表或其授权代表签字盖章后生效。</w:t>
      </w:r>
    </w:p>
    <w:p>
      <w:pPr>
        <w:ind w:firstLine="420"/>
        <w:jc w:val="both"/>
      </w:pPr>
      <w:r>
        <w:rPr>
          <w:sz w:val="21"/>
        </w:rPr>
        <w:t>2、</w:t>
      </w:r>
      <w:r>
        <w:rPr>
          <w:sz w:val="21"/>
        </w:rPr>
        <w:t>合同一式</w:t>
      </w:r>
      <w:r>
        <w:rPr>
          <w:sz w:val="21"/>
          <w:u w:val="single"/>
        </w:rPr>
        <w:t xml:space="preserve"> </w:t>
      </w:r>
      <w:r>
        <w:rPr>
          <w:sz w:val="21"/>
          <w:u w:val="single"/>
        </w:rPr>
        <w:t>四</w:t>
      </w:r>
      <w:r>
        <w:rPr>
          <w:sz w:val="21"/>
          <w:u w:val="single"/>
        </w:rPr>
        <w:t xml:space="preserve"> </w:t>
      </w:r>
      <w:r>
        <w:rPr>
          <w:sz w:val="21"/>
        </w:rPr>
        <w:t>份，具有同等法律效力。甲、乙双方各执</w:t>
      </w:r>
      <w:r>
        <w:rPr>
          <w:sz w:val="21"/>
          <w:u w:val="single"/>
        </w:rPr>
        <w:t xml:space="preserve"> </w:t>
      </w:r>
      <w:r>
        <w:rPr>
          <w:sz w:val="21"/>
          <w:u w:val="single"/>
        </w:rPr>
        <w:t>一</w:t>
      </w:r>
      <w:r>
        <w:rPr>
          <w:sz w:val="21"/>
          <w:u w:val="single"/>
        </w:rPr>
        <w:t xml:space="preserve"> </w:t>
      </w:r>
      <w:r>
        <w:rPr>
          <w:sz w:val="21"/>
        </w:rPr>
        <w:t>份。财政局一份，采购代理机构一份。</w:t>
      </w:r>
    </w:p>
    <w:p>
      <w:pPr>
        <w:jc w:val="both"/>
      </w:pPr>
      <w:r>
        <w:rPr>
          <w:b/>
          <w:sz w:val="21"/>
        </w:rPr>
        <w:t>甲方（盖章）：</w:t>
      </w:r>
      <w:r>
        <w:rPr>
          <w:b/>
          <w:sz w:val="21"/>
        </w:rPr>
        <w:t xml:space="preserve">                          </w:t>
      </w:r>
      <w:r>
        <w:rPr>
          <w:b/>
          <w:sz w:val="21"/>
        </w:rPr>
        <w:t>乙方（盖章）：</w:t>
      </w:r>
    </w:p>
    <w:p>
      <w:pPr>
        <w:jc w:val="both"/>
      </w:pPr>
      <w:r>
        <w:rPr>
          <w:b/>
          <w:sz w:val="21"/>
        </w:rPr>
        <w:t>代表：</w:t>
      </w:r>
      <w:r>
        <w:rPr>
          <w:b/>
          <w:sz w:val="21"/>
        </w:rPr>
        <w:t xml:space="preserve">                                 </w:t>
      </w:r>
      <w:r>
        <w:rPr>
          <w:b/>
          <w:sz w:val="21"/>
        </w:rPr>
        <w:t>代表：</w:t>
      </w:r>
    </w:p>
    <w:p>
      <w:pPr>
        <w:jc w:val="both"/>
      </w:pPr>
      <w:r>
        <w:rPr>
          <w:sz w:val="21"/>
        </w:rPr>
        <w:t>签订地点：</w:t>
      </w:r>
    </w:p>
    <w:p>
      <w:pPr>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p>
    <w:p>
      <w:pPr>
        <w:ind w:firstLine="4200"/>
        <w:jc w:val="both"/>
      </w:pPr>
      <w:r>
        <w:rPr>
          <w:sz w:val="21"/>
        </w:rPr>
        <w:t>开户名称：</w:t>
      </w:r>
    </w:p>
    <w:p>
      <w:pPr>
        <w:ind w:firstLine="4200"/>
        <w:jc w:val="both"/>
      </w:pPr>
      <w:r>
        <w:rPr>
          <w:sz w:val="21"/>
        </w:rPr>
        <w:t>银行帐号：</w:t>
      </w:r>
    </w:p>
    <w:p>
      <w:pPr>
        <w:ind w:firstLine="4200"/>
        <w:jc w:val="both"/>
      </w:pPr>
      <w:r>
        <w:rPr>
          <w:sz w:val="21"/>
        </w:rPr>
        <w:t>开</w:t>
      </w:r>
      <w:r>
        <w:rPr>
          <w:sz w:val="21"/>
        </w:rPr>
        <w:t>户</w:t>
      </w:r>
      <w:r>
        <w:rPr>
          <w:sz w:val="21"/>
        </w:rPr>
        <w:t>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441701-2022-01529</w:t>
      </w:r>
    </w:p>
    <w:p>
      <w:pPr>
        <w:jc w:val="center"/>
      </w:pPr>
      <w:r>
        <w:rPr>
          <w:b/>
          <w:sz w:val="24"/>
        </w:rPr>
        <w:t>采购项目编号：</w:t>
      </w:r>
      <w:r>
        <w:rPr>
          <w:b/>
          <w:sz w:val="24"/>
        </w:rPr>
        <w:t>0877-22GZTP01N516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广东广招招标采购有限公司</w:t>
      </w:r>
    </w:p>
    <w:p>
      <w:pPr>
        <w:ind w:firstLine="480"/>
      </w:pPr>
      <w:r>
        <w:rPr/>
        <w:t>你方组织的</w:t>
      </w:r>
      <w:r>
        <w:rPr>
          <w:u w:val="single"/>
        </w:rPr>
        <w:t>阳江市人民医院医疗设备采购项目（22-8）</w:t>
      </w:r>
      <w:r>
        <w:rPr/>
        <w:t>项目的招标[采购项目编号为：</w:t>
      </w:r>
      <w:r>
        <w:rPr>
          <w:u w:val="single"/>
        </w:rPr>
        <w:t>0877-22GZTP01N516</w:t>
      </w:r>
      <w:r>
        <w:rPr/>
        <w:t>]，我方愿参与投标。</w:t>
      </w:r>
    </w:p>
    <w:p>
      <w:pPr>
        <w:ind w:firstLine="480"/>
      </w:pPr>
      <w:r>
        <w:rPr/>
        <w:t>我方确认收到贵方提供的</w:t>
      </w:r>
      <w:r>
        <w:rPr>
          <w:u w:val="single"/>
        </w:rPr>
        <w:t>阳江市人民医院医疗设备采购项目（22-8）</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阳江市人民医院医疗设备采购项目（22-8）</w:t>
      </w:r>
      <w:r>
        <w:rPr/>
        <w:t>项目采购[采购项目编号为</w:t>
      </w:r>
      <w:r>
        <w:rPr/>
        <w:t>0877-22GZTP01N516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阳江市人民医院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广东广招招标采购有限公司</w:t>
      </w:r>
    </w:p>
    <w:p>
      <w:pPr>
        <w:ind w:firstLine="480"/>
      </w:pPr>
      <w:r>
        <w:rPr/>
        <w:t>如果我方在贵采购代理机构组织的</w:t>
      </w:r>
      <w:r>
        <w:rPr/>
        <w:t>阳江市人民医院医疗设备采购项目（22-8）</w:t>
      </w:r>
      <w:r>
        <w:rPr/>
        <w:t>招标中获中标（采购项目编号：</w:t>
      </w:r>
      <w:r>
        <w:rPr/>
        <w:t>0877-22GZTP01N516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广东广招招标采购有限公司</w:t>
      </w:r>
    </w:p>
    <w:p>
      <w:pPr>
        <w:ind w:firstLine="480"/>
      </w:pPr>
      <w:r>
        <w:rPr/>
        <w:t>我单位已登记并准备参与</w:t>
      </w:r>
      <w:r>
        <w:rPr/>
        <w:t>阳江市人民医院医疗设备采购项目（22-8）</w:t>
      </w:r>
      <w:r>
        <w:rPr/>
        <w:t>项目（采购项目编号：</w:t>
      </w:r>
      <w:r>
        <w:rPr/>
        <w:t>0877-22GZTP01N516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