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b/>
          <w:bCs/>
          <w:sz w:val="44"/>
          <w:szCs w:val="44"/>
        </w:rPr>
      </w:pPr>
      <w:r>
        <w:rPr>
          <w:rFonts w:hint="eastAsia" w:ascii="方正小标宋简体" w:hAnsi="方正小标宋简体" w:eastAsia="方正小标宋简体" w:cs="方正小标宋简体"/>
          <w:b/>
          <w:bCs/>
          <w:sz w:val="44"/>
          <w:szCs w:val="44"/>
        </w:rPr>
        <w:t>广东省人民医院单病种质量控制平台采购项目</w:t>
      </w:r>
      <w:r>
        <w:rPr>
          <w:rFonts w:hint="eastAsia" w:ascii="方正小标宋简体" w:hAnsi="方正小标宋简体" w:eastAsia="方正小标宋简体" w:cs="方正小标宋简体"/>
          <w:b/>
          <w:bCs/>
          <w:sz w:val="44"/>
          <w:szCs w:val="44"/>
          <w:lang w:eastAsia="zh-CN"/>
        </w:rPr>
        <w:t>（</w:t>
      </w:r>
      <w:r>
        <w:rPr>
          <w:rFonts w:hint="eastAsia" w:ascii="方正小标宋简体" w:hAnsi="方正小标宋简体" w:eastAsia="方正小标宋简体" w:cs="方正小标宋简体"/>
          <w:b/>
          <w:bCs/>
          <w:sz w:val="44"/>
          <w:szCs w:val="44"/>
          <w:lang w:val="en-US" w:eastAsia="zh-CN"/>
        </w:rPr>
        <w:t>2022年</w:t>
      </w:r>
      <w:r>
        <w:rPr>
          <w:rFonts w:hint="eastAsia" w:ascii="方正小标宋简体" w:hAnsi="方正小标宋简体" w:eastAsia="方正小标宋简体" w:cs="方正小标宋简体"/>
          <w:b/>
          <w:bCs/>
          <w:sz w:val="44"/>
          <w:szCs w:val="44"/>
          <w:lang w:eastAsia="zh-CN"/>
        </w:rPr>
        <w:t>）</w:t>
      </w:r>
      <w:r>
        <w:rPr>
          <w:rFonts w:hint="eastAsia" w:ascii="方正小标宋简体" w:hAnsi="方正小标宋简体" w:eastAsia="方正小标宋简体" w:cs="方正小标宋简体"/>
          <w:b/>
          <w:bCs/>
          <w:sz w:val="44"/>
          <w:szCs w:val="44"/>
        </w:rPr>
        <w:t>需求</w:t>
      </w:r>
    </w:p>
    <w:p>
      <w:pPr>
        <w:rPr>
          <w:rFonts w:ascii="仿宋" w:hAnsi="仿宋" w:eastAsia="仿宋"/>
          <w:sz w:val="28"/>
          <w:szCs w:val="28"/>
        </w:rPr>
      </w:pPr>
    </w:p>
    <w:p>
      <w:pPr>
        <w:ind w:firstLine="480" w:firstLineChars="200"/>
        <w:rPr>
          <w:rFonts w:ascii="宋体" w:hAnsi="宋体" w:cs="宋体"/>
          <w:kern w:val="0"/>
          <w:sz w:val="24"/>
        </w:rPr>
      </w:pPr>
      <w:r>
        <w:rPr>
          <w:rFonts w:hint="eastAsia" w:ascii="宋体" w:hAnsi="宋体" w:cs="宋体"/>
          <w:kern w:val="0"/>
          <w:sz w:val="24"/>
        </w:rPr>
        <w:t>本次院内</w:t>
      </w:r>
      <w:r>
        <w:rPr>
          <w:rFonts w:ascii="宋体" w:hAnsi="宋体" w:cs="宋体"/>
          <w:kern w:val="0"/>
          <w:sz w:val="24"/>
        </w:rPr>
        <w:t>议价</w:t>
      </w:r>
      <w:r>
        <w:rPr>
          <w:rFonts w:hint="eastAsia" w:ascii="宋体" w:hAnsi="宋体" w:cs="宋体"/>
          <w:kern w:val="0"/>
          <w:sz w:val="24"/>
        </w:rPr>
        <w:t>采购限价</w:t>
      </w:r>
      <w:r>
        <w:rPr>
          <w:rFonts w:hint="eastAsia" w:ascii="宋体" w:hAnsi="宋体" w:cs="宋体"/>
          <w:kern w:val="0"/>
          <w:sz w:val="24"/>
          <w:u w:val="single"/>
        </w:rPr>
        <w:t>：</w:t>
      </w:r>
      <w:r>
        <w:rPr>
          <w:rFonts w:hint="eastAsia" w:ascii="宋体" w:hAnsi="宋体" w:cs="宋体"/>
          <w:kern w:val="0"/>
          <w:sz w:val="24"/>
          <w:u w:val="single"/>
          <w:lang w:val="en-US" w:eastAsia="zh-CN"/>
        </w:rPr>
        <w:t>80</w:t>
      </w:r>
      <w:r>
        <w:rPr>
          <w:rFonts w:hint="eastAsia" w:ascii="宋体" w:hAnsi="宋体" w:cs="宋体"/>
          <w:kern w:val="0"/>
          <w:sz w:val="24"/>
          <w:u w:val="single"/>
        </w:rPr>
        <w:t xml:space="preserve"> </w:t>
      </w:r>
      <w:r>
        <w:rPr>
          <w:rFonts w:hint="eastAsia" w:ascii="宋体" w:hAnsi="宋体" w:cs="宋体"/>
          <w:kern w:val="0"/>
          <w:sz w:val="24"/>
        </w:rPr>
        <w:t>万元，无论是否单项限价，请各应标商按照采购清单报价，采购清单如下：</w:t>
      </w:r>
    </w:p>
    <w:p>
      <w:pPr>
        <w:rPr>
          <w:b/>
          <w:sz w:val="32"/>
          <w:szCs w:val="32"/>
        </w:rPr>
      </w:pPr>
      <w:r>
        <w:rPr>
          <w:rFonts w:hint="eastAsia"/>
          <w:b/>
          <w:sz w:val="32"/>
          <w:szCs w:val="32"/>
        </w:rPr>
        <w:t>一、</w:t>
      </w:r>
      <w:r>
        <w:rPr>
          <w:b/>
          <w:sz w:val="32"/>
          <w:szCs w:val="32"/>
        </w:rPr>
        <w:t xml:space="preserve">采购清单 </w:t>
      </w:r>
    </w:p>
    <w:tbl>
      <w:tblPr>
        <w:tblStyle w:val="11"/>
        <w:tblpPr w:leftFromText="180" w:rightFromText="180" w:vertAnchor="text" w:horzAnchor="margin" w:tblpY="4"/>
        <w:tblW w:w="8336" w:type="dxa"/>
        <w:tblInd w:w="0" w:type="dxa"/>
        <w:tblLayout w:type="autofit"/>
        <w:tblCellMar>
          <w:top w:w="15" w:type="dxa"/>
          <w:left w:w="15" w:type="dxa"/>
          <w:bottom w:w="15" w:type="dxa"/>
          <w:right w:w="15" w:type="dxa"/>
        </w:tblCellMar>
      </w:tblPr>
      <w:tblGrid>
        <w:gridCol w:w="673"/>
        <w:gridCol w:w="2881"/>
        <w:gridCol w:w="3691"/>
        <w:gridCol w:w="1091"/>
      </w:tblGrid>
      <w:tr>
        <w:tblPrEx>
          <w:tblCellMar>
            <w:top w:w="15" w:type="dxa"/>
            <w:left w:w="15" w:type="dxa"/>
            <w:bottom w:w="15" w:type="dxa"/>
            <w:right w:w="15" w:type="dxa"/>
          </w:tblCellMar>
        </w:tblPrEx>
        <w:trPr>
          <w:trHeight w:val="581" w:hRule="atLeast"/>
        </w:trPr>
        <w:tc>
          <w:tcPr>
            <w:tcW w:w="673" w:type="dxa"/>
            <w:tcBorders>
              <w:top w:val="single" w:color="000000" w:sz="4" w:space="0"/>
              <w:left w:val="single" w:color="000000" w:sz="4" w:space="0"/>
              <w:bottom w:val="single" w:color="000000" w:sz="4" w:space="0"/>
              <w:right w:val="single" w:color="000000" w:sz="4" w:space="0"/>
            </w:tcBorders>
            <w:vAlign w:val="center"/>
          </w:tcPr>
          <w:p>
            <w:pPr>
              <w:widowControl/>
              <w:spacing w:before="100" w:beforeAutospacing="1" w:after="100" w:afterAutospacing="1"/>
              <w:jc w:val="center"/>
              <w:rPr>
                <w:rFonts w:ascii="宋体" w:hAnsi="宋体" w:cs="宋体"/>
                <w:kern w:val="0"/>
              </w:rPr>
            </w:pPr>
            <w:r>
              <w:rPr>
                <w:rFonts w:ascii="宋体" w:hAnsi="宋体" w:cs="宋体"/>
                <w:kern w:val="0"/>
                <w:sz w:val="22"/>
              </w:rPr>
              <w:t>序号</w:t>
            </w:r>
          </w:p>
        </w:tc>
        <w:tc>
          <w:tcPr>
            <w:tcW w:w="2881" w:type="dxa"/>
            <w:tcBorders>
              <w:top w:val="single" w:color="000000" w:sz="4" w:space="0"/>
              <w:left w:val="single" w:color="000000" w:sz="4" w:space="0"/>
              <w:bottom w:val="single" w:color="000000" w:sz="4" w:space="0"/>
              <w:right w:val="single" w:color="000000" w:sz="4" w:space="0"/>
            </w:tcBorders>
          </w:tcPr>
          <w:p>
            <w:pPr>
              <w:widowControl/>
              <w:spacing w:before="100" w:beforeAutospacing="1" w:after="100" w:afterAutospacing="1" w:line="480" w:lineRule="auto"/>
              <w:jc w:val="center"/>
              <w:rPr>
                <w:rFonts w:ascii="宋体" w:hAnsi="宋体" w:cs="宋体"/>
                <w:kern w:val="0"/>
                <w:sz w:val="22"/>
              </w:rPr>
            </w:pPr>
            <w:r>
              <w:rPr>
                <w:rFonts w:hint="eastAsia" w:ascii="宋体" w:hAnsi="宋体" w:cs="宋体"/>
                <w:kern w:val="0"/>
                <w:sz w:val="22"/>
              </w:rPr>
              <w:t>名称</w:t>
            </w:r>
          </w:p>
        </w:tc>
        <w:tc>
          <w:tcPr>
            <w:tcW w:w="3691" w:type="dxa"/>
            <w:tcBorders>
              <w:top w:val="single" w:color="000000" w:sz="4" w:space="0"/>
              <w:left w:val="single" w:color="000000" w:sz="4" w:space="0"/>
              <w:bottom w:val="single" w:color="000000" w:sz="4" w:space="0"/>
              <w:right w:val="single" w:color="000000" w:sz="4" w:space="0"/>
            </w:tcBorders>
            <w:vAlign w:val="center"/>
          </w:tcPr>
          <w:p>
            <w:pPr>
              <w:widowControl/>
              <w:spacing w:before="100" w:beforeAutospacing="1" w:after="100" w:afterAutospacing="1"/>
              <w:jc w:val="center"/>
              <w:rPr>
                <w:rFonts w:ascii="宋体" w:hAnsi="宋体" w:cs="宋体"/>
                <w:kern w:val="0"/>
              </w:rPr>
            </w:pPr>
            <w:r>
              <w:rPr>
                <w:rFonts w:hint="eastAsia" w:ascii="宋体" w:hAnsi="宋体" w:cs="宋体"/>
                <w:kern w:val="0"/>
                <w:sz w:val="22"/>
              </w:rPr>
              <w:t>配置描述</w:t>
            </w:r>
          </w:p>
        </w:tc>
        <w:tc>
          <w:tcPr>
            <w:tcW w:w="1091" w:type="dxa"/>
            <w:tcBorders>
              <w:top w:val="single" w:color="000000" w:sz="4" w:space="0"/>
              <w:left w:val="single" w:color="000000" w:sz="4" w:space="0"/>
              <w:bottom w:val="single" w:color="000000" w:sz="4" w:space="0"/>
              <w:right w:val="single" w:color="000000" w:sz="4" w:space="0"/>
            </w:tcBorders>
            <w:vAlign w:val="center"/>
          </w:tcPr>
          <w:p>
            <w:pPr>
              <w:widowControl/>
              <w:spacing w:before="100" w:beforeAutospacing="1" w:after="100" w:afterAutospacing="1"/>
              <w:jc w:val="center"/>
              <w:rPr>
                <w:rFonts w:ascii="宋体" w:hAnsi="宋体" w:cs="宋体"/>
                <w:kern w:val="0"/>
              </w:rPr>
            </w:pPr>
            <w:r>
              <w:rPr>
                <w:rFonts w:ascii="宋体" w:hAnsi="宋体" w:cs="宋体"/>
                <w:kern w:val="0"/>
                <w:sz w:val="22"/>
              </w:rPr>
              <w:t>总数</w:t>
            </w:r>
          </w:p>
        </w:tc>
      </w:tr>
      <w:tr>
        <w:tblPrEx>
          <w:tblCellMar>
            <w:top w:w="15" w:type="dxa"/>
            <w:left w:w="15" w:type="dxa"/>
            <w:bottom w:w="15" w:type="dxa"/>
            <w:right w:w="15" w:type="dxa"/>
          </w:tblCellMar>
        </w:tblPrEx>
        <w:trPr>
          <w:trHeight w:val="618" w:hRule="atLeast"/>
        </w:trPr>
        <w:tc>
          <w:tcPr>
            <w:tcW w:w="673" w:type="dxa"/>
            <w:tcBorders>
              <w:top w:val="single" w:color="000000" w:sz="4" w:space="0"/>
              <w:left w:val="single" w:color="000000" w:sz="4" w:space="0"/>
              <w:bottom w:val="single" w:color="auto" w:sz="4" w:space="0"/>
              <w:right w:val="single" w:color="000000" w:sz="4" w:space="0"/>
            </w:tcBorders>
            <w:vAlign w:val="center"/>
          </w:tcPr>
          <w:p>
            <w:pPr>
              <w:spacing w:line="360" w:lineRule="auto"/>
              <w:rPr>
                <w:rFonts w:hint="eastAsia" w:ascii="宋体" w:hAnsi="宋体" w:cs="宋体"/>
                <w:sz w:val="24"/>
              </w:rPr>
            </w:pPr>
            <w:r>
              <w:rPr>
                <w:rFonts w:hint="eastAsia" w:ascii="宋体" w:hAnsi="宋体" w:cs="宋体"/>
                <w:sz w:val="24"/>
              </w:rPr>
              <w:t>1</w:t>
            </w:r>
          </w:p>
        </w:tc>
        <w:tc>
          <w:tcPr>
            <w:tcW w:w="2881" w:type="dxa"/>
            <w:tcBorders>
              <w:top w:val="single" w:color="000000" w:sz="4" w:space="0"/>
              <w:left w:val="single" w:color="000000" w:sz="4" w:space="0"/>
              <w:bottom w:val="single" w:color="auto" w:sz="4" w:space="0"/>
              <w:right w:val="single" w:color="000000" w:sz="4" w:space="0"/>
            </w:tcBorders>
          </w:tcPr>
          <w:p>
            <w:pPr>
              <w:spacing w:line="360" w:lineRule="auto"/>
              <w:rPr>
                <w:rFonts w:hint="eastAsia" w:ascii="宋体" w:hAnsi="宋体" w:cs="宋体"/>
                <w:sz w:val="24"/>
              </w:rPr>
            </w:pPr>
            <w:r>
              <w:rPr>
                <w:rFonts w:hint="eastAsia" w:ascii="宋体" w:hAnsi="宋体" w:cs="宋体"/>
                <w:sz w:val="24"/>
              </w:rPr>
              <w:t>单病种质量控制平台</w:t>
            </w:r>
          </w:p>
        </w:tc>
        <w:tc>
          <w:tcPr>
            <w:tcW w:w="3691" w:type="dxa"/>
            <w:tcBorders>
              <w:top w:val="single" w:color="000000" w:sz="4" w:space="0"/>
              <w:left w:val="single" w:color="000000" w:sz="4" w:space="0"/>
              <w:bottom w:val="single" w:color="auto" w:sz="4" w:space="0"/>
              <w:right w:val="single" w:color="000000" w:sz="4" w:space="0"/>
            </w:tcBorders>
            <w:vAlign w:val="center"/>
          </w:tcPr>
          <w:p>
            <w:pPr>
              <w:spacing w:line="360" w:lineRule="auto"/>
              <w:rPr>
                <w:rFonts w:ascii="宋体" w:hAnsi="宋体" w:cs="宋体"/>
                <w:sz w:val="24"/>
              </w:rPr>
            </w:pPr>
            <w:r>
              <w:rPr>
                <w:rFonts w:hint="eastAsia" w:ascii="宋体" w:hAnsi="宋体" w:cs="宋体"/>
                <w:sz w:val="24"/>
              </w:rPr>
              <w:t>详见参数要求</w:t>
            </w:r>
          </w:p>
        </w:tc>
        <w:tc>
          <w:tcPr>
            <w:tcW w:w="1091" w:type="dxa"/>
            <w:tcBorders>
              <w:top w:val="single" w:color="000000" w:sz="4" w:space="0"/>
              <w:left w:val="single" w:color="000000" w:sz="4" w:space="0"/>
              <w:bottom w:val="single" w:color="auto" w:sz="4" w:space="0"/>
              <w:right w:val="single" w:color="000000" w:sz="4" w:space="0"/>
            </w:tcBorders>
            <w:vAlign w:val="center"/>
          </w:tcPr>
          <w:p>
            <w:pPr>
              <w:widowControl/>
              <w:jc w:val="center"/>
              <w:rPr>
                <w:rFonts w:hint="eastAsia" w:ascii="宋体" w:hAnsi="宋体" w:eastAsia="宋体" w:cs="宋体"/>
                <w:kern w:val="0"/>
                <w:sz w:val="22"/>
                <w:lang w:val="en-US" w:eastAsia="zh-CN"/>
              </w:rPr>
            </w:pPr>
            <w:r>
              <w:rPr>
                <w:rFonts w:hint="eastAsia" w:ascii="宋体" w:hAnsi="宋体" w:cs="宋体"/>
                <w:kern w:val="0"/>
                <w:sz w:val="22"/>
                <w:lang w:val="en-US" w:eastAsia="zh-CN"/>
              </w:rPr>
              <w:t>1套</w:t>
            </w:r>
          </w:p>
        </w:tc>
      </w:tr>
    </w:tbl>
    <w:p>
      <w:pPr>
        <w:rPr>
          <w:b/>
          <w:sz w:val="32"/>
          <w:szCs w:val="32"/>
        </w:rPr>
      </w:pPr>
      <w:r>
        <w:rPr>
          <w:rFonts w:hint="eastAsia" w:ascii="宋体" w:hAnsi="宋体" w:cs="宋体"/>
          <w:b/>
          <w:sz w:val="24"/>
        </w:rPr>
        <w:t xml:space="preserve"> </w:t>
      </w:r>
    </w:p>
    <w:p>
      <w:pPr>
        <w:numPr>
          <w:ilvl w:val="0"/>
          <w:numId w:val="2"/>
        </w:numPr>
        <w:rPr>
          <w:b/>
          <w:sz w:val="32"/>
          <w:szCs w:val="32"/>
        </w:rPr>
      </w:pPr>
      <w:r>
        <w:rPr>
          <w:rFonts w:hint="eastAsia"/>
          <w:b/>
          <w:sz w:val="32"/>
          <w:szCs w:val="32"/>
        </w:rPr>
        <w:t>参数要求</w:t>
      </w:r>
    </w:p>
    <w:p>
      <w:pPr>
        <w:spacing w:line="360" w:lineRule="auto"/>
        <w:rPr>
          <w:rFonts w:hint="eastAsia" w:ascii="宋体" w:hAnsi="宋体"/>
          <w:sz w:val="24"/>
          <w:szCs w:val="24"/>
        </w:rPr>
      </w:pPr>
    </w:p>
    <w:p>
      <w:pPr>
        <w:numPr>
          <w:ilvl w:val="1"/>
          <w:numId w:val="3"/>
        </w:numPr>
        <w:spacing w:line="360" w:lineRule="auto"/>
        <w:ind w:left="567" w:leftChars="0" w:hanging="567" w:firstLineChars="0"/>
        <w:rPr>
          <w:rFonts w:hint="eastAsia" w:ascii="宋体" w:hAnsi="宋体"/>
          <w:b/>
          <w:sz w:val="24"/>
          <w:szCs w:val="24"/>
        </w:rPr>
      </w:pPr>
      <w:r>
        <w:rPr>
          <w:rFonts w:hint="eastAsia" w:ascii="宋体" w:hAnsi="宋体"/>
          <w:b/>
          <w:sz w:val="24"/>
          <w:szCs w:val="24"/>
        </w:rPr>
        <w:t>需求概述</w:t>
      </w:r>
    </w:p>
    <w:p>
      <w:pPr>
        <w:numPr>
          <w:ilvl w:val="0"/>
          <w:numId w:val="4"/>
        </w:numPr>
        <w:spacing w:line="360" w:lineRule="auto"/>
        <w:rPr>
          <w:rFonts w:hint="eastAsia" w:ascii="宋体" w:hAnsi="宋体" w:cs="宋体"/>
          <w:sz w:val="24"/>
          <w:szCs w:val="24"/>
        </w:rPr>
      </w:pPr>
      <w:r>
        <w:rPr>
          <w:rFonts w:hint="eastAsia" w:ascii="宋体" w:hAnsi="宋体"/>
          <w:sz w:val="24"/>
          <w:szCs w:val="24"/>
        </w:rPr>
        <w:t>背景：</w:t>
      </w:r>
      <w:r>
        <w:rPr>
          <w:rFonts w:hint="eastAsia" w:ascii="宋体" w:hAnsi="宋体" w:cs="宋体"/>
          <w:sz w:val="24"/>
          <w:szCs w:val="24"/>
        </w:rPr>
        <w:t>按照国家</w:t>
      </w:r>
      <w:r>
        <w:rPr>
          <w:rFonts w:hint="eastAsia" w:ascii="宋体" w:hAnsi="宋体" w:cs="宋体"/>
          <w:sz w:val="24"/>
          <w:szCs w:val="24"/>
          <w:lang w:eastAsia="zh-CN"/>
        </w:rPr>
        <w:t>卫健委</w:t>
      </w:r>
      <w:r>
        <w:rPr>
          <w:rFonts w:hint="eastAsia" w:ascii="宋体" w:hAnsi="宋体" w:cs="宋体"/>
          <w:sz w:val="24"/>
          <w:szCs w:val="24"/>
        </w:rPr>
        <w:t>要求，医院对</w:t>
      </w:r>
      <w:r>
        <w:rPr>
          <w:rFonts w:hint="eastAsia" w:ascii="宋体" w:hAnsi="宋体" w:cs="宋体"/>
          <w:sz w:val="24"/>
          <w:szCs w:val="24"/>
          <w:lang w:val="en-US" w:eastAsia="zh-CN"/>
        </w:rPr>
        <w:t>51</w:t>
      </w:r>
      <w:r>
        <w:rPr>
          <w:rFonts w:hint="eastAsia" w:ascii="宋体" w:hAnsi="宋体" w:cs="宋体"/>
          <w:sz w:val="24"/>
          <w:szCs w:val="24"/>
        </w:rPr>
        <w:t>个单病种进行资料管理控制工作，同时需定期上传到国家</w:t>
      </w:r>
      <w:r>
        <w:rPr>
          <w:rFonts w:hint="eastAsia" w:ascii="宋体" w:hAnsi="宋体" w:cs="宋体"/>
          <w:sz w:val="24"/>
          <w:szCs w:val="24"/>
          <w:lang w:eastAsia="zh-CN"/>
        </w:rPr>
        <w:t>卫健委</w:t>
      </w:r>
      <w:r>
        <w:rPr>
          <w:rFonts w:hint="eastAsia" w:ascii="宋体" w:hAnsi="宋体" w:cs="宋体"/>
          <w:sz w:val="24"/>
          <w:szCs w:val="24"/>
        </w:rPr>
        <w:t>主办的</w:t>
      </w:r>
      <w:r>
        <w:rPr>
          <w:rFonts w:hint="eastAsia" w:ascii="宋体" w:hAnsi="宋体" w:cs="宋体"/>
          <w:sz w:val="24"/>
          <w:szCs w:val="24"/>
          <w:lang w:eastAsia="zh-CN"/>
        </w:rPr>
        <w:t>国家</w:t>
      </w:r>
      <w:r>
        <w:rPr>
          <w:rFonts w:hint="eastAsia" w:ascii="宋体" w:hAnsi="宋体" w:cs="宋体"/>
          <w:sz w:val="24"/>
          <w:szCs w:val="24"/>
        </w:rPr>
        <w:t>单病种质量</w:t>
      </w:r>
      <w:r>
        <w:rPr>
          <w:rFonts w:hint="eastAsia" w:ascii="宋体" w:hAnsi="宋体" w:cs="宋体"/>
          <w:sz w:val="24"/>
          <w:szCs w:val="24"/>
          <w:lang w:eastAsia="zh-CN"/>
        </w:rPr>
        <w:t>管理与控制平台</w:t>
      </w:r>
      <w:r>
        <w:rPr>
          <w:rFonts w:hint="eastAsia" w:ascii="宋体" w:hAnsi="宋体" w:cs="宋体"/>
          <w:sz w:val="24"/>
          <w:szCs w:val="24"/>
        </w:rPr>
        <w:t>。</w:t>
      </w:r>
      <w:r>
        <w:rPr>
          <w:rFonts w:hint="eastAsia" w:ascii="宋体" w:hAnsi="宋体" w:cs="宋体"/>
          <w:sz w:val="24"/>
          <w:szCs w:val="24"/>
          <w:lang w:val="en-US" w:eastAsia="zh-CN"/>
        </w:rPr>
        <w:t xml:space="preserve">    </w:t>
      </w:r>
    </w:p>
    <w:p>
      <w:pPr>
        <w:numPr>
          <w:ilvl w:val="0"/>
          <w:numId w:val="4"/>
        </w:numPr>
        <w:spacing w:line="360" w:lineRule="auto"/>
        <w:rPr>
          <w:rFonts w:hint="eastAsia" w:ascii="宋体" w:hAnsi="宋体"/>
          <w:sz w:val="24"/>
          <w:szCs w:val="24"/>
        </w:rPr>
      </w:pPr>
      <w:r>
        <w:rPr>
          <w:rFonts w:hint="eastAsia" w:ascii="宋体" w:hAnsi="宋体" w:cs="宋体"/>
          <w:sz w:val="24"/>
          <w:szCs w:val="24"/>
        </w:rPr>
        <w:t>范围：涉及20</w:t>
      </w:r>
      <w:r>
        <w:rPr>
          <w:rFonts w:hint="eastAsia" w:ascii="宋体" w:hAnsi="宋体" w:cs="宋体"/>
          <w:sz w:val="24"/>
          <w:szCs w:val="24"/>
          <w:lang w:val="en-US" w:eastAsia="zh-CN"/>
        </w:rPr>
        <w:t>22</w:t>
      </w:r>
      <w:r>
        <w:rPr>
          <w:rFonts w:hint="eastAsia" w:ascii="宋体" w:hAnsi="宋体" w:cs="宋体"/>
          <w:sz w:val="24"/>
          <w:szCs w:val="24"/>
        </w:rPr>
        <w:t>年</w:t>
      </w:r>
      <w:r>
        <w:rPr>
          <w:rFonts w:hint="eastAsia" w:ascii="宋体" w:hAnsi="宋体" w:cs="宋体"/>
          <w:sz w:val="24"/>
          <w:szCs w:val="24"/>
          <w:lang w:val="en-US" w:eastAsia="zh-CN"/>
        </w:rPr>
        <w:t>4</w:t>
      </w:r>
      <w:r>
        <w:rPr>
          <w:rFonts w:hint="eastAsia" w:ascii="宋体" w:hAnsi="宋体" w:cs="宋体"/>
          <w:sz w:val="24"/>
          <w:szCs w:val="24"/>
        </w:rPr>
        <w:t>月1日为止，纳入国家单病种质量管理的病种</w:t>
      </w:r>
      <w:r>
        <w:rPr>
          <w:rFonts w:hint="eastAsia" w:ascii="宋体" w:hAnsi="宋体"/>
          <w:sz w:val="24"/>
          <w:szCs w:val="24"/>
        </w:rPr>
        <w:t>，诊断ICD符合病种的病例均纳入单病种管理。</w:t>
      </w:r>
    </w:p>
    <w:p>
      <w:pPr>
        <w:numPr>
          <w:ilvl w:val="0"/>
          <w:numId w:val="4"/>
        </w:numPr>
        <w:spacing w:line="360" w:lineRule="auto"/>
        <w:rPr>
          <w:rFonts w:hint="eastAsia" w:ascii="宋体" w:hAnsi="宋体"/>
          <w:sz w:val="24"/>
          <w:szCs w:val="24"/>
        </w:rPr>
      </w:pPr>
      <w:r>
        <w:rPr>
          <w:rFonts w:hint="eastAsia" w:ascii="宋体" w:hAnsi="宋体"/>
          <w:sz w:val="24"/>
          <w:szCs w:val="24"/>
          <w:lang w:eastAsia="zh-CN"/>
        </w:rPr>
        <w:t>要求：实现</w:t>
      </w:r>
      <w:r>
        <w:rPr>
          <w:rFonts w:hint="eastAsia" w:ascii="宋体" w:hAnsi="宋体"/>
          <w:sz w:val="24"/>
          <w:szCs w:val="24"/>
          <w:lang w:val="en-US" w:eastAsia="zh-CN"/>
        </w:rPr>
        <w:t>51个病种及免费维护期内的新增病种的过程监控、和智能上报，确保填报数据</w:t>
      </w:r>
      <w:r>
        <w:rPr>
          <w:rFonts w:hint="eastAsia" w:ascii="宋体" w:hAnsi="宋体"/>
          <w:sz w:val="24"/>
          <w:szCs w:val="24"/>
          <w:lang w:eastAsia="zh-CN"/>
        </w:rPr>
        <w:t>符合国家卫健委《关于进一步加强单病种质量管理与控制工作的通知》中</w:t>
      </w:r>
      <w:r>
        <w:rPr>
          <w:rFonts w:hint="eastAsia" w:ascii="宋体" w:hAnsi="宋体" w:eastAsia="宋体" w:cs="Times New Roman"/>
          <w:sz w:val="24"/>
          <w:szCs w:val="24"/>
          <w:lang w:eastAsia="zh-CN"/>
        </w:rPr>
        <w:t>《</w:t>
      </w:r>
      <w:r>
        <w:rPr>
          <w:rFonts w:hint="eastAsia" w:ascii="宋体" w:hAnsi="宋体" w:eastAsia="宋体" w:cs="Times New Roman"/>
          <w:sz w:val="24"/>
          <w:szCs w:val="24"/>
          <w:lang w:eastAsia="zh-CN"/>
        </w:rPr>
        <w:fldChar w:fldCharType="begin"/>
      </w:r>
      <w:r>
        <w:rPr>
          <w:rFonts w:hint="eastAsia" w:ascii="宋体" w:hAnsi="宋体" w:eastAsia="宋体" w:cs="Times New Roman"/>
          <w:sz w:val="24"/>
          <w:szCs w:val="24"/>
          <w:lang w:eastAsia="zh-CN"/>
        </w:rPr>
        <w:instrText xml:space="preserve"> HYPERLINK "http://www.nhc.gov.cn/yzygj/s7657/202007/b31755433b8e4a50b23906b9f1a07393/files/486752ce1ee64320a5cf727823a625fe.pdf" \t "http://www.nhc.gov.cn/yzygj/s7657/202007/_blank" </w:instrText>
      </w:r>
      <w:r>
        <w:rPr>
          <w:rFonts w:hint="eastAsia" w:ascii="宋体" w:hAnsi="宋体" w:eastAsia="宋体" w:cs="Times New Roman"/>
          <w:sz w:val="24"/>
          <w:szCs w:val="24"/>
          <w:lang w:eastAsia="zh-CN"/>
        </w:rPr>
        <w:fldChar w:fldCharType="separate"/>
      </w:r>
      <w:r>
        <w:rPr>
          <w:rFonts w:hint="eastAsia" w:ascii="宋体" w:hAnsi="宋体" w:eastAsia="宋体" w:cs="Times New Roman"/>
          <w:sz w:val="24"/>
          <w:szCs w:val="24"/>
          <w:lang w:eastAsia="zh-CN"/>
        </w:rPr>
        <w:t>单病种质量监测信息项（2020年版）</w:t>
      </w:r>
      <w:r>
        <w:rPr>
          <w:rFonts w:hint="eastAsia" w:ascii="宋体" w:hAnsi="宋体" w:eastAsia="宋体" w:cs="Times New Roman"/>
          <w:sz w:val="24"/>
          <w:szCs w:val="24"/>
          <w:lang w:eastAsia="zh-CN"/>
        </w:rPr>
        <w:fldChar w:fldCharType="end"/>
      </w:r>
      <w:r>
        <w:rPr>
          <w:rFonts w:hint="eastAsia" w:ascii="宋体" w:hAnsi="宋体" w:eastAsia="宋体" w:cs="Times New Roman"/>
          <w:sz w:val="24"/>
          <w:szCs w:val="24"/>
          <w:lang w:eastAsia="zh-CN"/>
        </w:rPr>
        <w:t>》</w:t>
      </w:r>
      <w:r>
        <w:rPr>
          <w:rFonts w:hint="eastAsia" w:ascii="宋体" w:hAnsi="宋体"/>
          <w:sz w:val="24"/>
          <w:szCs w:val="24"/>
          <w:lang w:val="en-US" w:eastAsia="zh-CN"/>
        </w:rPr>
        <w:t>要求。</w:t>
      </w:r>
    </w:p>
    <w:p>
      <w:pPr>
        <w:spacing w:line="360" w:lineRule="auto"/>
        <w:rPr>
          <w:rFonts w:hint="eastAsia" w:ascii="宋体" w:hAnsi="宋体"/>
          <w:b/>
          <w:sz w:val="24"/>
          <w:szCs w:val="24"/>
        </w:rPr>
      </w:pPr>
    </w:p>
    <w:p>
      <w:pPr>
        <w:numPr>
          <w:ilvl w:val="1"/>
          <w:numId w:val="3"/>
        </w:numPr>
        <w:spacing w:line="360" w:lineRule="auto"/>
        <w:ind w:left="567" w:leftChars="0" w:hanging="567" w:firstLineChars="0"/>
        <w:rPr>
          <w:rFonts w:hint="eastAsia" w:ascii="宋体" w:hAnsi="宋体"/>
          <w:b/>
          <w:sz w:val="24"/>
          <w:szCs w:val="24"/>
        </w:rPr>
      </w:pPr>
      <w:r>
        <w:rPr>
          <w:rFonts w:hint="eastAsia" w:ascii="宋体" w:hAnsi="宋体"/>
          <w:b/>
          <w:sz w:val="24"/>
          <w:szCs w:val="24"/>
        </w:rPr>
        <w:t>功能需求</w:t>
      </w:r>
    </w:p>
    <w:p>
      <w:pPr>
        <w:numPr>
          <w:ilvl w:val="2"/>
          <w:numId w:val="3"/>
        </w:numPr>
        <w:spacing w:line="360" w:lineRule="auto"/>
        <w:ind w:left="709" w:leftChars="0" w:hanging="709" w:firstLineChars="0"/>
        <w:rPr>
          <w:rFonts w:hint="eastAsia" w:ascii="宋体" w:hAnsi="宋体"/>
          <w:sz w:val="24"/>
          <w:szCs w:val="24"/>
          <w:lang w:eastAsia="zh-CN"/>
        </w:rPr>
      </w:pPr>
      <w:r>
        <w:rPr>
          <w:rFonts w:hint="eastAsia" w:ascii="宋体" w:hAnsi="宋体"/>
          <w:sz w:val="24"/>
          <w:szCs w:val="24"/>
        </w:rPr>
        <w:tab/>
      </w:r>
      <w:r>
        <w:rPr>
          <w:rFonts w:hint="eastAsia" w:ascii="宋体" w:hAnsi="宋体" w:eastAsia="宋体" w:cs="Times New Roman"/>
          <w:sz w:val="24"/>
          <w:szCs w:val="24"/>
          <w:lang w:eastAsia="zh-CN"/>
        </w:rPr>
        <w:t>事中填报和过程质控</w:t>
      </w:r>
      <w:r>
        <w:rPr>
          <w:rFonts w:hint="eastAsia" w:ascii="宋体" w:hAnsi="宋体"/>
          <w:sz w:val="24"/>
          <w:szCs w:val="24"/>
          <w:lang w:eastAsia="zh-CN"/>
        </w:rPr>
        <w:t>：</w:t>
      </w:r>
    </w:p>
    <w:p>
      <w:pPr>
        <w:numPr>
          <w:ilvl w:val="0"/>
          <w:numId w:val="5"/>
        </w:numPr>
        <w:spacing w:line="360" w:lineRule="auto"/>
        <w:ind w:left="1260" w:leftChars="0" w:hanging="420" w:firstLineChars="0"/>
        <w:rPr>
          <w:rFonts w:hint="eastAsia" w:ascii="宋体" w:hAnsi="宋体"/>
          <w:sz w:val="24"/>
          <w:szCs w:val="24"/>
          <w:lang w:eastAsia="zh-CN"/>
        </w:rPr>
      </w:pPr>
      <w:r>
        <w:rPr>
          <w:rFonts w:ascii="宋体" w:hAnsi="宋体" w:cs="Segoe UI Symbol"/>
          <w:spacing w:val="2"/>
          <w:sz w:val="24"/>
        </w:rPr>
        <w:t>▲</w:t>
      </w:r>
      <w:r>
        <w:rPr>
          <w:rFonts w:hint="eastAsia" w:ascii="宋体" w:hAnsi="宋体" w:cs="Segoe UI Symbol"/>
          <w:spacing w:val="2"/>
          <w:sz w:val="24"/>
        </w:rPr>
        <w:t xml:space="preserve"> </w:t>
      </w:r>
      <w:r>
        <w:rPr>
          <w:rFonts w:hint="eastAsia" w:ascii="宋体" w:hAnsi="宋体"/>
          <w:sz w:val="24"/>
          <w:szCs w:val="24"/>
          <w:lang w:eastAsia="zh-CN"/>
        </w:rPr>
        <w:t>发现提醒：当在诊疗过程中，发现疑是符合单病种的病例，提醒临床医生</w:t>
      </w:r>
    </w:p>
    <w:p>
      <w:pPr>
        <w:numPr>
          <w:ilvl w:val="0"/>
          <w:numId w:val="5"/>
        </w:numPr>
        <w:spacing w:line="360" w:lineRule="auto"/>
        <w:ind w:left="1260" w:leftChars="0" w:hanging="420" w:firstLineChars="0"/>
        <w:rPr>
          <w:rFonts w:hint="eastAsia" w:ascii="宋体" w:hAnsi="宋体"/>
          <w:sz w:val="24"/>
          <w:szCs w:val="24"/>
          <w:lang w:eastAsia="zh-CN"/>
        </w:rPr>
      </w:pPr>
      <w:r>
        <w:rPr>
          <w:rFonts w:hint="eastAsia" w:ascii="宋体" w:hAnsi="宋体"/>
          <w:sz w:val="24"/>
          <w:szCs w:val="24"/>
          <w:lang w:eastAsia="zh-CN"/>
        </w:rPr>
        <w:t>过程提醒：</w:t>
      </w:r>
      <w:r>
        <w:rPr>
          <w:rFonts w:hint="eastAsia" w:ascii="宋体" w:hAnsi="宋体"/>
          <w:color w:val="auto"/>
          <w:sz w:val="24"/>
          <w:szCs w:val="24"/>
          <w:lang w:eastAsia="zh-CN"/>
        </w:rPr>
        <w:t>根据《单病种质量监测信息项（2020年版）》要求，系</w:t>
      </w:r>
      <w:r>
        <w:rPr>
          <w:rFonts w:hint="eastAsia" w:ascii="宋体" w:hAnsi="宋体"/>
          <w:sz w:val="24"/>
          <w:szCs w:val="24"/>
          <w:highlight w:val="none"/>
          <w:lang w:eastAsia="zh-CN"/>
        </w:rPr>
        <w:t>统需</w:t>
      </w:r>
      <w:r>
        <w:rPr>
          <w:rFonts w:hint="eastAsia" w:ascii="宋体" w:hAnsi="宋体"/>
          <w:sz w:val="24"/>
          <w:szCs w:val="24"/>
          <w:lang w:eastAsia="zh-CN"/>
        </w:rPr>
        <w:t>要在各个诊疗节点（用药、检查、术前、术后等），提醒医生做相应的医嘱处理。</w:t>
      </w:r>
      <w:r>
        <w:rPr>
          <w:rFonts w:hint="eastAsia" w:ascii="宋体" w:hAnsi="宋体"/>
          <w:sz w:val="24"/>
          <w:szCs w:val="24"/>
          <w:lang w:val="en-US" w:eastAsia="zh-CN"/>
        </w:rPr>
        <w:t>做到事中分析，而非事后统计，将不满足单病种过程质量管理要求的医生行为，通过系统进行提醒，帮助医生在事前提醒，事中改进。</w:t>
      </w:r>
    </w:p>
    <w:p>
      <w:pPr>
        <w:numPr>
          <w:ilvl w:val="0"/>
          <w:numId w:val="5"/>
        </w:numPr>
        <w:spacing w:line="360" w:lineRule="auto"/>
        <w:ind w:left="1260" w:leftChars="0" w:hanging="420" w:firstLineChars="0"/>
        <w:rPr>
          <w:rFonts w:hint="eastAsia" w:ascii="宋体" w:hAnsi="宋体"/>
          <w:sz w:val="24"/>
          <w:szCs w:val="24"/>
          <w:lang w:eastAsia="zh-CN"/>
        </w:rPr>
      </w:pPr>
      <w:r>
        <w:rPr>
          <w:rFonts w:hint="eastAsia" w:ascii="宋体" w:hAnsi="宋体"/>
          <w:sz w:val="24"/>
          <w:szCs w:val="24"/>
          <w:lang w:eastAsia="zh-CN"/>
        </w:rPr>
        <w:t>每个病种的提醒点不少于</w:t>
      </w:r>
      <w:r>
        <w:rPr>
          <w:rFonts w:hint="eastAsia" w:ascii="宋体" w:hAnsi="宋体"/>
          <w:sz w:val="24"/>
          <w:szCs w:val="24"/>
          <w:lang w:val="en-US" w:eastAsia="zh-CN"/>
        </w:rPr>
        <w:t>5个。具体见下</w:t>
      </w:r>
    </w:p>
    <w:tbl>
      <w:tblPr>
        <w:tblStyle w:val="11"/>
        <w:tblW w:w="97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7"/>
        <w:gridCol w:w="1547"/>
        <w:gridCol w:w="67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noWrap w:val="0"/>
            <w:vAlign w:val="center"/>
          </w:tcPr>
          <w:p>
            <w:pPr>
              <w:spacing w:line="400" w:lineRule="exact"/>
              <w:jc w:val="center"/>
              <w:rPr>
                <w:rFonts w:hint="eastAsia" w:ascii="宋体" w:hAnsi="宋体" w:eastAsia="宋体" w:cs="宋体"/>
                <w:sz w:val="24"/>
                <w:szCs w:val="24"/>
              </w:rPr>
            </w:pPr>
            <w:r>
              <w:rPr>
                <w:rFonts w:hint="eastAsia" w:ascii="宋体" w:hAnsi="宋体" w:eastAsia="宋体" w:cs="宋体"/>
                <w:b/>
                <w:bCs/>
                <w:sz w:val="24"/>
                <w:szCs w:val="24"/>
              </w:rPr>
              <w:t>系统名称</w:t>
            </w:r>
          </w:p>
        </w:tc>
        <w:tc>
          <w:tcPr>
            <w:tcW w:w="1547" w:type="dxa"/>
            <w:noWrap w:val="0"/>
            <w:vAlign w:val="center"/>
          </w:tcPr>
          <w:p>
            <w:pPr>
              <w:spacing w:line="400" w:lineRule="exact"/>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病种名称</w:t>
            </w:r>
          </w:p>
        </w:tc>
        <w:tc>
          <w:tcPr>
            <w:tcW w:w="6712" w:type="dxa"/>
            <w:noWrap w:val="0"/>
            <w:vAlign w:val="top"/>
          </w:tcPr>
          <w:p>
            <w:pPr>
              <w:spacing w:line="400" w:lineRule="exact"/>
              <w:jc w:val="center"/>
              <w:rPr>
                <w:rFonts w:hint="eastAsia" w:ascii="宋体" w:hAnsi="宋体" w:eastAsia="宋体" w:cs="宋体"/>
                <w:sz w:val="24"/>
                <w:szCs w:val="24"/>
              </w:rPr>
            </w:pPr>
            <w:r>
              <w:rPr>
                <w:rFonts w:hint="eastAsia" w:ascii="宋体" w:hAnsi="宋体" w:eastAsia="宋体" w:cs="宋体"/>
                <w:b/>
                <w:bCs/>
                <w:sz w:val="24"/>
                <w:szCs w:val="24"/>
              </w:rPr>
              <w:t>功能描述及要求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restart"/>
            <w:noWrap w:val="0"/>
            <w:vAlign w:val="center"/>
          </w:tcPr>
          <w:p>
            <w:pPr>
              <w:spacing w:line="400" w:lineRule="exact"/>
              <w:rPr>
                <w:rFonts w:hint="eastAsia" w:ascii="宋体" w:hAnsi="宋体" w:eastAsia="宋体" w:cs="宋体"/>
                <w:kern w:val="0"/>
                <w:sz w:val="24"/>
                <w:szCs w:val="24"/>
                <w:lang w:val="en-US" w:eastAsia="zh-CN" w:bidi="ar-SA"/>
              </w:rPr>
            </w:pPr>
            <w:r>
              <w:rPr>
                <w:rFonts w:hint="eastAsia" w:ascii="宋体" w:hAnsi="宋体" w:eastAsia="宋体" w:cs="宋体"/>
                <w:bCs/>
                <w:sz w:val="24"/>
                <w:szCs w:val="24"/>
              </w:rPr>
              <w:t>医生端事中填报</w:t>
            </w:r>
          </w:p>
        </w:tc>
        <w:tc>
          <w:tcPr>
            <w:tcW w:w="1547" w:type="dxa"/>
            <w:vMerge w:val="restart"/>
            <w:noWrap w:val="0"/>
            <w:vAlign w:val="center"/>
          </w:tcPr>
          <w:p>
            <w:pPr>
              <w:spacing w:line="400" w:lineRule="exact"/>
              <w:rPr>
                <w:rFonts w:hint="eastAsia" w:ascii="宋体" w:hAnsi="宋体" w:eastAsia="宋体" w:cs="宋体"/>
                <w:kern w:val="2"/>
                <w:sz w:val="24"/>
                <w:szCs w:val="24"/>
                <w:lang w:val="en-US" w:eastAsia="zh-CN" w:bidi="ar-SA"/>
              </w:rPr>
            </w:pPr>
            <w:r>
              <w:rPr>
                <w:rFonts w:hint="eastAsia" w:ascii="宋体" w:hAnsi="宋体" w:eastAsia="宋体" w:cs="宋体"/>
                <w:bCs/>
                <w:sz w:val="24"/>
                <w:szCs w:val="24"/>
              </w:rPr>
              <w:t>患者筛选</w:t>
            </w:r>
          </w:p>
        </w:tc>
        <w:tc>
          <w:tcPr>
            <w:tcW w:w="6712" w:type="dxa"/>
            <w:noWrap w:val="0"/>
            <w:vAlign w:val="center"/>
          </w:tcPr>
          <w:p>
            <w:pPr>
              <w:autoSpaceDE w:val="0"/>
              <w:autoSpaceDN w:val="0"/>
              <w:adjustRightInd w:val="0"/>
              <w:spacing w:line="400" w:lineRule="exact"/>
              <w:jc w:val="left"/>
              <w:rPr>
                <w:rFonts w:hint="eastAsia" w:ascii="宋体" w:hAnsi="宋体" w:eastAsia="宋体" w:cs="宋体"/>
                <w:kern w:val="2"/>
                <w:sz w:val="24"/>
                <w:szCs w:val="24"/>
                <w:lang w:val="en-US" w:eastAsia="zh-CN" w:bidi="ar-SA"/>
              </w:rPr>
            </w:pPr>
            <w:r>
              <w:rPr>
                <w:rFonts w:hint="eastAsia" w:ascii="宋体" w:hAnsi="宋体" w:eastAsia="宋体" w:cs="宋体"/>
                <w:bCs/>
                <w:sz w:val="24"/>
                <w:szCs w:val="24"/>
              </w:rPr>
              <w:t>▲</w:t>
            </w:r>
            <w:r>
              <w:rPr>
                <w:rFonts w:hint="eastAsia" w:ascii="宋体" w:hAnsi="宋体" w:eastAsia="宋体" w:cs="宋体"/>
                <w:spacing w:val="2"/>
                <w:sz w:val="24"/>
                <w:szCs w:val="24"/>
              </w:rPr>
              <w:t>入组提醒：系统可根据患者临床诊疗信息（住院时间、诊断、手术记录的手术名称、患者基本信息）实时并自动筛选符合上报的患者，并在临床给出确认入组或忽略提醒。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bCs/>
                <w:sz w:val="24"/>
                <w:szCs w:val="24"/>
              </w:rPr>
            </w:pPr>
          </w:p>
        </w:tc>
        <w:tc>
          <w:tcPr>
            <w:tcW w:w="1547" w:type="dxa"/>
            <w:vMerge w:val="continue"/>
            <w:noWrap w:val="0"/>
            <w:vAlign w:val="center"/>
          </w:tcPr>
          <w:p>
            <w:pPr>
              <w:spacing w:line="400" w:lineRule="exact"/>
              <w:rPr>
                <w:rFonts w:hint="eastAsia" w:ascii="宋体" w:hAnsi="宋体" w:eastAsia="宋体" w:cs="宋体"/>
                <w:bCs/>
                <w:sz w:val="24"/>
                <w:szCs w:val="24"/>
              </w:rPr>
            </w:pPr>
          </w:p>
        </w:tc>
        <w:tc>
          <w:tcPr>
            <w:tcW w:w="6712" w:type="dxa"/>
            <w:noWrap w:val="0"/>
            <w:vAlign w:val="center"/>
          </w:tcPr>
          <w:p>
            <w:pPr>
              <w:autoSpaceDE w:val="0"/>
              <w:autoSpaceDN w:val="0"/>
              <w:adjustRightInd w:val="0"/>
              <w:spacing w:line="400" w:lineRule="exact"/>
              <w:jc w:val="left"/>
              <w:rPr>
                <w:rFonts w:hint="eastAsia" w:ascii="宋体" w:hAnsi="宋体" w:eastAsia="宋体" w:cs="宋体"/>
                <w:spacing w:val="2"/>
                <w:sz w:val="24"/>
                <w:szCs w:val="24"/>
              </w:rPr>
            </w:pPr>
            <w:r>
              <w:rPr>
                <w:rFonts w:hint="eastAsia" w:ascii="宋体" w:hAnsi="宋体" w:eastAsia="宋体" w:cs="宋体"/>
                <w:bCs/>
                <w:sz w:val="24"/>
                <w:szCs w:val="24"/>
              </w:rPr>
              <w:t>▲</w:t>
            </w:r>
            <w:r>
              <w:rPr>
                <w:rFonts w:hint="eastAsia" w:ascii="宋体" w:hAnsi="宋体" w:eastAsia="宋体" w:cs="宋体"/>
                <w:spacing w:val="2"/>
                <w:sz w:val="24"/>
                <w:szCs w:val="24"/>
              </w:rPr>
              <w:t>出组提醒：系统可根据患者临床诊疗信息（诊断、手术、患者基本信息）对已入组病种填报的患者满足排除条件时，在临床实时并自动提醒病种上报出组。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bCs/>
                <w:sz w:val="24"/>
                <w:szCs w:val="24"/>
              </w:rPr>
            </w:pPr>
          </w:p>
        </w:tc>
        <w:tc>
          <w:tcPr>
            <w:tcW w:w="1547" w:type="dxa"/>
            <w:noWrap w:val="0"/>
            <w:vAlign w:val="center"/>
          </w:tcPr>
          <w:p>
            <w:pPr>
              <w:pStyle w:val="2"/>
              <w:rPr>
                <w:rFonts w:hint="eastAsia" w:ascii="宋体" w:hAnsi="宋体" w:cs="宋体"/>
                <w:spacing w:val="2"/>
                <w:sz w:val="24"/>
                <w:szCs w:val="24"/>
                <w:lang w:eastAsia="zh-CN"/>
              </w:rPr>
            </w:pPr>
            <w:r>
              <w:rPr>
                <w:rFonts w:hint="eastAsia" w:ascii="宋体" w:hAnsi="宋体" w:cs="宋体"/>
                <w:spacing w:val="2"/>
                <w:sz w:val="24"/>
                <w:szCs w:val="24"/>
                <w:lang w:eastAsia="zh-CN"/>
              </w:rPr>
              <w:t>事中填报</w:t>
            </w:r>
          </w:p>
        </w:tc>
        <w:tc>
          <w:tcPr>
            <w:tcW w:w="6712" w:type="dxa"/>
            <w:noWrap w:val="0"/>
            <w:vAlign w:val="center"/>
          </w:tcPr>
          <w:p>
            <w:pPr>
              <w:pStyle w:val="2"/>
              <w:rPr>
                <w:rFonts w:hint="eastAsia" w:ascii="宋体" w:hAnsi="宋体" w:cs="宋体"/>
                <w:spacing w:val="2"/>
                <w:sz w:val="24"/>
                <w:szCs w:val="24"/>
                <w:lang w:eastAsia="zh-CN"/>
              </w:rPr>
            </w:pPr>
            <w:r>
              <w:rPr>
                <w:rFonts w:hint="eastAsia" w:ascii="宋体" w:hAnsi="宋体" w:cs="宋体"/>
                <w:spacing w:val="2"/>
                <w:sz w:val="24"/>
                <w:szCs w:val="24"/>
                <w:lang w:eastAsia="zh-CN"/>
              </w:rPr>
              <w:t>支持临床诊疗过程中对病种入组患者进行上报内容填报。</w:t>
            </w:r>
          </w:p>
          <w:p>
            <w:pPr>
              <w:pStyle w:val="2"/>
              <w:rPr>
                <w:rFonts w:hint="eastAsia" w:ascii="宋体" w:hAnsi="宋体" w:cs="宋体"/>
                <w:spacing w:val="2"/>
                <w:sz w:val="24"/>
                <w:szCs w:val="24"/>
                <w:lang w:eastAsia="zh-CN"/>
              </w:rPr>
            </w:pPr>
            <w:r>
              <w:rPr>
                <w:rFonts w:hint="eastAsia" w:ascii="宋体" w:hAnsi="宋体" w:cs="宋体"/>
                <w:spacing w:val="2"/>
                <w:sz w:val="24"/>
                <w:szCs w:val="24"/>
                <w:lang w:eastAsia="zh-CN"/>
              </w:rPr>
              <w:t>支持填报中的各类评分表回写电子病历。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bCs/>
                <w:sz w:val="24"/>
                <w:szCs w:val="24"/>
              </w:rPr>
            </w:pPr>
          </w:p>
        </w:tc>
        <w:tc>
          <w:tcPr>
            <w:tcW w:w="1547" w:type="dxa"/>
            <w:noWrap w:val="0"/>
            <w:vAlign w:val="center"/>
          </w:tcPr>
          <w:p>
            <w:pPr>
              <w:spacing w:line="400" w:lineRule="exact"/>
              <w:rPr>
                <w:rFonts w:hint="eastAsia" w:ascii="宋体" w:hAnsi="宋体" w:eastAsia="宋体" w:cs="宋体"/>
                <w:bCs/>
                <w:sz w:val="24"/>
                <w:szCs w:val="24"/>
              </w:rPr>
            </w:pPr>
            <w:r>
              <w:rPr>
                <w:rFonts w:hint="eastAsia" w:ascii="宋体" w:hAnsi="宋体" w:eastAsia="宋体" w:cs="宋体"/>
                <w:bCs/>
                <w:sz w:val="24"/>
                <w:szCs w:val="24"/>
              </w:rPr>
              <w:t>填报进度</w:t>
            </w:r>
          </w:p>
        </w:tc>
        <w:tc>
          <w:tcPr>
            <w:tcW w:w="6712" w:type="dxa"/>
            <w:noWrap w:val="0"/>
            <w:vAlign w:val="center"/>
          </w:tcPr>
          <w:p>
            <w:pPr>
              <w:autoSpaceDE w:val="0"/>
              <w:autoSpaceDN w:val="0"/>
              <w:adjustRightInd w:val="0"/>
              <w:spacing w:line="400" w:lineRule="exact"/>
              <w:jc w:val="left"/>
              <w:rPr>
                <w:rFonts w:hint="eastAsia" w:ascii="宋体" w:hAnsi="宋体" w:eastAsia="宋体" w:cs="宋体"/>
                <w:spacing w:val="2"/>
                <w:sz w:val="24"/>
                <w:szCs w:val="24"/>
              </w:rPr>
            </w:pPr>
            <w:r>
              <w:rPr>
                <w:rFonts w:hint="eastAsia" w:ascii="宋体" w:hAnsi="宋体" w:eastAsia="宋体" w:cs="宋体"/>
                <w:spacing w:val="2"/>
                <w:sz w:val="24"/>
                <w:szCs w:val="24"/>
              </w:rPr>
              <w:t>系统可根据病种填报内容汇总填报进度。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restart"/>
            <w:noWrap w:val="0"/>
            <w:vAlign w:val="center"/>
          </w:tcPr>
          <w:p>
            <w:pPr>
              <w:pStyle w:val="14"/>
              <w:kinsoku w:val="0"/>
              <w:overflowPunct w:val="0"/>
              <w:spacing w:line="400" w:lineRule="exact"/>
              <w:jc w:val="center"/>
              <w:rPr>
                <w:rFonts w:hint="eastAsia" w:ascii="宋体" w:hAnsi="宋体" w:eastAsia="宋体" w:cs="宋体"/>
                <w:sz w:val="24"/>
                <w:szCs w:val="24"/>
              </w:rPr>
            </w:pPr>
            <w:r>
              <w:rPr>
                <w:rFonts w:hint="eastAsia" w:ascii="宋体" w:hAnsi="宋体" w:eastAsia="宋体" w:cs="宋体"/>
                <w:kern w:val="0"/>
                <w:sz w:val="24"/>
                <w:szCs w:val="24"/>
              </w:rPr>
              <w:t>单病种过程质控管理（覆盖51个病种）</w:t>
            </w:r>
          </w:p>
        </w:tc>
        <w:tc>
          <w:tcPr>
            <w:tcW w:w="1547" w:type="dxa"/>
            <w:vMerge w:val="restart"/>
            <w:noWrap w:val="0"/>
            <w:vAlign w:val="center"/>
          </w:tcPr>
          <w:p>
            <w:pPr>
              <w:spacing w:line="400" w:lineRule="exact"/>
              <w:rPr>
                <w:rFonts w:hint="eastAsia" w:ascii="宋体" w:hAnsi="宋体" w:eastAsia="宋体" w:cs="宋体"/>
                <w:bCs/>
                <w:kern w:val="2"/>
                <w:sz w:val="24"/>
                <w:szCs w:val="24"/>
                <w:lang w:val="en-US" w:eastAsia="zh-CN" w:bidi="ar-SA"/>
              </w:rPr>
            </w:pPr>
            <w:r>
              <w:rPr>
                <w:rFonts w:hint="eastAsia" w:ascii="宋体" w:hAnsi="宋体" w:eastAsia="宋体" w:cs="宋体"/>
                <w:kern w:val="0"/>
                <w:sz w:val="24"/>
                <w:szCs w:val="24"/>
                <w:lang w:val="en-US" w:eastAsia="zh-CN"/>
              </w:rPr>
              <w:t>1</w:t>
            </w:r>
            <w:r>
              <w:rPr>
                <w:rFonts w:hint="eastAsia" w:ascii="宋体" w:hAnsi="宋体" w:eastAsia="宋体" w:cs="宋体"/>
                <w:kern w:val="0"/>
                <w:sz w:val="24"/>
                <w:szCs w:val="24"/>
              </w:rPr>
              <w:t>急性心肌梗死（ST 段抬高型，首次住院）（STEMI）</w:t>
            </w:r>
            <w:r>
              <w:rPr>
                <w:rFonts w:hint="eastAsia" w:ascii="宋体" w:hAnsi="宋体" w:eastAsia="宋体" w:cs="宋体"/>
                <w:bCs/>
                <w:sz w:val="24"/>
                <w:szCs w:val="24"/>
              </w:rPr>
              <w:t>事中填报</w:t>
            </w:r>
          </w:p>
          <w:p>
            <w:pPr>
              <w:spacing w:line="400" w:lineRule="exact"/>
              <w:rPr>
                <w:rFonts w:hint="eastAsia" w:ascii="宋体" w:hAnsi="宋体" w:eastAsia="宋体" w:cs="宋体"/>
                <w:sz w:val="24"/>
                <w:szCs w:val="24"/>
              </w:rPr>
            </w:pPr>
            <w:r>
              <w:rPr>
                <w:rFonts w:hint="eastAsia" w:ascii="宋体" w:hAnsi="宋体" w:eastAsia="宋体" w:cs="宋体"/>
                <w:bCs/>
                <w:sz w:val="24"/>
                <w:szCs w:val="24"/>
              </w:rPr>
              <w:t>填报进度</w:t>
            </w:r>
          </w:p>
        </w:tc>
        <w:tc>
          <w:tcPr>
            <w:tcW w:w="6712" w:type="dxa"/>
            <w:noWrap w:val="0"/>
            <w:vAlign w:val="center"/>
          </w:tcPr>
          <w:p>
            <w:pPr>
              <w:autoSpaceDE w:val="0"/>
              <w:autoSpaceDN w:val="0"/>
              <w:adjustRightInd w:val="0"/>
              <w:spacing w:line="400" w:lineRule="exact"/>
              <w:jc w:val="left"/>
              <w:rPr>
                <w:rFonts w:hint="eastAsia" w:ascii="宋体" w:hAnsi="宋体" w:eastAsia="宋体" w:cs="宋体"/>
                <w:spacing w:val="2"/>
                <w:kern w:val="2"/>
                <w:sz w:val="24"/>
                <w:szCs w:val="24"/>
                <w:lang w:val="en-US" w:eastAsia="zh-CN" w:bidi="ar-SA"/>
              </w:rPr>
            </w:pPr>
            <w:r>
              <w:rPr>
                <w:rFonts w:hint="eastAsia" w:ascii="宋体" w:hAnsi="宋体" w:eastAsia="宋体" w:cs="宋体"/>
                <w:spacing w:val="2"/>
                <w:sz w:val="24"/>
                <w:szCs w:val="24"/>
              </w:rPr>
              <w:t>出组提醒：系统可根据患者临床诊疗信息（诊断、手术、患者基本信息）对已入组病种填报的患者满足排除条件时，在临床实时并自动提醒病种上报出组。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center"/>
          </w:tcPr>
          <w:p>
            <w:pPr>
              <w:autoSpaceDE w:val="0"/>
              <w:autoSpaceDN w:val="0"/>
              <w:adjustRightInd w:val="0"/>
              <w:spacing w:line="400" w:lineRule="exact"/>
              <w:jc w:val="left"/>
              <w:rPr>
                <w:rFonts w:hint="eastAsia" w:ascii="宋体" w:hAnsi="宋体" w:eastAsia="宋体" w:cs="宋体"/>
                <w:spacing w:val="2"/>
                <w:kern w:val="2"/>
                <w:sz w:val="24"/>
                <w:szCs w:val="24"/>
                <w:lang w:val="en-US" w:eastAsia="zh-CN" w:bidi="ar-SA"/>
              </w:rPr>
            </w:pPr>
            <w:r>
              <w:rPr>
                <w:rFonts w:hint="eastAsia" w:ascii="宋体" w:hAnsi="宋体" w:eastAsia="宋体" w:cs="宋体"/>
                <w:spacing w:val="2"/>
                <w:sz w:val="24"/>
                <w:szCs w:val="24"/>
              </w:rPr>
              <w:t>支持临床诊疗过程中对病种入组患者进行上报内容填报。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bCs/>
                <w:kern w:val="2"/>
                <w:sz w:val="24"/>
                <w:szCs w:val="24"/>
                <w:lang w:val="en-US" w:eastAsia="zh-CN" w:bidi="ar-SA"/>
              </w:rPr>
            </w:pPr>
          </w:p>
        </w:tc>
        <w:tc>
          <w:tcPr>
            <w:tcW w:w="6712" w:type="dxa"/>
            <w:noWrap w:val="0"/>
            <w:vAlign w:val="center"/>
          </w:tcPr>
          <w:p>
            <w:pPr>
              <w:autoSpaceDE w:val="0"/>
              <w:autoSpaceDN w:val="0"/>
              <w:adjustRightInd w:val="0"/>
              <w:spacing w:line="400" w:lineRule="exact"/>
              <w:jc w:val="left"/>
              <w:rPr>
                <w:rFonts w:hint="eastAsia" w:ascii="宋体" w:hAnsi="宋体" w:eastAsia="宋体" w:cs="宋体"/>
                <w:spacing w:val="2"/>
                <w:kern w:val="2"/>
                <w:sz w:val="24"/>
                <w:szCs w:val="24"/>
                <w:lang w:val="en-US" w:eastAsia="zh-CN" w:bidi="ar-SA"/>
              </w:rPr>
            </w:pPr>
            <w:r>
              <w:rPr>
                <w:rFonts w:hint="eastAsia" w:ascii="宋体" w:hAnsi="宋体" w:eastAsia="宋体" w:cs="宋体"/>
                <w:spacing w:val="2"/>
                <w:sz w:val="24"/>
                <w:szCs w:val="24"/>
              </w:rPr>
              <w:t>系统可根据病种填报内容汇总填报进度。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spacing w:line="400" w:lineRule="exact"/>
              <w:rPr>
                <w:rFonts w:hint="eastAsia" w:ascii="宋体" w:hAnsi="宋体" w:eastAsia="宋体" w:cs="宋体"/>
                <w:sz w:val="24"/>
                <w:szCs w:val="24"/>
              </w:rPr>
            </w:pPr>
            <w:r>
              <w:rPr>
                <w:rFonts w:hint="eastAsia" w:ascii="宋体" w:hAnsi="宋体" w:eastAsia="宋体" w:cs="宋体"/>
                <w:kern w:val="0"/>
                <w:sz w:val="24"/>
                <w:szCs w:val="24"/>
              </w:rPr>
              <w:t>▲GRACE评分：STEMI患者入院后，系统应主动提醒医生根据患者诊断内容，推出入院时应用GRACE评分，快速预测早期死亡和缺血风险。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rPr>
              <w:t>常规抗血小板治疗：急性心肌梗死患者入院后，如果没有禁忌证，系统应主动提醒需无限期使用抗血小板治疗，阿司匹林每天剂量为75-162mg。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rPr>
              <w:t>他汀类药物治疗：STEMI患者入院后，系统应主动提醒医生根据患者诊断内容，推出无禁忌症的STEMI患者入院后应尽早开始他汀类药物治疗，且无需考虑胆固醇水平。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rPr>
              <w:t>负荷剂量抗血小板治疗：STEMI患者入院后，系统应提醒立即嚼服阿司匹林300mg，长期维持75-100mg/d治疗。禁忌应用阿司匹林者可用氯吡格雷替代。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rPr>
              <w:t>心肌损伤标志物检测：STEMI患者入院后，系统应主动提醒即刻、2-4小时、6-9小时、12-24小时测定血清心脏标志物。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rPr>
              <w:t>▲在院ACEI/ARB治疗：无禁忌证同时有心力衰竭表现或射血分数&lt;=40%的STEMI患者，系统应提醒医生在患者发病后最初24小时内使用ACEI，不耐受ACEI者应用ARB治疗。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sz w:val="24"/>
                <w:szCs w:val="24"/>
              </w:rPr>
            </w:pPr>
            <w:r>
              <w:rPr>
                <w:rFonts w:hint="eastAsia" w:ascii="宋体" w:hAnsi="宋体" w:eastAsia="宋体" w:cs="宋体"/>
                <w:kern w:val="0"/>
                <w:sz w:val="24"/>
                <w:szCs w:val="24"/>
                <w:lang w:val="en-US" w:eastAsia="zh-CN"/>
              </w:rPr>
              <w:t>2</w:t>
            </w:r>
            <w:r>
              <w:rPr>
                <w:rFonts w:hint="eastAsia" w:ascii="宋体" w:hAnsi="宋体" w:eastAsia="宋体" w:cs="宋体"/>
                <w:kern w:val="0"/>
                <w:sz w:val="24"/>
                <w:szCs w:val="24"/>
              </w:rPr>
              <w:t>心力衰竭（HF)</w:t>
            </w:r>
          </w:p>
        </w:tc>
        <w:tc>
          <w:tcPr>
            <w:tcW w:w="6712" w:type="dxa"/>
            <w:noWrap w:val="0"/>
            <w:vAlign w:val="top"/>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rPr>
              <w:t>▲NYHA心功能分级和心脏多普勒超声检查：心力衰竭患者入院后，系统应主动提醒医生进行一次心功能评价、进行心脏多普勒超声检查。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rPr>
              <w:t>心力衰竭6min步行试验：所有心力衰竭患者入院后，系统应主动提醒进行二维和多普勒超声心动图检查，评价心脏大小、室壁厚度、LVEF和瓣膜功能。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rPr>
              <w:t>利尿剂治疗：对于有液体潴留证据的所有心力衰竭患者，系统应主动提醒给予利尿剂治疗。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rPr>
              <w:t>ACEI/ARB治疗：射血分数降低（&lt;40%）的心衰患者，若无禁忌症或不能耐受情况下，系统应向医生推荐使用ACEI/ARB。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rPr>
              <w:t>ß受体阻滞剂治疗：病情相对稳定的射血分数降低的心衰患者，若无禁忌症或不能耐受情况下，系统应向医生推荐使用ß受体阻滞剂。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rPr>
              <w:t>▲醛固酮受体拮抗剂治疗：重度心力衰竭患者，系统应向医生推荐应用醛固酮受体拮抗剂治疗。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rPr>
              <w:t>出院带药：在患者出院时，系统应提醒医生对患者继续使用ACEI/ARB、β受体阻滞剂和醛固酮拮抗剂、利尿剂、钾剂。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sz w:val="24"/>
                <w:szCs w:val="24"/>
              </w:rPr>
            </w:pPr>
            <w:r>
              <w:rPr>
                <w:rFonts w:hint="eastAsia" w:ascii="宋体" w:hAnsi="宋体" w:eastAsia="宋体" w:cs="宋体"/>
                <w:kern w:val="0"/>
                <w:sz w:val="24"/>
                <w:szCs w:val="24"/>
                <w:lang w:val="en-US" w:eastAsia="zh-CN"/>
              </w:rPr>
              <w:t>3</w:t>
            </w:r>
            <w:r>
              <w:rPr>
                <w:rFonts w:hint="eastAsia" w:ascii="宋体" w:hAnsi="宋体" w:eastAsia="宋体" w:cs="宋体"/>
                <w:kern w:val="0"/>
                <w:sz w:val="24"/>
                <w:szCs w:val="24"/>
              </w:rPr>
              <w:t>冠状动脉旁路移植术（CABG）</w:t>
            </w:r>
          </w:p>
        </w:tc>
        <w:tc>
          <w:tcPr>
            <w:tcW w:w="6712" w:type="dxa"/>
            <w:noWrap w:val="0"/>
            <w:vAlign w:val="top"/>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rPr>
              <w:t>术前24小时停用低分子肝素：全部拟行CABG的成人患者，系统应提醒医生在患者术前24小时内停用低分子肝素。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rPr>
              <w:t>术前抗凝桥接治疗：全部拟行CABG的成人患者，术前停用抗血小板药物期间，系统应支持术前抗凝桥接，主动提醒医生应用低分子肝素或普通肝素替代治疗。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rPr>
              <w:t>▲术前营养评估：CABG术前需要进行患者营养评估，系统应主动提醒医生制定合理的围手术期诊疗方案。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rPr>
              <w:t>手术风险评估：CABG术前需要进行手术风险评估，系统应主动提醒医生制定合理的手术决策。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rPr>
              <w:t>预防性抗菌药物：CABG患者术前，系统应主动提醒使用预防性抗菌药物，遵循I类切口手术预防性抗菌药物应用原则，首选使用第一、第二代头孢菌素作为预防性抗菌药物。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rPr>
              <w:t>术前停用抗血小板药物：CABG术前开具复方阿司匹林片医嘱后，系统应主动提醒术前需停用抗血小板药物5-7天，期间LWMH/肝素替代治疗。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rPr>
              <w:t>术后β受体阻滞剂治疗：CABG术后患者若无禁忌证，系统应主动提醒医生尽早恢复β受体阻滞剂治疗。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pStyle w:val="14"/>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术前准备：</w:t>
            </w:r>
          </w:p>
          <w:p>
            <w:pPr>
              <w:pStyle w:val="14"/>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1）在患者术前，根据患者诊断、病史、手术、及手术申请中涉及到的相关手术方案，结合临床路径、指南和专家共识的要求，自动生成患者个性化术前清单。术前核查清单至少含：术前评估、术前用药、术前检验、术前检查，显示术前需执行的各项诊疗项目。</w:t>
            </w:r>
          </w:p>
          <w:p>
            <w:pPr>
              <w:pStyle w:val="14"/>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（2）根据患者已完成的检验/检查报告、医嘱、评估情况，自动更新清单的完成情况，并实时提示医生术前准备的完成情况，避免遗漏。</w:t>
            </w:r>
          </w:p>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rPr>
              <w:t>（3）清单中用药部分，包含术前用药、术前停药，同时包含用药的剂量、时间要求；停药的时间要求等，实时判断患者医嘱执行和停止情况是否满足术前准备要求，未满足者，实时提醒医生关注，有效减低术后并发症的发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pStyle w:val="14"/>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术后措施：</w:t>
            </w:r>
          </w:p>
          <w:p>
            <w:pPr>
              <w:pStyle w:val="14"/>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（1）在患者术后，根据患者诊断、病史、手术、及手术记录中涉及到的术中情况，结合临床路径、指南和专家共识的要求，自动生成患者个性化术后关键治疗、评估方案。</w:t>
            </w:r>
          </w:p>
          <w:p>
            <w:pPr>
              <w:pStyle w:val="14"/>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（2）根据患者已完成的检验/检查报告、医嘱、评估情况，自动更新术后治疗措施的完成情况，若患者存在未完成，或未按要求完成相关治疗措施时，实时提醒医生关注，有效防止术后治疗措施遗漏。</w:t>
            </w:r>
          </w:p>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rPr>
              <w:t>（3）根据患者术后症状、查体、检验/检查结果变化情况，自动更新患者术后治疗措施推荐结果，实时对患者术后的医嘱、评估情况进行质控提醒。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sz w:val="24"/>
                <w:szCs w:val="24"/>
              </w:rPr>
            </w:pPr>
            <w:r>
              <w:rPr>
                <w:rFonts w:hint="eastAsia" w:ascii="宋体" w:hAnsi="宋体" w:eastAsia="宋体" w:cs="宋体"/>
                <w:kern w:val="0"/>
                <w:sz w:val="24"/>
                <w:szCs w:val="24"/>
                <w:lang w:val="en-US" w:eastAsia="zh-CN"/>
              </w:rPr>
              <w:t>4</w:t>
            </w:r>
            <w:r>
              <w:rPr>
                <w:rFonts w:hint="eastAsia" w:ascii="宋体" w:hAnsi="宋体" w:eastAsia="宋体" w:cs="宋体"/>
                <w:kern w:val="0"/>
                <w:sz w:val="24"/>
                <w:szCs w:val="24"/>
              </w:rPr>
              <w:t>房颤（AF）</w:t>
            </w:r>
          </w:p>
        </w:tc>
        <w:tc>
          <w:tcPr>
            <w:tcW w:w="6712" w:type="dxa"/>
            <w:noWrap w:val="0"/>
            <w:vAlign w:val="top"/>
          </w:tcPr>
          <w:p>
            <w:pPr>
              <w:spacing w:line="400" w:lineRule="exact"/>
              <w:rPr>
                <w:rFonts w:hint="eastAsia" w:ascii="宋体" w:hAnsi="宋体" w:eastAsia="宋体" w:cs="宋体"/>
                <w:kern w:val="0"/>
                <w:sz w:val="24"/>
                <w:szCs w:val="24"/>
              </w:rPr>
            </w:pPr>
            <w:r>
              <w:rPr>
                <w:rFonts w:hint="eastAsia" w:ascii="宋体" w:hAnsi="宋体" w:eastAsia="宋体" w:cs="宋体"/>
                <w:sz w:val="24"/>
                <w:szCs w:val="24"/>
              </w:rPr>
              <w:t>房颤诊断提醒：系统应能够准确识别医生书写的诊断，包括格式化诊断、文书中诊断。系统能够通过自动识别典型的查体内容（心律绝对不齐）或检查结果（ECG、holter、超声心动图）或结合患者既往史、病例特点等记录，主动提醒医生进行房颤的诊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spacing w:line="400" w:lineRule="exact"/>
              <w:rPr>
                <w:rFonts w:hint="eastAsia" w:ascii="宋体" w:hAnsi="宋体" w:eastAsia="宋体" w:cs="宋体"/>
                <w:kern w:val="0"/>
                <w:sz w:val="24"/>
                <w:szCs w:val="24"/>
              </w:rPr>
            </w:pPr>
            <w:r>
              <w:rPr>
                <w:rFonts w:hint="eastAsia" w:ascii="宋体" w:hAnsi="宋体" w:eastAsia="宋体" w:cs="宋体"/>
                <w:sz w:val="24"/>
                <w:szCs w:val="24"/>
              </w:rPr>
              <w:t>检查/检验质控提醒：系统能够根据患者诊断情况，结合体格检查、年龄、检查结果等，主动提醒医生完善常规检验/经胸超声心动图等质控。完成检查/检验验证后，质控提醒消失。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spacing w:line="400" w:lineRule="exact"/>
              <w:rPr>
                <w:rFonts w:hint="eastAsia" w:ascii="宋体" w:hAnsi="宋体" w:eastAsia="宋体" w:cs="宋体"/>
                <w:kern w:val="0"/>
                <w:sz w:val="24"/>
                <w:szCs w:val="24"/>
              </w:rPr>
            </w:pPr>
            <w:r>
              <w:rPr>
                <w:rFonts w:hint="eastAsia" w:ascii="宋体" w:hAnsi="宋体" w:eastAsia="宋体" w:cs="宋体"/>
                <w:sz w:val="24"/>
                <w:szCs w:val="24"/>
              </w:rPr>
              <w:t>TEE检查：复律存在血栓栓塞风险，系统应在复律前主动提醒医生医生确认患者心房内是否有血栓。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spacing w:line="400" w:lineRule="exact"/>
              <w:rPr>
                <w:rFonts w:hint="eastAsia" w:ascii="宋体" w:hAnsi="宋体" w:eastAsia="宋体" w:cs="宋体"/>
                <w:kern w:val="0"/>
                <w:sz w:val="24"/>
                <w:szCs w:val="24"/>
              </w:rPr>
            </w:pPr>
            <w:r>
              <w:rPr>
                <w:rFonts w:hint="eastAsia" w:ascii="宋体" w:hAnsi="宋体" w:eastAsia="宋体" w:cs="宋体"/>
                <w:sz w:val="24"/>
                <w:szCs w:val="24"/>
              </w:rPr>
              <w:t>复律前后抗凝：复律存在血栓栓塞风险，系统应在复律前主动提醒医生依据房颤持续时间采用恰当的抗凝，复律后需至少4周抗凝治疗。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spacing w:line="400" w:lineRule="exact"/>
              <w:rPr>
                <w:rFonts w:hint="eastAsia" w:ascii="宋体" w:hAnsi="宋体" w:eastAsia="宋体" w:cs="宋体"/>
                <w:sz w:val="24"/>
                <w:szCs w:val="24"/>
              </w:rPr>
            </w:pPr>
            <w:r>
              <w:rPr>
                <w:rFonts w:hint="eastAsia" w:ascii="宋体" w:hAnsi="宋体" w:eastAsia="宋体" w:cs="宋体"/>
                <w:sz w:val="24"/>
                <w:szCs w:val="24"/>
              </w:rPr>
              <w:t>房颤的分类：房颤患者出院时，系统应主动提醒医生应记录明确的房颤类型。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pStyle w:val="14"/>
              <w:kinsoku w:val="0"/>
              <w:overflowPunct w:val="0"/>
              <w:spacing w:line="400" w:lineRule="exact"/>
              <w:ind w:right="101"/>
              <w:rPr>
                <w:rFonts w:hint="eastAsia" w:ascii="宋体" w:hAnsi="宋体" w:eastAsia="宋体" w:cs="宋体"/>
                <w:sz w:val="24"/>
                <w:szCs w:val="24"/>
              </w:rPr>
            </w:pPr>
            <w:r>
              <w:rPr>
                <w:rFonts w:hint="eastAsia" w:ascii="宋体" w:hAnsi="宋体" w:eastAsia="宋体" w:cs="宋体"/>
                <w:kern w:val="0"/>
                <w:sz w:val="24"/>
                <w:szCs w:val="24"/>
              </w:rPr>
              <w:t>▲</w:t>
            </w:r>
            <w:r>
              <w:rPr>
                <w:rFonts w:hint="eastAsia" w:ascii="宋体" w:hAnsi="宋体" w:eastAsia="宋体" w:cs="宋体"/>
                <w:sz w:val="24"/>
                <w:szCs w:val="24"/>
              </w:rPr>
              <w:t>非瓣膜病性房颤血栓高风险抗凝治疗：</w:t>
            </w:r>
          </w:p>
          <w:p>
            <w:pPr>
              <w:spacing w:line="400" w:lineRule="exact"/>
              <w:rPr>
                <w:rFonts w:hint="eastAsia" w:ascii="宋体" w:hAnsi="宋体" w:eastAsia="宋体" w:cs="宋体"/>
                <w:sz w:val="24"/>
                <w:szCs w:val="24"/>
              </w:rPr>
            </w:pPr>
            <w:r>
              <w:rPr>
                <w:rFonts w:hint="eastAsia" w:ascii="宋体" w:hAnsi="宋体" w:eastAsia="宋体" w:cs="宋体"/>
                <w:sz w:val="24"/>
                <w:szCs w:val="24"/>
              </w:rPr>
              <w:t>针对CHA2DS2-VASc评分&gt;=2的男性房颤患者或CHA2DS2-VASc评分&gt;=3的女性房颤患者，系统应主动提醒医生对其进行长期抗凝治疗，非瓣膜病性房颤首选NOAC，也可选用华法林。不适合抗凝的患者，可考虑行左心耳封堵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pStyle w:val="14"/>
              <w:kinsoku w:val="0"/>
              <w:overflowPunct w:val="0"/>
              <w:spacing w:line="400" w:lineRule="exact"/>
              <w:ind w:right="101"/>
              <w:rPr>
                <w:rFonts w:hint="eastAsia" w:ascii="宋体" w:hAnsi="宋体" w:eastAsia="宋体" w:cs="宋体"/>
                <w:sz w:val="24"/>
                <w:szCs w:val="24"/>
              </w:rPr>
            </w:pPr>
            <w:r>
              <w:rPr>
                <w:rFonts w:hint="eastAsia" w:ascii="宋体" w:hAnsi="宋体" w:eastAsia="宋体" w:cs="宋体"/>
                <w:kern w:val="0"/>
                <w:sz w:val="24"/>
                <w:szCs w:val="24"/>
              </w:rPr>
              <w:t>▲</w:t>
            </w:r>
            <w:r>
              <w:rPr>
                <w:rFonts w:hint="eastAsia" w:ascii="宋体" w:hAnsi="宋体" w:eastAsia="宋体" w:cs="宋体"/>
                <w:sz w:val="24"/>
                <w:szCs w:val="24"/>
              </w:rPr>
              <w:t>瓣膜病性房颤血栓高风险抗凝治疗：</w:t>
            </w:r>
          </w:p>
          <w:p>
            <w:pPr>
              <w:spacing w:line="400" w:lineRule="exact"/>
              <w:rPr>
                <w:rFonts w:hint="eastAsia" w:ascii="宋体" w:hAnsi="宋体" w:eastAsia="宋体" w:cs="宋体"/>
                <w:sz w:val="24"/>
                <w:szCs w:val="24"/>
              </w:rPr>
            </w:pPr>
            <w:r>
              <w:rPr>
                <w:rFonts w:hint="eastAsia" w:ascii="宋体" w:hAnsi="宋体" w:eastAsia="宋体" w:cs="宋体"/>
                <w:sz w:val="24"/>
                <w:szCs w:val="24"/>
              </w:rPr>
              <w:t>针对中度以上二尖瓣狭窄及机械瓣置换术后的房颤患者，系统应主动提醒医生对其选用华法林进行抗凝，INR维持在2.0-3.0之间。不适合抗凝的患者，可考虑行左心耳封堵术。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pStyle w:val="14"/>
              <w:kinsoku w:val="0"/>
              <w:overflowPunct w:val="0"/>
              <w:spacing w:line="400" w:lineRule="exact"/>
              <w:jc w:val="left"/>
              <w:rPr>
                <w:rFonts w:hint="eastAsia" w:ascii="宋体" w:hAnsi="宋体" w:eastAsia="宋体" w:cs="宋体"/>
                <w:sz w:val="24"/>
                <w:szCs w:val="24"/>
              </w:rPr>
            </w:pPr>
            <w:r>
              <w:rPr>
                <w:rFonts w:hint="eastAsia" w:ascii="宋体" w:hAnsi="宋体" w:eastAsia="宋体" w:cs="宋体"/>
                <w:sz w:val="24"/>
                <w:szCs w:val="24"/>
              </w:rPr>
              <w:t>房颤抗凝出院带药：</w:t>
            </w:r>
          </w:p>
          <w:p>
            <w:pPr>
              <w:pStyle w:val="14"/>
              <w:kinsoku w:val="0"/>
              <w:overflowPunct w:val="0"/>
              <w:spacing w:line="400" w:lineRule="exact"/>
              <w:jc w:val="left"/>
              <w:rPr>
                <w:rFonts w:hint="eastAsia" w:ascii="宋体" w:hAnsi="宋体" w:eastAsia="宋体" w:cs="宋体"/>
                <w:sz w:val="24"/>
                <w:szCs w:val="24"/>
              </w:rPr>
            </w:pPr>
            <w:r>
              <w:rPr>
                <w:rFonts w:hint="eastAsia" w:ascii="宋体" w:hAnsi="宋体" w:eastAsia="宋体" w:cs="宋体"/>
                <w:sz w:val="24"/>
                <w:szCs w:val="24"/>
              </w:rPr>
              <w:t>（1）针对CHA2DS2-VASc评分&gt;=3的女性房颤患者，系统应主动提醒医生对其进行长期抗凝治疗，房颤复律后仍需要至少4周的抗凝治疗。完成出院带药验证后，质控提醒自动消失。</w:t>
            </w:r>
          </w:p>
          <w:p>
            <w:pPr>
              <w:spacing w:line="400" w:lineRule="exact"/>
              <w:rPr>
                <w:rFonts w:hint="eastAsia" w:ascii="宋体" w:hAnsi="宋体" w:eastAsia="宋体" w:cs="宋体"/>
                <w:sz w:val="24"/>
                <w:szCs w:val="24"/>
              </w:rPr>
            </w:pPr>
            <w:r>
              <w:rPr>
                <w:rFonts w:hint="eastAsia" w:ascii="宋体" w:hAnsi="宋体" w:eastAsia="宋体" w:cs="宋体"/>
                <w:sz w:val="24"/>
                <w:szCs w:val="24"/>
              </w:rPr>
              <w:t>（2）针对CHA2DS2-VASc评分&gt;=2的男性房颤患者，系统应主动提醒医生对其进行长期抗凝治疗，房颤复律后仍需要至少4周的抗凝治疗。完成出院带药验证后，质控提醒自动消失。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sz w:val="24"/>
                <w:szCs w:val="24"/>
              </w:rPr>
            </w:pPr>
            <w:r>
              <w:rPr>
                <w:rFonts w:hint="eastAsia" w:ascii="宋体" w:hAnsi="宋体" w:eastAsia="宋体" w:cs="宋体"/>
                <w:sz w:val="24"/>
                <w:szCs w:val="24"/>
              </w:rPr>
              <w:t>入院/出院补充房颤诊断：若入院患者存在心房颤动，建议补充相应诊断；若出院患者存在心房颤动，出院诊断需要包含房颤诊断。系统应支持正常打开房颤指征来源，并给出来源依据内容及位置。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rPr>
              <w:t>主动脉瓣置换术（AVR）（手术治疗）</w:t>
            </w:r>
          </w:p>
        </w:tc>
        <w:tc>
          <w:tcPr>
            <w:tcW w:w="6712" w:type="dxa"/>
            <w:noWrap w:val="0"/>
            <w:vAlign w:val="top"/>
          </w:tcPr>
          <w:p>
            <w:pPr>
              <w:kinsoku w:val="0"/>
              <w:overflowPunct w:val="0"/>
              <w:spacing w:line="400" w:lineRule="exact"/>
              <w:jc w:val="left"/>
              <w:rPr>
                <w:rFonts w:hint="eastAsia" w:ascii="宋体" w:hAnsi="宋体" w:eastAsia="宋体" w:cs="宋体"/>
                <w:sz w:val="24"/>
                <w:szCs w:val="24"/>
              </w:rPr>
            </w:pPr>
            <w:r>
              <w:rPr>
                <w:rFonts w:hint="eastAsia" w:ascii="宋体" w:hAnsi="宋体" w:eastAsia="宋体" w:cs="宋体"/>
                <w:sz w:val="24"/>
                <w:szCs w:val="24"/>
              </w:rPr>
              <w:t>超声心动图：需进行主动脉瓣置换术患者，系统应主动提醒术前要完善超声心动图检查。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sz w:val="24"/>
                <w:szCs w:val="24"/>
              </w:rPr>
            </w:pPr>
            <w:r>
              <w:rPr>
                <w:rFonts w:hint="eastAsia" w:ascii="宋体" w:hAnsi="宋体" w:eastAsia="宋体" w:cs="宋体"/>
                <w:sz w:val="24"/>
                <w:szCs w:val="24"/>
              </w:rPr>
              <w:t>手术风险评估：需进行主动脉瓣置换术的患者手术前，系统应主动提醒需进行手术风险评估（EuroSCORE II 评分），制定合理的手术决策。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sz w:val="24"/>
                <w:szCs w:val="24"/>
              </w:rPr>
            </w:pPr>
            <w:r>
              <w:rPr>
                <w:rFonts w:hint="eastAsia" w:ascii="宋体" w:hAnsi="宋体" w:eastAsia="宋体" w:cs="宋体"/>
                <w:sz w:val="24"/>
                <w:szCs w:val="24"/>
              </w:rPr>
              <w:t>术前预防性抗菌药物的选择：需进行主动脉瓣置换术的患者手术前，系统应主动提醒遵循I类切口手术预防性抗菌药物应用原则，首选使用第一、第二代头孢菌素作为预防性抗菌药。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sz w:val="24"/>
                <w:szCs w:val="24"/>
              </w:rPr>
            </w:pPr>
            <w:r>
              <w:rPr>
                <w:rFonts w:hint="eastAsia" w:ascii="宋体" w:hAnsi="宋体" w:eastAsia="宋体" w:cs="宋体"/>
                <w:sz w:val="24"/>
                <w:szCs w:val="24"/>
              </w:rPr>
              <w:t>术后48小时内结束预防性抗生素治疗：需进行主动脉瓣置换术的患者手术后，系统应主动提醒若无感染表现，主动脉瓣置换术术后48小时内停止预防性抗生素的使用。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sz w:val="24"/>
                <w:szCs w:val="24"/>
              </w:rPr>
            </w:pPr>
            <w:r>
              <w:rPr>
                <w:rFonts w:hint="eastAsia" w:ascii="宋体" w:hAnsi="宋体" w:eastAsia="宋体" w:cs="宋体"/>
                <w:kern w:val="0"/>
                <w:sz w:val="24"/>
                <w:szCs w:val="24"/>
                <w:lang w:val="en-US" w:eastAsia="zh-CN"/>
              </w:rPr>
              <w:t>6</w:t>
            </w:r>
            <w:r>
              <w:rPr>
                <w:rFonts w:hint="eastAsia" w:ascii="宋体" w:hAnsi="宋体" w:eastAsia="宋体" w:cs="宋体"/>
                <w:kern w:val="0"/>
                <w:sz w:val="24"/>
                <w:szCs w:val="24"/>
              </w:rPr>
              <w:t>二尖瓣置换术（MVR）（手术治疗）</w:t>
            </w:r>
          </w:p>
        </w:tc>
        <w:tc>
          <w:tcPr>
            <w:tcW w:w="6712" w:type="dxa"/>
            <w:noWrap w:val="0"/>
            <w:vAlign w:val="top"/>
          </w:tcPr>
          <w:p>
            <w:pPr>
              <w:kinsoku w:val="0"/>
              <w:overflowPunct w:val="0"/>
              <w:spacing w:line="400" w:lineRule="exact"/>
              <w:jc w:val="left"/>
              <w:rPr>
                <w:rFonts w:hint="eastAsia" w:ascii="宋体" w:hAnsi="宋体" w:eastAsia="宋体" w:cs="宋体"/>
                <w:sz w:val="24"/>
                <w:szCs w:val="24"/>
              </w:rPr>
            </w:pPr>
            <w:r>
              <w:rPr>
                <w:rFonts w:hint="eastAsia" w:ascii="宋体" w:hAnsi="宋体" w:eastAsia="宋体" w:cs="宋体"/>
                <w:sz w:val="24"/>
                <w:szCs w:val="24"/>
              </w:rPr>
              <w:t>超声心动图：需进行主动脉瓣置换术患者，术前要完善超声心动图检查。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sz w:val="24"/>
                <w:szCs w:val="24"/>
              </w:rPr>
            </w:pPr>
            <w:r>
              <w:rPr>
                <w:rFonts w:hint="eastAsia" w:ascii="宋体" w:hAnsi="宋体" w:eastAsia="宋体" w:cs="宋体"/>
                <w:kern w:val="0"/>
                <w:sz w:val="24"/>
                <w:szCs w:val="24"/>
              </w:rPr>
              <w:t>手术风险评估：需进行二尖瓣置换术的患者手术前，系统应主动提醒心脏瓣膜置换术术前需进行手术风险评估，制定合理的手术决策。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sz w:val="24"/>
                <w:szCs w:val="24"/>
              </w:rPr>
            </w:pPr>
            <w:r>
              <w:rPr>
                <w:rFonts w:hint="eastAsia" w:ascii="宋体" w:hAnsi="宋体" w:eastAsia="宋体" w:cs="宋体"/>
                <w:kern w:val="0"/>
                <w:sz w:val="24"/>
                <w:szCs w:val="24"/>
              </w:rPr>
              <w:t>术前预防性抗菌药物的选：需进行二尖瓣置换术的患者在手术前，系统应主动提醒遵循I类切口手术预防性抗菌药物应用原则，首选使用第一、第二代头孢菌素作为预防性抗菌药。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sz w:val="24"/>
                <w:szCs w:val="24"/>
              </w:rPr>
            </w:pPr>
            <w:r>
              <w:rPr>
                <w:rFonts w:hint="eastAsia" w:ascii="宋体" w:hAnsi="宋体" w:eastAsia="宋体" w:cs="宋体"/>
                <w:kern w:val="0"/>
                <w:sz w:val="24"/>
                <w:szCs w:val="24"/>
              </w:rPr>
              <w:t>术后48小时内结束预防性抗生素治疗：二尖瓣置换术的患者在手术后，若无感染表现，系统应主动提醒术后48小时内停止预防性抗生素的使用。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sz w:val="24"/>
                <w:szCs w:val="24"/>
              </w:rPr>
            </w:pPr>
            <w:r>
              <w:rPr>
                <w:rFonts w:hint="eastAsia" w:ascii="宋体" w:hAnsi="宋体" w:eastAsia="宋体" w:cs="宋体"/>
                <w:kern w:val="0"/>
                <w:sz w:val="24"/>
                <w:szCs w:val="24"/>
              </w:rPr>
              <w:t>心脏瓣膜置换术后华法林的药效监测：二尖瓣置换术的患者在使用华法林后3天，系统应主动提醒住院患者口服华法林2～3d后开始每日或隔日监测INR。</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sz w:val="24"/>
                <w:szCs w:val="24"/>
              </w:rPr>
            </w:pPr>
            <w:r>
              <w:rPr>
                <w:rFonts w:hint="eastAsia" w:ascii="宋体" w:hAnsi="宋体" w:eastAsia="宋体" w:cs="宋体"/>
                <w:kern w:val="0"/>
                <w:sz w:val="24"/>
                <w:szCs w:val="24"/>
              </w:rPr>
              <w:t>心脏瓣膜置换术后抗栓药物出院带药：患者在心脏瓣膜置换术后，系统应主动提醒需应用华法林和/或抗血小板药物，不建议应用直接口服抗凝药作为抗凝治疗。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sz w:val="24"/>
                <w:szCs w:val="24"/>
              </w:rPr>
            </w:pPr>
            <w:r>
              <w:rPr>
                <w:rFonts w:hint="eastAsia" w:ascii="宋体" w:hAnsi="宋体" w:eastAsia="宋体" w:cs="宋体"/>
                <w:kern w:val="0"/>
                <w:sz w:val="24"/>
                <w:szCs w:val="24"/>
                <w:lang w:val="en-US" w:eastAsia="zh-CN"/>
              </w:rPr>
              <w:t>7</w:t>
            </w:r>
            <w:r>
              <w:rPr>
                <w:rFonts w:hint="eastAsia" w:ascii="宋体" w:hAnsi="宋体" w:eastAsia="宋体" w:cs="宋体"/>
                <w:kern w:val="0"/>
                <w:sz w:val="24"/>
                <w:szCs w:val="24"/>
              </w:rPr>
              <w:t>房间隔缺损手术（ASD）（手术治疗）</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超声心动图：准备进行房间隔缺损手术的患者，</w:t>
            </w:r>
            <w:r>
              <w:rPr>
                <w:rFonts w:hint="eastAsia" w:ascii="宋体" w:hAnsi="宋体" w:eastAsia="宋体" w:cs="宋体"/>
                <w:sz w:val="24"/>
                <w:szCs w:val="24"/>
              </w:rPr>
              <w:t>系统应主动提醒</w:t>
            </w:r>
            <w:r>
              <w:rPr>
                <w:rFonts w:hint="eastAsia" w:ascii="宋体" w:hAnsi="宋体" w:eastAsia="宋体" w:cs="宋体"/>
                <w:kern w:val="0"/>
                <w:sz w:val="24"/>
                <w:szCs w:val="24"/>
              </w:rPr>
              <w:t>术前需完善超声心动图检查。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手术风险评估：</w:t>
            </w:r>
            <w:r>
              <w:rPr>
                <w:rFonts w:hint="eastAsia" w:ascii="宋体" w:hAnsi="宋体" w:eastAsia="宋体" w:cs="宋体"/>
                <w:sz w:val="24"/>
                <w:szCs w:val="24"/>
              </w:rPr>
              <w:t>需进行</w:t>
            </w:r>
            <w:r>
              <w:rPr>
                <w:rFonts w:hint="eastAsia" w:ascii="宋体" w:hAnsi="宋体" w:eastAsia="宋体" w:cs="宋体"/>
                <w:kern w:val="0"/>
                <w:sz w:val="24"/>
                <w:szCs w:val="24"/>
              </w:rPr>
              <w:t>房间隔缺损手术</w:t>
            </w:r>
            <w:r>
              <w:rPr>
                <w:rFonts w:hint="eastAsia" w:ascii="宋体" w:hAnsi="宋体" w:eastAsia="宋体" w:cs="宋体"/>
                <w:sz w:val="24"/>
                <w:szCs w:val="24"/>
              </w:rPr>
              <w:t>的患者手术前，系统应主动提醒</w:t>
            </w:r>
            <w:r>
              <w:rPr>
                <w:rFonts w:hint="eastAsia" w:ascii="宋体" w:hAnsi="宋体" w:eastAsia="宋体" w:cs="宋体"/>
                <w:kern w:val="0"/>
                <w:sz w:val="24"/>
                <w:szCs w:val="24"/>
              </w:rPr>
              <w:t>术前需进行手术风险评估（EuroSCORE II 评分），制定合理的手术决策。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术前预防性抗菌药物的选择：</w:t>
            </w:r>
            <w:r>
              <w:rPr>
                <w:rFonts w:hint="eastAsia" w:ascii="宋体" w:hAnsi="宋体" w:eastAsia="宋体" w:cs="宋体"/>
                <w:sz w:val="24"/>
                <w:szCs w:val="24"/>
              </w:rPr>
              <w:t>需进行</w:t>
            </w:r>
            <w:r>
              <w:rPr>
                <w:rFonts w:hint="eastAsia" w:ascii="宋体" w:hAnsi="宋体" w:eastAsia="宋体" w:cs="宋体"/>
                <w:kern w:val="0"/>
                <w:sz w:val="24"/>
                <w:szCs w:val="24"/>
              </w:rPr>
              <w:t>房间隔缺损手术</w:t>
            </w:r>
            <w:r>
              <w:rPr>
                <w:rFonts w:hint="eastAsia" w:ascii="宋体" w:hAnsi="宋体" w:eastAsia="宋体" w:cs="宋体"/>
                <w:sz w:val="24"/>
                <w:szCs w:val="24"/>
              </w:rPr>
              <w:t>的患者手术前，系统应主动提醒</w:t>
            </w:r>
            <w:r>
              <w:rPr>
                <w:rFonts w:hint="eastAsia" w:ascii="宋体" w:hAnsi="宋体" w:eastAsia="宋体" w:cs="宋体"/>
                <w:kern w:val="0"/>
                <w:sz w:val="24"/>
                <w:szCs w:val="24"/>
              </w:rPr>
              <w:t>遵循I类切口手术预防性抗菌药物应用原则，首选使用第一、第二代头孢菌素作为预防性抗菌药。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术后48小时内结束预防性抗生素治疗：</w:t>
            </w:r>
            <w:r>
              <w:rPr>
                <w:rFonts w:hint="eastAsia" w:ascii="宋体" w:hAnsi="宋体" w:eastAsia="宋体" w:cs="宋体"/>
                <w:sz w:val="24"/>
                <w:szCs w:val="24"/>
              </w:rPr>
              <w:t>需进行</w:t>
            </w:r>
            <w:r>
              <w:rPr>
                <w:rFonts w:hint="eastAsia" w:ascii="宋体" w:hAnsi="宋体" w:eastAsia="宋体" w:cs="宋体"/>
                <w:kern w:val="0"/>
                <w:sz w:val="24"/>
                <w:szCs w:val="24"/>
              </w:rPr>
              <w:t>房间隔缺损手术</w:t>
            </w:r>
            <w:r>
              <w:rPr>
                <w:rFonts w:hint="eastAsia" w:ascii="宋体" w:hAnsi="宋体" w:eastAsia="宋体" w:cs="宋体"/>
                <w:sz w:val="24"/>
                <w:szCs w:val="24"/>
              </w:rPr>
              <w:t>的患者手术后，若无感染表现，系统应主动提醒术后48小时内停止预防性抗生素的使用。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sz w:val="24"/>
                <w:szCs w:val="24"/>
              </w:rPr>
            </w:pPr>
            <w:r>
              <w:rPr>
                <w:rFonts w:hint="eastAsia" w:ascii="宋体" w:hAnsi="宋体" w:eastAsia="宋体" w:cs="宋体"/>
                <w:kern w:val="0"/>
                <w:sz w:val="24"/>
                <w:szCs w:val="24"/>
                <w:lang w:val="en-US" w:eastAsia="zh-CN"/>
              </w:rPr>
              <w:t>8</w:t>
            </w:r>
            <w:r>
              <w:rPr>
                <w:rFonts w:hint="eastAsia" w:ascii="宋体" w:hAnsi="宋体" w:eastAsia="宋体" w:cs="宋体"/>
                <w:kern w:val="0"/>
                <w:sz w:val="24"/>
                <w:szCs w:val="24"/>
              </w:rPr>
              <w:t>室间隔缺损手术（VSD）（手术治疗）</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超声心动图：准备进行室间隔缺损手术的患者，</w:t>
            </w:r>
            <w:r>
              <w:rPr>
                <w:rFonts w:hint="eastAsia" w:ascii="宋体" w:hAnsi="宋体" w:eastAsia="宋体" w:cs="宋体"/>
                <w:sz w:val="24"/>
                <w:szCs w:val="24"/>
              </w:rPr>
              <w:t>系统应主动提醒</w:t>
            </w:r>
            <w:r>
              <w:rPr>
                <w:rFonts w:hint="eastAsia" w:ascii="宋体" w:hAnsi="宋体" w:eastAsia="宋体" w:cs="宋体"/>
                <w:kern w:val="0"/>
                <w:sz w:val="24"/>
                <w:szCs w:val="24"/>
              </w:rPr>
              <w:t>术前需完善超声心动图检查。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心导管检查：准备进行室间隔缺损手术的患者，</w:t>
            </w:r>
            <w:r>
              <w:rPr>
                <w:rFonts w:hint="eastAsia" w:ascii="宋体" w:hAnsi="宋体" w:eastAsia="宋体" w:cs="宋体"/>
                <w:sz w:val="24"/>
                <w:szCs w:val="24"/>
              </w:rPr>
              <w:t>系统应主动</w:t>
            </w:r>
            <w:r>
              <w:rPr>
                <w:rFonts w:hint="eastAsia" w:ascii="宋体" w:hAnsi="宋体" w:eastAsia="宋体" w:cs="宋体"/>
                <w:kern w:val="0"/>
                <w:sz w:val="24"/>
                <w:szCs w:val="24"/>
              </w:rPr>
              <w:t>推荐室间隔缺损术前完善心导管检查评估，明确肺循环血量、体循环血量等指标。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手术风险评估：</w:t>
            </w:r>
            <w:r>
              <w:rPr>
                <w:rFonts w:hint="eastAsia" w:ascii="宋体" w:hAnsi="宋体" w:eastAsia="宋体" w:cs="宋体"/>
                <w:sz w:val="24"/>
                <w:szCs w:val="24"/>
              </w:rPr>
              <w:t>需进行</w:t>
            </w:r>
            <w:r>
              <w:rPr>
                <w:rFonts w:hint="eastAsia" w:ascii="宋体" w:hAnsi="宋体" w:eastAsia="宋体" w:cs="宋体"/>
                <w:kern w:val="0"/>
                <w:sz w:val="24"/>
                <w:szCs w:val="24"/>
              </w:rPr>
              <w:t>室间隔缺损手术</w:t>
            </w:r>
            <w:r>
              <w:rPr>
                <w:rFonts w:hint="eastAsia" w:ascii="宋体" w:hAnsi="宋体" w:eastAsia="宋体" w:cs="宋体"/>
                <w:sz w:val="24"/>
                <w:szCs w:val="24"/>
              </w:rPr>
              <w:t>的患者手术前，系统应主动提醒</w:t>
            </w:r>
            <w:r>
              <w:rPr>
                <w:rFonts w:hint="eastAsia" w:ascii="宋体" w:hAnsi="宋体" w:eastAsia="宋体" w:cs="宋体"/>
                <w:kern w:val="0"/>
                <w:sz w:val="24"/>
                <w:szCs w:val="24"/>
              </w:rPr>
              <w:t>术前需进行手术风险评估（EuroSCORE II 评分），制定合理的手术决策。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术前预防性抗菌药物的选择：</w:t>
            </w:r>
            <w:r>
              <w:rPr>
                <w:rFonts w:hint="eastAsia" w:ascii="宋体" w:hAnsi="宋体" w:eastAsia="宋体" w:cs="宋体"/>
                <w:sz w:val="24"/>
                <w:szCs w:val="24"/>
              </w:rPr>
              <w:t>需进行</w:t>
            </w:r>
            <w:r>
              <w:rPr>
                <w:rFonts w:hint="eastAsia" w:ascii="宋体" w:hAnsi="宋体" w:eastAsia="宋体" w:cs="宋体"/>
                <w:kern w:val="0"/>
                <w:sz w:val="24"/>
                <w:szCs w:val="24"/>
              </w:rPr>
              <w:t>室间隔缺损手术</w:t>
            </w:r>
            <w:r>
              <w:rPr>
                <w:rFonts w:hint="eastAsia" w:ascii="宋体" w:hAnsi="宋体" w:eastAsia="宋体" w:cs="宋体"/>
                <w:sz w:val="24"/>
                <w:szCs w:val="24"/>
              </w:rPr>
              <w:t>的患者手术前，系统应主动提醒遵循I类切口手术预防性抗菌药物应用原则，首选使用第一、第二代头孢菌素作为预防性抗菌药。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术后48小时内结束预防性抗生素治疗：</w:t>
            </w:r>
            <w:r>
              <w:rPr>
                <w:rFonts w:hint="eastAsia" w:ascii="宋体" w:hAnsi="宋体" w:eastAsia="宋体" w:cs="宋体"/>
                <w:sz w:val="24"/>
                <w:szCs w:val="24"/>
              </w:rPr>
              <w:t>需进行</w:t>
            </w:r>
            <w:r>
              <w:rPr>
                <w:rFonts w:hint="eastAsia" w:ascii="宋体" w:hAnsi="宋体" w:eastAsia="宋体" w:cs="宋体"/>
                <w:kern w:val="0"/>
                <w:sz w:val="24"/>
                <w:szCs w:val="24"/>
              </w:rPr>
              <w:t>室间隔缺损手术</w:t>
            </w:r>
            <w:r>
              <w:rPr>
                <w:rFonts w:hint="eastAsia" w:ascii="宋体" w:hAnsi="宋体" w:eastAsia="宋体" w:cs="宋体"/>
                <w:sz w:val="24"/>
                <w:szCs w:val="24"/>
              </w:rPr>
              <w:t>的患者手术后，若无感染表现，系统应主动提醒术后48小时内停止预防性抗生素的使用。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sz w:val="24"/>
                <w:szCs w:val="24"/>
              </w:rPr>
            </w:pPr>
            <w:r>
              <w:rPr>
                <w:rFonts w:hint="eastAsia" w:ascii="宋体" w:hAnsi="宋体" w:eastAsia="宋体" w:cs="宋体"/>
                <w:kern w:val="0"/>
                <w:sz w:val="24"/>
                <w:szCs w:val="24"/>
                <w:lang w:val="en-US" w:eastAsia="zh-CN"/>
              </w:rPr>
              <w:t>9</w:t>
            </w:r>
            <w:r>
              <w:rPr>
                <w:rFonts w:hint="eastAsia" w:ascii="宋体" w:hAnsi="宋体" w:eastAsia="宋体" w:cs="宋体"/>
                <w:kern w:val="0"/>
                <w:sz w:val="24"/>
                <w:szCs w:val="24"/>
              </w:rPr>
              <w:t>脑梗死（首次住院）（STK）</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NIHSS评分：系统主动提醒医生为脑卒中患者在住院期间完成神经功能缺损NIHSS评估。至少在到院急诊时或入院时有NIHSS评估提醒。医生完成评估后不再提醒。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洼田饮水试验：所有脑卒中患者在给予饮食前，系统应主动提醒确定有无吞咽困难或误吸的危险，进行吞咽功能筛查。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抗静脉血栓治疗：入院48小时内不能自行行走（单下肢肌力小于3级）的脑梗死患者，系统应主动提醒给予深静脉血栓预防措施。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颅内血管评价：提醒医生为住院脑卒中患者应至少在1周内接受首次血管功能评价，对判断颅内外血管狭窄或闭塞、血管痉挛、侧支循环建立程度有帮助，指导诊疗活动。医生完成评估后不再提醒。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吞咽功能康复管理：合并吞咽障碍的患者，系统应主动提醒选择合适方法针对某个吞咽器官功能异常进行锻炼。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房颤患者抗凝治疗：提醒缺血性脑卒中患者如果伴有心房纤颤，发病3小时以内，无抗凝治疗禁忌证的急性期的患者应给予抗凝治疗（口服华法林等）。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24小时强化降脂治疗：脑梗死患者入院后，提醒医生在24小时内给予强化他汀类药物治疗(阿托伐他汀40mg/天或瑞舒伐他汀20mg/天)。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spacing w:val="2"/>
                <w:sz w:val="24"/>
                <w:szCs w:val="24"/>
              </w:rPr>
            </w:pPr>
            <w:r>
              <w:rPr>
                <w:rFonts w:hint="eastAsia" w:ascii="宋体" w:hAnsi="宋体" w:eastAsia="宋体" w:cs="宋体"/>
                <w:kern w:val="0"/>
                <w:sz w:val="24"/>
                <w:szCs w:val="24"/>
              </w:rPr>
              <w:t>48小时内抗栓治疗：对多数无禁忌证的不溶栓患者，系统应主动提醒医生在脑卒中后尽早（最好48小时内）开始使用阿司匹林，溶栓患者应在溶栓24小时后使用阿司匹林。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出院他汀类药物治疗：非心源性缺血性卒中患者，在患者出院时提醒医生开具他汀类等调脂治疗药物，减少疾病复发</w:t>
            </w:r>
            <w:r>
              <w:rPr>
                <w:rFonts w:hint="eastAsia" w:ascii="宋体" w:hAnsi="宋体" w:eastAsia="宋体" w:cs="宋体"/>
                <w:spacing w:val="2"/>
                <w:sz w:val="24"/>
                <w:szCs w:val="24"/>
              </w:rPr>
              <w:t>；</w:t>
            </w:r>
            <w:r>
              <w:rPr>
                <w:rFonts w:hint="eastAsia" w:ascii="宋体" w:hAnsi="宋体" w:eastAsia="宋体" w:cs="宋体"/>
                <w:kern w:val="0"/>
                <w:sz w:val="24"/>
                <w:szCs w:val="24"/>
              </w:rPr>
              <w:t>对已开具出院带药（他汀类药物药物）的患者不再继续提醒。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spacing w:val="2"/>
                <w:sz w:val="24"/>
                <w:szCs w:val="24"/>
              </w:rPr>
              <w:t>出院抗栓治疗：缺血性脑卒中的患者出院时，</w:t>
            </w:r>
            <w:r>
              <w:rPr>
                <w:rFonts w:hint="eastAsia" w:ascii="宋体" w:hAnsi="宋体" w:eastAsia="宋体" w:cs="宋体"/>
                <w:kern w:val="0"/>
                <w:sz w:val="24"/>
                <w:szCs w:val="24"/>
              </w:rPr>
              <w:t>在患者出院时提醒医生开具抗栓药物，</w:t>
            </w:r>
            <w:r>
              <w:rPr>
                <w:rFonts w:hint="eastAsia" w:ascii="宋体" w:hAnsi="宋体" w:eastAsia="宋体" w:cs="宋体"/>
                <w:spacing w:val="2"/>
                <w:sz w:val="24"/>
                <w:szCs w:val="24"/>
              </w:rPr>
              <w:t>如无禁忌证应继续首选阿司匹林，有禁忌证者可改用氯吡格雷进行二级预防；</w:t>
            </w:r>
            <w:r>
              <w:rPr>
                <w:rFonts w:hint="eastAsia" w:ascii="宋体" w:hAnsi="宋体" w:eastAsia="宋体" w:cs="宋体"/>
                <w:kern w:val="0"/>
                <w:sz w:val="24"/>
                <w:szCs w:val="24"/>
              </w:rPr>
              <w:t>对已开具出院带药（</w:t>
            </w:r>
            <w:r>
              <w:rPr>
                <w:rFonts w:hint="eastAsia" w:ascii="宋体" w:hAnsi="宋体" w:eastAsia="宋体" w:cs="宋体"/>
                <w:spacing w:val="2"/>
                <w:sz w:val="24"/>
                <w:szCs w:val="24"/>
              </w:rPr>
              <w:t>抗栓</w:t>
            </w:r>
            <w:r>
              <w:rPr>
                <w:rFonts w:hint="eastAsia" w:ascii="宋体" w:hAnsi="宋体" w:eastAsia="宋体" w:cs="宋体"/>
                <w:kern w:val="0"/>
                <w:sz w:val="24"/>
                <w:szCs w:val="24"/>
              </w:rPr>
              <w:t>药物）的患者不再继续提醒。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center"/>
          </w:tcPr>
          <w:p>
            <w:pPr>
              <w:kinsoku w:val="0"/>
              <w:overflowPunct w:val="0"/>
              <w:spacing w:line="400" w:lineRule="exact"/>
              <w:jc w:val="left"/>
              <w:rPr>
                <w:rFonts w:hint="eastAsia" w:ascii="宋体" w:hAnsi="宋体" w:eastAsia="宋体" w:cs="宋体"/>
                <w:spacing w:val="2"/>
                <w:sz w:val="24"/>
                <w:szCs w:val="24"/>
              </w:rPr>
            </w:pPr>
            <w:r>
              <w:rPr>
                <w:rFonts w:hint="eastAsia" w:ascii="宋体" w:hAnsi="宋体" w:eastAsia="宋体" w:cs="宋体"/>
                <w:kern w:val="0"/>
                <w:sz w:val="24"/>
                <w:szCs w:val="24"/>
              </w:rPr>
              <w:t>出院降压治疗：对合并高血压的患者出院时，提醒医生开具降压药物，进行降压药物治疗，对已开具出院带药（降压药物）的患者不再继续提醒。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center"/>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出院降糖治疗：对合并糖尿病的患者出院时，提醒医生开具降糖药物，进行持续血糖管理，对已开具出院带药（降糖药物）的患者不再继续提醒。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房颤患者出院抗凝治疗：对于合并房颤的患者出院时，应提醒医生为患者开具抗凝药物，进行继续抗凝治疗。对已开具出院带药（抗凝药物）的患者不再继续提醒。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sz w:val="24"/>
                <w:szCs w:val="24"/>
              </w:rPr>
            </w:pPr>
            <w:r>
              <w:rPr>
                <w:rFonts w:hint="eastAsia" w:ascii="宋体" w:hAnsi="宋体" w:eastAsia="宋体" w:cs="宋体"/>
                <w:kern w:val="0"/>
                <w:sz w:val="24"/>
                <w:szCs w:val="24"/>
                <w:lang w:val="en-US" w:eastAsia="zh-CN"/>
              </w:rPr>
              <w:t>10</w:t>
            </w:r>
            <w:r>
              <w:rPr>
                <w:rFonts w:hint="eastAsia" w:ascii="宋体" w:hAnsi="宋体" w:eastAsia="宋体" w:cs="宋体"/>
                <w:kern w:val="0"/>
                <w:sz w:val="24"/>
                <w:szCs w:val="24"/>
              </w:rPr>
              <w:t>短暂性脑缺血发作（TIA）</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NIHSS评分：对于脑卒中患者，系统应主动向医生推荐NIHSS卒中量表进行评分，并自动记录脑卒中患者每次病程的NIHSS评分结果。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吞咽功能评价：脑卒中患患者入院后，系统应提醒医生至少进行一次吞咽功能评价（洼田饮水试验）。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吞咽功能异常患者康复管理：合并吞咽障碍的患者，系统应提醒选择合适方法针对某个吞咽器官功能异常进行锻炼。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经胸超声心动图检查：对于怀疑TIA的患者，尤其是其他检查不能确定病因时，系统应主动提醒行经胸超声心动图检查。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血脂检查：TIA的患者住院期间，系统应主动提醒进行血脂评价（LDL）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spacing w:val="2"/>
                <w:sz w:val="24"/>
                <w:szCs w:val="24"/>
              </w:rPr>
              <w:t>▲</w:t>
            </w:r>
            <w:r>
              <w:rPr>
                <w:rFonts w:hint="eastAsia" w:ascii="宋体" w:hAnsi="宋体" w:eastAsia="宋体" w:cs="宋体"/>
                <w:kern w:val="0"/>
                <w:sz w:val="24"/>
                <w:szCs w:val="24"/>
              </w:rPr>
              <w:t>院内降脂治疗：非心源性缺血性卒中/脑卒中患者入院后，系统应提醒医生尽快启动强化降脂治疗(阿托伐他汀40mg/天或瑞舒伐他汀20mg/天)。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spacing w:val="2"/>
                <w:sz w:val="24"/>
                <w:szCs w:val="24"/>
              </w:rPr>
            </w:pPr>
            <w:r>
              <w:rPr>
                <w:rFonts w:hint="eastAsia" w:ascii="宋体" w:hAnsi="宋体" w:eastAsia="宋体" w:cs="宋体"/>
                <w:kern w:val="0"/>
                <w:sz w:val="24"/>
                <w:szCs w:val="24"/>
              </w:rPr>
              <w:t>强化降脂治疗：对于LDL-C&gt;=100mg/dl（2.6mmol/L）的非心源性TIA患者，系统应主动推荐强化他汀类药物治疗以降低脑卒中和心血管事件风险。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抗栓治疗：脑卒中患者入院48小时内，系统应提醒医生对患者开始抗栓治疗，恢复脑血流，抢救半暗带组织。当患者出院时，系统应提醒医生注意持续抗栓治疗，减少缺血性事件。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出院抗栓治疗：缺血性脑卒中患者出院时，如无禁忌证应继续首选阿司匹林，有禁忌症者可改用氯吡格雷进行二级预防。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出院降脂治疗：脑卒中的患者出院时，系统应提醒医生对患者进行降脂治疗。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出院降压治疗：脑卒中合并高血压的患者出院时，系统应提醒医生对患者开具降压药，注意控制血压。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出院降糖治疗：脑卒中合并糖尿病的患者出院时，系统应提醒医生对患者开具降糖药，注意持续血糖管理。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sz w:val="24"/>
                <w:szCs w:val="24"/>
              </w:rPr>
            </w:pPr>
            <w:r>
              <w:rPr>
                <w:rFonts w:hint="eastAsia" w:ascii="宋体" w:hAnsi="宋体" w:eastAsia="宋体" w:cs="宋体"/>
                <w:kern w:val="0"/>
                <w:sz w:val="24"/>
                <w:szCs w:val="24"/>
                <w:lang w:val="en-US" w:eastAsia="zh-CN"/>
              </w:rPr>
              <w:t>11</w:t>
            </w:r>
            <w:r>
              <w:rPr>
                <w:rFonts w:hint="eastAsia" w:ascii="宋体" w:hAnsi="宋体" w:eastAsia="宋体" w:cs="宋体"/>
                <w:kern w:val="0"/>
                <w:sz w:val="24"/>
                <w:szCs w:val="24"/>
              </w:rPr>
              <w:t>脑出血（ICH）</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Glasgow昏迷评分量表：脑出血患者入院后，系统应主动提醒完善GCS评分。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NIHSS卒中量表：脑出血患者入院后，系统应主动提醒完善NIHSS量表评估病情严重程度、判断患者预后及指导选择治疗措施。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静脉应用维生素K：脑出血患者开具药品医嘱（华法林钠片）后，系统应主动提醒对维生素K拮抗剂（华法林）相关脑出血，静脉应用维生素K治疗。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应用依达赛珠单抗治疗：脑出血患者开具药品医嘱（达比加群酯胶囊）后，系统应主动提醒服用达比加群的患者可考虑依达赛珠单抗特异性逆转治疗。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尽快进行血肿清除术：对于幕下（小脑或脑干）的脑出血患者，如伴有神经功能进行性恶化或脑干受压和（或）脑积水的患者，系统应主动提醒尽快进行血肿清除术。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抗癫痫治疗：脑出血患者并伴有癫痫发作，系统应主动提醒应给予抗癫痫药物治疗。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降血压治疗：对于收缩压超过150mmHg、无急性降压治疗禁忌证的脑出血患者，系统应主动提醒将收缩压降至140mmHg是安全的，并且可能改善患者的功能预后。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sz w:val="24"/>
                <w:szCs w:val="24"/>
              </w:rPr>
            </w:pPr>
            <w:r>
              <w:rPr>
                <w:rFonts w:hint="eastAsia" w:ascii="宋体" w:hAnsi="宋体" w:eastAsia="宋体" w:cs="宋体"/>
                <w:kern w:val="0"/>
                <w:sz w:val="24"/>
                <w:szCs w:val="24"/>
                <w:lang w:val="en-US" w:eastAsia="zh-CN"/>
              </w:rPr>
              <w:t>12</w:t>
            </w:r>
            <w:r>
              <w:rPr>
                <w:rFonts w:hint="eastAsia" w:ascii="宋体" w:hAnsi="宋体" w:eastAsia="宋体" w:cs="宋体"/>
                <w:kern w:val="0"/>
                <w:sz w:val="24"/>
                <w:szCs w:val="24"/>
              </w:rPr>
              <w:t>脑膜瘤（初发，手术治疗）（MEN）</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术前影像学检查：脑膜瘤患者手术前，系统应主动提醒术前完成基础影像学检查：头MRI T1/T2加权平扫+增强扫描。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术前使用预防性抗菌药物：脑膜瘤患者手术前，系统应主动提醒脑外科手术围手术期可预防性应用第一、二代头孢菌素。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术后复查头颅平扫CT：脑膜瘤患者手术后，系统应主动提醒术后完成头颅CT平扫复查，评估患者术后是否出现并发症及是否需要二次手术。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出院前影像学评估：脑膜瘤患者出院前，系统应主动提醒完成头MRI T1/T2加权平扫+增强扫描影像学评估。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13</w:t>
            </w:r>
            <w:r>
              <w:rPr>
                <w:rFonts w:hint="eastAsia" w:ascii="宋体" w:hAnsi="宋体" w:eastAsia="宋体" w:cs="宋体"/>
                <w:kern w:val="0"/>
                <w:sz w:val="24"/>
                <w:szCs w:val="24"/>
              </w:rPr>
              <w:t>胶质瘤（初发，手术治疗）（GLI）</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术前影像学评估：胶质瘤患者手术前，系统应主动提醒术前完善影像学检查（MRI，DWI，DTI，PWI，MRS，fMRI等）。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术前预防性抗菌药物治疗：有高龄、糖尿病、免疫功能低下、营养不良等感染高危因素的清洁手术患者，系统应主动提醒术前可应用第一、二代头孢菌素预防感染。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术后复查头颅平扫CT：胶质瘤患者手术后，系统应主动提醒术后4-6小时内复查头颅平扫CT。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14</w:t>
            </w:r>
            <w:r>
              <w:rPr>
                <w:rFonts w:hint="eastAsia" w:ascii="宋体" w:hAnsi="宋体" w:eastAsia="宋体" w:cs="宋体"/>
                <w:kern w:val="0"/>
                <w:sz w:val="24"/>
                <w:szCs w:val="24"/>
              </w:rPr>
              <w:t xml:space="preserve">垂体腺瘤（初发，手术治疗）（PA） </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术前双侧视力评估：垂体腺瘤患者手术前，系统应主动提醒术前完善双侧视力视野评估。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术前垂体激素检测：垂体腺瘤患者手术前，系统应主动提醒术前进行垂体激素检测（血清催乳素、黄体生成素、促卵泡成熟激素、雌二醇、孕酮、生长激素、皮质醇、睾酮）。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术前甲状腺激素检测：垂体腺瘤患者手术前，系统应主动提醒术前进行甲状腺激素检测（TSH、T3、T4、FT3、FT4）。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术前预防性抗菌药物治疗：垂体腺瘤患者手术前，系统应主动提醒脑外科手术围手术期可预防性应用第一、二代头孢菌素。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术后视野检查：垂体腺瘤患者手术后，系统应主动提醒进行术后视野检查。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术后2-3天电解质水平监测：垂体腺瘤患者手术后，系统应主动提醒术后2-3天复查电解质水平（钾、钠、氯离子）。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15</w:t>
            </w:r>
            <w:r>
              <w:rPr>
                <w:rFonts w:hint="eastAsia" w:ascii="宋体" w:hAnsi="宋体" w:eastAsia="宋体" w:cs="宋体"/>
                <w:kern w:val="0"/>
                <w:sz w:val="24"/>
                <w:szCs w:val="24"/>
              </w:rPr>
              <w:t>急性动脉瘤性蛛网膜下腔出血（初发，手术 治疗）（aSAH）</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蛛网膜下腔出血Hunt-Hess分级：对新入院（入院24小时内）的急性动脉瘤性蛛网膜下腔出血患者，系统应主动提醒进行临床状态的分级评估，选择手术时机和判断预后。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术前实施血管检查：急性动脉瘤性蛛网膜下腔出血的患者手术申请时，系统应主动提醒术前实施CTA或DSA检查。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术前再次Hunt-Hess分级：急性动脉瘤性蛛网膜下腔出血的患者手术申请时，系统应主动提醒术前再次进行临床状态的分级和判断预后的评估。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出院前mRS评估：术前Hunt-Hess分级1-2级的患者出院前，系统应主动提醒完成mRS评分。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16</w:t>
            </w:r>
            <w:r>
              <w:rPr>
                <w:rFonts w:hint="eastAsia" w:ascii="宋体" w:hAnsi="宋体" w:eastAsia="宋体" w:cs="宋体"/>
                <w:kern w:val="0"/>
                <w:sz w:val="24"/>
                <w:szCs w:val="24"/>
              </w:rPr>
              <w:t>惊厥性癫痫持续状态（CSE）</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脑电图监测：癫痫患者入院后，系统应主动提醒24小时内完成脑电图监测检查。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头颅MRI检查(冠状位)：癫痫患者入院后24小时内，系统应主动提醒需检查头颅MRI(冠状位)。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头颅MRI检查：癫痫患者入院后24小时内，系统应主动提醒需检查头颅MRI。</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感染征象患者的颅内感染检查：有颅内感染征象的患者，系统应主动提醒进行相关脑脊液检查(脑脊液常规、生化、病原检测)。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癫痫代谢类检验项目：癫痫患者入院后，系统应主动提醒尽快完成血气、血氨、血乳酸的检查。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出院医嘱避免外伤：癫痫患者出院时，系统应主动提醒医生明确开具避免外伤医嘱（因癫痫发作不能预测，避免外伤及警惕意外事件发生）。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出院抗癫痫药物治疗：癫痫患者出院时，系统应主动提醒医生在医嘱开具出院抗癫痫药物并指导患者持续使用抗癫痫药物，并且不能随意停药。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17</w:t>
            </w:r>
            <w:r>
              <w:rPr>
                <w:rFonts w:hint="eastAsia" w:ascii="宋体" w:hAnsi="宋体" w:eastAsia="宋体" w:cs="宋体"/>
                <w:kern w:val="0"/>
                <w:sz w:val="24"/>
                <w:szCs w:val="24"/>
              </w:rPr>
              <w:t>帕金森病（PD）</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头部影像学检查：原发性帕金森病患者入院时，系统应主动提醒完善头部影像学检查，排除血管性帕金森病及其他颅内结构异常。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评估量表：系统可根据患者诊断内容，主动提醒患者入院后应完善的评估表，包括：汉密尔顿焦虑量表（入院一周内完成）、汉密尔顿抑郁量表(HAMD) （入院一周内完成）、蒙特利尔认知评估量表（入院一周内完成）、简易精神状态量表(MMSE) （入院一周内完成）、帕金森病综合评量表（MDS-UPDRS）（入院一周内完成）、帕金森病HOEHN&amp;YAHR分级（入院24小时内完成）。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临床分期：原发性帕金森病患者入院24小时内，系统应主动提醒进行帕金森Hoehn-Yahr分期评估。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临床症状评估：原发性帕金森病患者入院一周内，系统应主动提醒完成MDS-UPDRS量表测评。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认知功能障碍筛查：原发性帕金森病患者入院一周内，系统应主动提醒完成MMSE量表和MoCA量表测评。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心理状况筛查：原发性帕金森病患者入院一周内，系统应主动提醒完成汉密尔顿量表测评。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康复评估：原发性帕金森病患者入院后，系统应主动提醒由康复科、康复治疗中心或者康复专业人员进行功能评估。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18</w:t>
            </w:r>
            <w:r>
              <w:rPr>
                <w:rFonts w:hint="eastAsia" w:ascii="宋体" w:hAnsi="宋体" w:eastAsia="宋体" w:cs="宋体"/>
                <w:kern w:val="0"/>
                <w:sz w:val="24"/>
                <w:szCs w:val="24"/>
              </w:rPr>
              <w:t>社区获得性肺炎（成人，首次住院）（CAP）</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PSI严重程度评分：对于选择适当的治疗场所、经验性抗感染药物和辅助支持治疗至关重要。患者入院后，系统应提醒医生尽快完成患者严重程度评估；出院时，系统提醒对患者再次进行风险评估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检查/检验推荐：患者入院后，系统应主动推荐氧合评估、血培养、痰培养、ESR检测、CRP检测、PCT检测等。如：系统主动提醒医生对住院患者同时进行常规血培养和呼吸道标本的病原学检查。对于胸腔积液的患者，系统应主动推荐胸腔积液实验室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spacing w:val="2"/>
                <w:sz w:val="24"/>
                <w:szCs w:val="24"/>
              </w:rPr>
            </w:pPr>
            <w:r>
              <w:rPr>
                <w:rFonts w:hint="eastAsia" w:ascii="宋体" w:hAnsi="宋体" w:eastAsia="宋体" w:cs="宋体"/>
                <w:spacing w:val="2"/>
                <w:sz w:val="24"/>
                <w:szCs w:val="24"/>
              </w:rPr>
              <w:t>氧合评估：急诊或入院24小时内的患者，系统应主动提醒完善脉搏血氧饱和度测定/动脉血气分析。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spacing w:val="2"/>
                <w:sz w:val="24"/>
                <w:szCs w:val="24"/>
              </w:rPr>
            </w:pPr>
            <w:r>
              <w:rPr>
                <w:rFonts w:hint="eastAsia" w:ascii="宋体" w:hAnsi="宋体" w:eastAsia="宋体" w:cs="宋体"/>
                <w:spacing w:val="2"/>
                <w:sz w:val="24"/>
                <w:szCs w:val="24"/>
              </w:rPr>
              <w:t>胸腔积液实验室检查：肺炎住院患者合并胸腔积液时，系统应主动提醒完善实验室检查。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spacing w:val="2"/>
                <w:sz w:val="24"/>
                <w:szCs w:val="24"/>
              </w:rPr>
            </w:pPr>
            <w:r>
              <w:rPr>
                <w:rFonts w:hint="eastAsia" w:ascii="宋体" w:hAnsi="宋体" w:eastAsia="宋体" w:cs="宋体"/>
                <w:kern w:val="0"/>
                <w:sz w:val="24"/>
                <w:szCs w:val="24"/>
              </w:rPr>
              <w:t>▲抗菌药物时机：患者在诊断肺炎后4小时内，系统应提醒使用首剂抗生素治疗。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产ESBL菌高风险患者经验性抗生素治疗：产ESBL菌感染高风险的社区获得性肺炎患者，系统应向医生推荐头霉素类、哌拉西林/他唑巴坦、头孢哌酮/舒巴坦或厄他培南等经验性治疗。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19</w:t>
            </w:r>
            <w:r>
              <w:rPr>
                <w:rFonts w:hint="eastAsia" w:ascii="宋体" w:hAnsi="宋体" w:eastAsia="宋体" w:cs="宋体"/>
                <w:kern w:val="0"/>
                <w:sz w:val="24"/>
                <w:szCs w:val="24"/>
              </w:rPr>
              <w:t>社区获得性肺炎（儿童，首次住院）（CAP2）</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严重度评估：患儿入院后，系统应主动提醒尽快完成严重程度评估。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▲氧合评估：患儿在住院前或住院24小时内，系统应提醒检查动脉血气分析或脉搏血氧饱和度测定。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重症肺炎及时诊断：2-60个月的重症肺炎患儿入院后，系统应提醒在患者首诊和整个治疗过程中动态评估病情轻重和重症高危因素，以及时优先处理重症病例。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检查/检验推荐：患儿入院后，系统应主动推荐氧合评估、血培养、痰培养、ESR检测、CRP检测、PCT检测等。如：系统应主动提醒医生患儿至少在住院前或住院24小时内接受动脉血气分析或脉搏血氧饱和度测定。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抗菌药物时机：患儿在诊断肺炎后4小时内，系统应主动提醒使用首剂抗生素治疗。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监测动脉血氧饱和度：低氧血症是肺炎死亡的危险因素，系统应主动提醒MPP患儿应监测动脉血氧饱和度。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吸氧治疗：合并血氧降低的患儿，系统应主动提醒开始吸氧治疗。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胸腔积液实验室检查：儿童肺炎住院患者在合并胸腔积液时，系统应提醒医生完善实验室检查（常规、生化、病原学）。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pStyle w:val="14"/>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非重症起始抗菌药物选择：系统应支持针对1-4个月、4-60个月、5-8岁和＞8岁不同年龄段的非重症患儿起始抗菌药物的选择进行不同提醒。</w:t>
            </w:r>
          </w:p>
          <w:p>
            <w:pPr>
              <w:pStyle w:val="14"/>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（1）对1-3月龄非重症患儿，系统应提醒医生首选大环内酯类抗菌药物治疗；</w:t>
            </w:r>
          </w:p>
          <w:p>
            <w:pPr>
              <w:pStyle w:val="14"/>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（2）对4月龄-5岁非重症患儿，系统应提醒医生首选口服阿莫西林剂量加大至80-90mg/(kg.d)，也可选择阿莫西林/克拉维酸(7:1剂型)、头孢羟氨苄、头孢克洛、头孢丙烯、头孢地尼等治疗；</w:t>
            </w:r>
          </w:p>
          <w:p>
            <w:pPr>
              <w:pStyle w:val="14"/>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（3）对&gt;5岁至青少年的非重症患儿，系统应提醒医生首选大环内酯类口服治疗；</w:t>
            </w:r>
          </w:p>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（4）8岁以上非重症患儿，系统应提醒医生首选大环内酯类口服，也可口服多西环素或米诺环素治疗。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20</w:t>
            </w:r>
            <w:r>
              <w:rPr>
                <w:rFonts w:hint="eastAsia" w:ascii="宋体" w:hAnsi="宋体" w:eastAsia="宋体" w:cs="宋体"/>
                <w:kern w:val="0"/>
                <w:sz w:val="24"/>
                <w:szCs w:val="24"/>
              </w:rPr>
              <w:t>慢性阻塞性肺疾病（急性发作，住院）（AECOPD）</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复查动脉血气分析：患者在氧疗30分钟后，系统应提醒复查动脉血气分析，以确认氧合满意，且未引起CO2潴留和/或呼吸性酸中毒。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检查/检验推荐：慢性阻塞性肺病患者入院后，系统应主动推荐ESR检测、CRP检测、PCT检测、D-二聚体检查、胸部影像学检查、入院24小时内氧合评估、支气管舒张剂治疗、抗凝治疗等。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监测茶碱血药浓度：患者在茶碱使用24小时后，系统应提醒医生监测血药浓度，并根据茶碱血药浓度调整剂量。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抗凝治疗：卧床、红细胞增多症或脱水的患者，系统应提醒医生考虑使用肝素或低分子肝素抗凝治疗。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入院24小时内氧合评估：对于慢性阻塞性肺疾病急性加重并需要住院治疗的患者在入院24小时内，系统应提醒医生对患者进行动脉血气分析，用来评价加重期疾病严重度。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spacing w:val="2"/>
                <w:sz w:val="24"/>
                <w:szCs w:val="24"/>
              </w:rPr>
              <w:t>▲</w:t>
            </w:r>
            <w:r>
              <w:rPr>
                <w:rFonts w:hint="eastAsia" w:ascii="宋体" w:hAnsi="宋体" w:eastAsia="宋体" w:cs="宋体"/>
                <w:kern w:val="0"/>
                <w:sz w:val="24"/>
                <w:szCs w:val="24"/>
              </w:rPr>
              <w:t>COPD综合评估：对于慢性阻塞性肺疾病急性加重的患者，系统应提醒医生通过慢性阻塞性肺疾病综合评估确定疾病严重程度，指导治疗。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21</w:t>
            </w:r>
            <w:r>
              <w:rPr>
                <w:rFonts w:hint="eastAsia" w:ascii="宋体" w:hAnsi="宋体" w:eastAsia="宋体" w:cs="宋体"/>
                <w:kern w:val="0"/>
                <w:sz w:val="24"/>
                <w:szCs w:val="24"/>
              </w:rPr>
              <w:t>哮喘（成人，急性发作，住院）（CAC）</w:t>
            </w:r>
          </w:p>
        </w:tc>
        <w:tc>
          <w:tcPr>
            <w:tcW w:w="6712" w:type="dxa"/>
            <w:noWrap w:val="0"/>
            <w:vAlign w:val="top"/>
          </w:tcPr>
          <w:p>
            <w:pPr>
              <w:kinsoku w:val="0"/>
              <w:overflowPunct w:val="0"/>
              <w:spacing w:line="400" w:lineRule="exact"/>
              <w:jc w:val="left"/>
              <w:rPr>
                <w:rFonts w:hint="eastAsia" w:ascii="宋体" w:hAnsi="宋体" w:eastAsia="宋体" w:cs="宋体"/>
                <w:spacing w:val="2"/>
                <w:sz w:val="24"/>
                <w:szCs w:val="24"/>
              </w:rPr>
            </w:pPr>
            <w:r>
              <w:rPr>
                <w:rFonts w:hint="eastAsia" w:ascii="宋体" w:hAnsi="宋体" w:eastAsia="宋体" w:cs="宋体"/>
                <w:spacing w:val="2"/>
                <w:sz w:val="24"/>
                <w:szCs w:val="24"/>
              </w:rPr>
              <w:t>患者病情严重程度分级：支气管哮喘患者入院后，</w:t>
            </w:r>
            <w:r>
              <w:rPr>
                <w:rFonts w:hint="eastAsia" w:ascii="宋体" w:hAnsi="宋体" w:eastAsia="宋体" w:cs="宋体"/>
                <w:kern w:val="0"/>
                <w:sz w:val="24"/>
                <w:szCs w:val="24"/>
              </w:rPr>
              <w:t>系统应主动提醒进行</w:t>
            </w:r>
            <w:r>
              <w:rPr>
                <w:rFonts w:hint="eastAsia" w:ascii="宋体" w:hAnsi="宋体" w:eastAsia="宋体" w:cs="宋体"/>
                <w:spacing w:val="2"/>
                <w:sz w:val="24"/>
                <w:szCs w:val="24"/>
              </w:rPr>
              <w:t>正确评估哮喘控制水平。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spacing w:val="2"/>
                <w:sz w:val="24"/>
                <w:szCs w:val="24"/>
              </w:rPr>
            </w:pPr>
            <w:r>
              <w:rPr>
                <w:rFonts w:hint="eastAsia" w:ascii="宋体" w:hAnsi="宋体" w:eastAsia="宋体" w:cs="宋体"/>
                <w:kern w:val="0"/>
                <w:sz w:val="24"/>
                <w:szCs w:val="24"/>
              </w:rPr>
              <w:t>评价肺功能或氧合情况：支气管哮喘成人患者入院后，系统应主动提醒进行呼气峰流速(PEF)或FEV1、SpO2监测、动脉血气分析等辅助检查。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支气管哮喘急性发作时病情严重程度分级：支气管哮喘成人患者急性发作后，系统应主动提醒对病情严重程度进行初步评估。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氧疗：支气管哮喘成人患者入院后，系统应主动提醒尽快予以吸氧治疗。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雾化吸入支气管舒张剂：支气管哮喘成人患者入院后，系统应主动提醒尽快予以雾化吸入糖皮质激素治疗。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雾化吸入糖皮质激素：支气管哮喘成人患者入院后，系统应主动提醒尽快予以雾化吸入糖皮质激素治疗。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全身应用糖皮质激素：中重度急性发作的哮喘成人患者，系统应主动提醒可口服激素，严重的急性发作患者应及时经静脉应用激素治疗。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22</w:t>
            </w:r>
            <w:r>
              <w:rPr>
                <w:rFonts w:hint="eastAsia" w:ascii="宋体" w:hAnsi="宋体" w:eastAsia="宋体" w:cs="宋体"/>
                <w:kern w:val="0"/>
                <w:sz w:val="24"/>
                <w:szCs w:val="24"/>
              </w:rPr>
              <w:t>哮喘（儿童，住院）（CAC2）</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氧合评估：支气管哮喘急性发作的儿童哮喘患者（2-18岁）入院后，系统应主动提醒进行儿童哮喘急性发作严重度评估的客观判断指标。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肺功能检查：支气管哮喘急性发作的儿童哮喘患者（2-18岁）入院后，系统应主动提醒进行儿童哮喘急性发作严重度评估的肺功能检查。若患儿无法配合，待病情平稳后进一步检查。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检测电解质：支气管哮喘急性发作的儿童哮喘患者（2-18岁）入院后，系统应主动提醒评估患者病情，包括电解质检测。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胸部影像学检查：支气管哮喘急性发作的儿童哮喘患者（2-18岁）入院后，系统应主动提醒需要进行胸部影像学检查，明确患儿肺部情况。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氧疗：支气管哮喘急性发作的儿童哮喘患者（2-18岁）入院后，系统应主动提醒尽快予以吸氧治疗。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雾化吸入支气管舒张剂：支气管哮喘急性发作的儿童哮喘患者（2-18岁）入院后，系统应主动提醒可按需使用雾化吸入 SABA（或联合异丙托溴铵）等治疗，以控制症状，但应避免长期使用或过度依赖。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全身应用糖皮质激素：中重度急性发作的哮喘患者（2-18岁），系统应主动提醒可口服激素，严重的急性发作患者应及时经静脉应用激素治疗。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23</w:t>
            </w:r>
            <w:r>
              <w:rPr>
                <w:rFonts w:hint="eastAsia" w:ascii="宋体" w:hAnsi="宋体" w:eastAsia="宋体" w:cs="宋体"/>
                <w:kern w:val="0"/>
                <w:sz w:val="24"/>
                <w:szCs w:val="24"/>
              </w:rPr>
              <w:t>髋关节置换术（THR）、</w:t>
            </w:r>
            <w:r>
              <w:rPr>
                <w:rFonts w:hint="eastAsia" w:ascii="宋体" w:hAnsi="宋体" w:eastAsia="宋体" w:cs="宋体"/>
                <w:kern w:val="0"/>
                <w:sz w:val="24"/>
                <w:szCs w:val="24"/>
                <w:lang w:val="en-US" w:eastAsia="zh-CN"/>
              </w:rPr>
              <w:t>24</w:t>
            </w:r>
            <w:r>
              <w:rPr>
                <w:rFonts w:hint="eastAsia" w:ascii="宋体" w:hAnsi="宋体" w:eastAsia="宋体" w:cs="宋体"/>
                <w:kern w:val="0"/>
                <w:sz w:val="24"/>
                <w:szCs w:val="24"/>
              </w:rPr>
              <w:t>膝关节置换术（TKR）</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术前膝关节功能评估：每一位需要膝关节置换手术的患者在实施手术前，系统应提醒医生进行功能评估（牛津大学膝关节评分(OKS)），以便选择适当手术方式，提高手术质量与功能康复。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术前疼痛评估：系统能够采用视觉模拟评分和数字评价量表（VAS），主动提醒医生术前对需要髋、膝关节置换手术的患者术前进行关节疼痛程度及患者对疼痛的耐受度评估。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膝关节HSS评分：每一位需要膝关节置换手术的患者在实施手术前，系统应提醒医生进行膝关节HSS评分，以便选择适当手术方式，提高手术质量与功能康复。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Harris评分：每一位需要髋关节置换手术的患者在实施手术前，系统应提醒医生进行髋关节Harris评分，以便选择适当手术方式，提高手术质量与功能康复。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术后恶心呕吐预防：为了预防患者在术后有恶心、呕吐的症状，系统应主动提醒医生在术中使用地塞米松、术后使用莫沙必利，有效降低术后恶心呕吐的发生，且不增加消化道并发症及其他并发症。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术后预防性镇痛：术后镇痛管理对于关节功能的加速恢复尤为重要，系统能够根据情况提醒医生选择NSAIDs类药物、PCA镇痛、弱阿片类药物等。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药物预防术后VTE：为了预防患者在术后VTE的发生，系统应提醒对患者术后6-10小时开始使用利伐沙班10mg/d预防VTE；术后12-24小时皮下给予常规剂量低分子肝素预防VTE；术后当晚开始应用华法林，维持INR在2.0-2.5。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▲机械预防术后VTE：合并凝血异常疾病、有高危出血风险的患者，系统应提醒医生单独使用机械预防。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术后康复治疗：术后康复治疗是术后尽早恢复关节功能的重要途径，系统应提醒术后24小时内开始积极康复训练。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25</w:t>
            </w:r>
            <w:r>
              <w:rPr>
                <w:rFonts w:hint="eastAsia" w:ascii="宋体" w:hAnsi="宋体" w:eastAsia="宋体" w:cs="宋体"/>
                <w:kern w:val="0"/>
                <w:sz w:val="24"/>
                <w:szCs w:val="24"/>
              </w:rPr>
              <w:t>发育性髋关节发育不良（手术治疗）（DDH）</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完善检验检查：发育性髋关节发育不良患儿术前，系统应主动提醒需要完善相应检查项目，其中包括血常规，尿常规，血型，血生化，凝血功能。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传染病筛查：发育性髋关节发育不良患儿手术前，系统应主动提醒完善术前传染病相关抗体指标筛查，其中包括乙肝五项，梅毒或HIV筛查等。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影像学检查：诊断为发育性髋关节发育不良的患者，系统应主动提醒建议进行影像学检查明确脱位情况。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术前预防性抗菌药物治疗：诊断为发育性髋关节发育不良的患者在手术前，系统应主动提醒医生采用II类切口手术前可预防性应用抗菌药物，推荐选择第一代或二代头孢菌素。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术后停用预防性抗菌药物：诊断为发育性髋关节发育不良的患者在手术后，系统应主动提醒清洁手术的预防用药时间不超过24小时。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26</w:t>
            </w:r>
            <w:r>
              <w:rPr>
                <w:rFonts w:hint="eastAsia" w:ascii="宋体" w:hAnsi="宋体" w:eastAsia="宋体" w:cs="宋体"/>
                <w:kern w:val="0"/>
                <w:sz w:val="24"/>
                <w:szCs w:val="24"/>
              </w:rPr>
              <w:t>剖宫产（CS）</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剖宫产指征：患者手术前，系统应主动提醒严格掌握剖宫产指征可降低剖宫产率及剖宫产并发症发生率，包括骨盆及软产道异常、胎儿因素、羊水过少、头盆不称、高龄初产妇、胎儿窘迫、孕妇有严重疾病等。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凌罗达头位分娩评分标准：在患者剖宫产术前，系统应主动提醒术前风险评估包括头位分娩评分，根据骨盆、胎儿大小、胎头位置及产力四项指标进行评分。＞10分有利于分娩，≤10分不利于分娩。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预防性抗菌药物治疗：在患者手术前/后24小时内，系统应主动提醒择期剖宫产围手术期预防性应用抗生素首选一代头孢菌素类药物；若存在感染高危因素可选择第一代或第二代头孢菌素加甲硝唑或单用头孢西丁。在胎儿娩出（断脐带）后即使用预防性抗菌药物。对已使用预防性抗菌药物的患者不再提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孕妇乙肝病毒含量风险评估：对于HBsAg阳性的孕妇，系统应主动提醒需进一步检测HBV-DNA水平。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乙肝高风险孕妇抗病毒治疗：乙肝高风险的孕妇，系统应主动提醒妊娠合并HBV住院行剖宫产术的产妇均必须实施母婴阻断，高风险孕妇孕期使用核苷类抗病毒药物治疗。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预防性抗生素停用：在患者术后24小时内，系统应主动提醒短程预防用药，手术当天用药结束后不必再用。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术后预防性抗菌药物：择期剖宫产围手术期预防性应用抗生素首选青霉素类药物，青霉素皮试阳性者换用第一代或第二代头孢菌素。系统应主动提醒在胎儿娩出（断脐带）后即使用预防性抗菌药物。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新生儿Apgar评分：新生儿出生后，系统应主动提醒进行Apgar评分法判断有无新生儿窒息及窒息的严重程度。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新生儿乙肝感染预防： HBsAg阳性母亲的新生儿出生后24小时内，系统应主动提醒注射乙肝免疫球蛋白及乙肝疫苗。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27</w:t>
            </w:r>
            <w:r>
              <w:rPr>
                <w:rFonts w:hint="eastAsia" w:ascii="宋体" w:hAnsi="宋体" w:eastAsia="宋体" w:cs="宋体"/>
                <w:kern w:val="0"/>
                <w:sz w:val="24"/>
                <w:szCs w:val="24"/>
              </w:rPr>
              <w:t>异位妊娠（手术治疗）（EP）</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入院完善超声检查：异位妊娠的女性手术入院患者，系统应主动提醒经阴道超声检查是对可疑异位妊娠患者的首选诊断方法。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入院完善血hCG及尿hCG测定：异位妊娠/输卵管妊娠破裂/卵巢妊娠破裂/残角子宫妊娠破裂的女性入院患者，系统应主动提醒入院后评估患者静脉血hCG、阴道血hCG、尿hCG检查。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后穹窿穿刺或腹腔穿刺检查：异位妊娠/输卵管妊娠破裂/卵巢妊娠破裂/残角子宫妊娠破裂的女性入院患者，系统应主动提醒入院后根据病情可行后穹窿穿刺检查及腹腔穿刺评估腹腔积液情况。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术前预防性抗菌药物治疗：异位妊娠并需手术的女性患者，系统应主动提醒II类切口手术前推荐预防性应用抗菌药物，可选择第一代或二代头孢菌素。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28</w:t>
            </w:r>
            <w:r>
              <w:rPr>
                <w:rFonts w:hint="eastAsia" w:ascii="宋体" w:hAnsi="宋体" w:eastAsia="宋体" w:cs="宋体"/>
                <w:kern w:val="0"/>
                <w:sz w:val="24"/>
                <w:szCs w:val="24"/>
              </w:rPr>
              <w:t>子宫肌瘤（手术治疗）（UM）</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术前影像学评估：需进行子宫肌瘤手术的女性患者，系统应主动提醒术前完善影像学检查（腹部超声、经阴道超声、MRI检查、CT检查）。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术前贫血检查：需进行子宫肌瘤手术的女性患者，系统应主动提醒术前评估患者是否为合并贫血。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术前使用预防性抗菌药物：需进行子宫肌瘤手术的女性患者，系统应主动提醒II类切口手术前需要预防性应用抗菌药物，可选择第一代或二代头孢菌素。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术后24小时内结束预防性抗菌药物：对诊断为“子宫平滑肌瘤”的患者，系统应主动提醒医生术后暂停抗生素的预防性使用。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29</w:t>
            </w:r>
            <w:r>
              <w:rPr>
                <w:rFonts w:hint="eastAsia" w:ascii="宋体" w:hAnsi="宋体" w:eastAsia="宋体" w:cs="宋体"/>
                <w:kern w:val="0"/>
                <w:sz w:val="24"/>
                <w:szCs w:val="24"/>
              </w:rPr>
              <w:t>肺癌（手术治疗）（LC）</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 xml:space="preserve">术前临床TNM分期：肺癌患者手术申请时，系统应主动提醒患者的术前诊断应给出cTNM分期（正确的肿瘤分期是指导患者个体化治疗决策的基础）。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胸部影像学检查：肺癌患者手术前，系统应主动提醒行胸部影像学检查，用于肺癌的分期与再分期、疗效评估、肺癌的诊断及辅助诊断等。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术前使用预防性抗菌药物：肺癌患者手术前，系统应主动提醒胸外科手术（食管、肺）的术前预防性抗菌药物选择推荐为第一、二代头孢菌素。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术后停用预防性抗菌药物：肺癌患者手术后，系统应主动提醒清洁-污染手术的预防用药时间为24小时，不推荐过度延长用药时间。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术后pTNM分期：肺癌患者手术后，系统应主动提醒正确的肿瘤分期是指导患者个体化治疗决策的基础，术后病理诊断应给出pTNM分期。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非小细胞肺癌基因检测：针对非小细胞肺癌患者，系统应主动提醒进行基因检测，有助于选择合理的靶向药物进一步治疗。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30</w:t>
            </w:r>
            <w:r>
              <w:rPr>
                <w:rFonts w:hint="eastAsia" w:ascii="宋体" w:hAnsi="宋体" w:eastAsia="宋体" w:cs="宋体"/>
                <w:kern w:val="0"/>
                <w:sz w:val="24"/>
                <w:szCs w:val="24"/>
              </w:rPr>
              <w:t>甲状腺癌（手术治疗）（TC）</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术前临床TNM分期：甲状腺癌患者手术前，系统应主动提醒进行甲状腺癌的分期，包括：根据术前评估确立的临床分期cTNM和根据术后病理的病理分期pTNM。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术前声带情况评估：甲状腺癌患者手术前，系统应主动提醒术前应常规进行间接喉镜检查，评估双侧声带活动情况，如果术前间接喉镜检查不满意，可进行术前电子纤维喉镜或纤维支气管镜检查。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术前甲状腺功能检测：甲状腺癌患者手术前，系统应主动提醒术前需要评估患者甲状腺功能情况，判断激素影响水平及辅助提供治疗方案。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术前甲状腺超声检查：甲状腺癌患者手术前，系统应主动提醒术前进行甲状腺超声检查评估增生情况。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术前甲状腺细针穿刺细胞学检查(FNA)：甲状腺癌患者手术前，系统应主动提醒通过细针穿刺细胞学检查进行良恶性的鉴别、对甲状腺癌肿进行分类，以及通过病理学证实是否有颈侧淋巴结转移。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使用预防性抗菌药物：有糖尿病、免疫功能低下、营养不良等感染高危因素的清洁手术甲状腺癌患者，系统应主动提醒术前可应用第一、二代头孢菌素预防感染；若为高龄且感染高危因素的手术患者，系统应主动提醒术前可应用第一、二代头孢菌素预防感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术后停用预防性抗菌药物：甲状腺癌患者手术后，系统应主动提醒清洁手术的预防用药时间不超过24小时。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促甲状腺素检测：甲状腺癌患者手术后，系统应主动推荐术后病理分期为中、高危患者检查TSH水平，辅助判断是否进行内分泌抑制治疗。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31</w:t>
            </w:r>
            <w:r>
              <w:rPr>
                <w:rFonts w:hint="eastAsia" w:ascii="宋体" w:hAnsi="宋体" w:eastAsia="宋体" w:cs="宋体"/>
                <w:kern w:val="0"/>
                <w:sz w:val="24"/>
                <w:szCs w:val="24"/>
              </w:rPr>
              <w:t>乳腺癌（手术治疗）（BC）</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术前cTNM分期评估：需进行乳腺癌手术的女性患者，系统应主动提醒术前应进行临床TNM评估表分期评估（正确的肿瘤分期是指导患者个体化治疗决策的基础）。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术前影像学评估：需进行乳腺癌手术的女性患者，系统应主动提醒治疗3个月内需要行影像学检查明确BI-RADS分级检查。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术后pTNM分期评估：乳腺癌手术后的女性患者出院时，系统应主动提醒术后病理诊断应给出pTNM评估表分期评估（正确的肿瘤分期是指导患者个体化治疗决策的基础）。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乳腺癌分子病理检测：所有乳腺浸润性癌病例，系统应主动提醒进行ER、PR、HER2检测。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术前使用预防性抗菌药物：有高龄、糖尿病、免疫功能低下、营养不良等感染高危因素的清洁手术患者，系统应主动提醒术前可应用第一、二代头孢菌素预防感染。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术后停用预防性抗菌药物：清洁手术的患者术后，系统应主动提醒预防用药时间不超过24小时。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32</w:t>
            </w:r>
            <w:r>
              <w:rPr>
                <w:rFonts w:hint="eastAsia" w:ascii="宋体" w:hAnsi="宋体" w:eastAsia="宋体" w:cs="宋体"/>
                <w:kern w:val="0"/>
                <w:sz w:val="24"/>
                <w:szCs w:val="24"/>
              </w:rPr>
              <w:t>胃癌（手术治疗）（GC）</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术前cTNM分期：胃癌患者手术前，系统应主动提醒术前应进行临床TNM评估表分期评估。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术前超声内镜检查：胃癌患者手术前，系统应主动提醒术前完善胃癌的超声内镜检查及内镜下的分期评估。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术后病理HER2检测：胃癌患者手术后，系统应主动提醒在胃癌治疗和预防方面进行术后常规免疫组化（HER2）检测。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术后病理MSI检测：胃癌患者手术后，系统应主动提醒在胃癌治疗和预防方面进行术后常规免疫组化（MSI）检测。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33</w:t>
            </w:r>
            <w:r>
              <w:rPr>
                <w:rFonts w:hint="eastAsia" w:ascii="宋体" w:hAnsi="宋体" w:eastAsia="宋体" w:cs="宋体"/>
                <w:kern w:val="0"/>
                <w:sz w:val="24"/>
                <w:szCs w:val="24"/>
              </w:rPr>
              <w:t>宫颈癌（手术治疗）（CC）</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细胞病理学检查：需进行宫颈癌手术的女性患者，系统应主动提醒医生绝大多数宫颈癌经妇科检查及细胞病理学检查后可被确诊，宫颈/阴道细胞学涂片是发现早期宫颈癌或癌前病变的初筛手段；而CIN和宫颈癌诊断均依靠活体组织学检查证实，医生应判断是否进行检查明确诊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影像学检查：需进行宫颈癌手术的女性患者，系统应主动提醒医生影像学检查对肿瘤转移、侵犯范围和程度进行了解以指导临床决策，包括上下腹盆腔超声，胸片，心电图盆腔及上下腹MRI或CT，建议IB1期及以上有条件行PET-CT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肿瘤标记物检查：需进行宫颈癌手术的女性患者，系统应主动提醒医生可通过肿瘤标志物检测协助诊断、疗效评价、病情监测或治疗后随访监测。主要关注血清SCC，CEA，CA-125以及CA19-9。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体力状况ECOG评分：需进行宫颈癌手术的女性患者，系统应主动提醒术前根据患者日常生活状态，进行体能评估和生活评估表。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术前临床分期：需进行宫颈癌手术的女性患者，系统应主动提醒医生强调术前通过共同查体以明确完成分期评估表，分期以临床分期为主，影像学检查可以辅助分期。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术前预防性抗菌药物治疗：宫颈癌患者手术前，系统应主动提醒医生可采用II类切口手术前预防性应用抗菌药物，可选择第一代或二代头孢菌素。并支持在患者术后24小时内，主动提醒结束预防性抗菌药物。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病理检查：宫颈癌患者手术后，系统应主动提醒术后完善宫颈癌病理检查，明确是否存在危险因素、病理高危因素等。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34</w:t>
            </w:r>
            <w:r>
              <w:rPr>
                <w:rFonts w:hint="eastAsia" w:ascii="宋体" w:hAnsi="宋体" w:eastAsia="宋体" w:cs="宋体"/>
                <w:kern w:val="0"/>
                <w:sz w:val="24"/>
                <w:szCs w:val="24"/>
              </w:rPr>
              <w:t>结肠癌（手术治疗）（CoC）</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大便隐血试验：结肠癌患者入院后，系统应主动提醒开具便常规及大便潜血试验等实验室检查，明确患者典型症状。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肿瘤标记物检查：结肠癌患者入院后，系统应主动提醒医生可通过肿瘤标志物检测协助诊断、疗效评价、病情监测或治疗后随访监测。主要关注CEA，CA19-9，CA125等。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内窥镜活检：结肠癌患者入院后，系统应主动提醒医生对患者进行结肠镜取活检，病理检查明确肿瘤组织类型和分化程度，排除同时性结直肠多原发癌。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腹部影像学检查：结肠癌患者入院后，系统应主动提醒医生对患者完善腹部CT检查或腹部超声检查，明确病灶位置，排除其余脏器转移。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胸部影像学检查：系统可根据患者病情给予胸部影像检查，排除外肿瘤肺转移可能。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AJCC结直肠癌TNM评估表：结肠癌患者各项检查完善后，系统应主动提醒医生根据检查结果进行TNM评估，明确肿瘤分期。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术前预防性抗菌药物治疗：结肠癌患者手术前，系统应主动提醒医生可采用II类、III类切口手术前预防性应用抗菌药物，可选择第一代或二代头孢菌素或头霉素。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视觉模拟量表（VAS）：结肠癌患者手术后，系统应主动提醒患者术后及时针对患者情况进行疼痛评估，根据疼痛评估结果对应给予药物止痛等对症支持治疗。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营养风险筛查2002(NRS)评：结肠癌患者手术后，系统应主动提醒患者术后进行营养风险评估，根据患者总体情况给予营养支持治疗。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35</w:t>
            </w:r>
            <w:r>
              <w:rPr>
                <w:rFonts w:hint="eastAsia" w:ascii="宋体" w:hAnsi="宋体" w:eastAsia="宋体" w:cs="宋体"/>
                <w:kern w:val="0"/>
                <w:sz w:val="24"/>
                <w:szCs w:val="24"/>
              </w:rPr>
              <w:t xml:space="preserve">糖尿病肾病（DKD） </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入院完善检验检查：糖尿病肾病患者入院后，系统应主动提醒补充检验结果，完善肾功能检查，尿蛋白等。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尿蛋白定量检测：糖尿病或糖尿病肾病患者，系统应主动提醒定期检测尿蛋白定量检测评估肾功能。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慢性肾脏病（CKD）分期评估表：糖尿病或糖尿病肾病患者入院后，系统应主动提醒测定肾小球滤过率后，按照CKD分期标准明确分期。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糖尿病视网膜病变检查：肾病患者明确诊断为糖尿病后，系统应主动提醒可定期进行眼底检查，以排除是否合并视网病变。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糖尿病学：肾病患者明确诊断为糖尿病后，系统应主动提醒进行血管功能评价。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肾穿刺活检检查：糖尿病或糖尿病肾病患者入院后，系统应主动提醒进行肾穿刺，完善组织病理学肾脏疾病诊断分型。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血糖监测：明确诊断糖尿病或糖尿病肾病患者，系统应主动提醒在患者治疗前后需完善血糖监测。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36</w:t>
            </w:r>
            <w:r>
              <w:rPr>
                <w:rFonts w:hint="eastAsia" w:ascii="宋体" w:hAnsi="宋体" w:eastAsia="宋体" w:cs="宋体"/>
                <w:kern w:val="0"/>
                <w:sz w:val="24"/>
                <w:szCs w:val="24"/>
              </w:rPr>
              <w:t>终末期肾病血液透析（ESRD-HD）</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透析前检验肾功能：终末期患者透析前，系统应主动提醒肾功能检测，系统应主动提醒明确肾功能分期，并指导血液透析方案。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新入时检验血源性传染病：新入血液透析患者，系统应主动提醒完成血源性传染病标志物检验，包括：乙型肝炎、丙型肝炎、梅毒及艾滋病检测。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定时检验β2微球蛋白：维持性血液透析患者，系统应主动提醒每6个月需复查一次β2微球蛋白。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定时检验血常规：维持性血液透析患者，系统应主动提醒每3个月需复查一次血常规、血生化。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定时检验全段甲状旁腺素及电解质：维持性血液透析患者，系统应主动提醒每6个月需复查一次全段甲状旁腺素及电解质，监测CKD-MBD并发症。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37</w:t>
            </w:r>
            <w:r>
              <w:rPr>
                <w:rFonts w:hint="eastAsia" w:ascii="宋体" w:hAnsi="宋体" w:eastAsia="宋体" w:cs="宋体"/>
                <w:kern w:val="0"/>
                <w:sz w:val="24"/>
                <w:szCs w:val="24"/>
              </w:rPr>
              <w:t>终末期肾病腹膜透析（ESRD-PD）</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透析前检验肾功能：终末期肾病患者透析前，系统应主动提醒完善肾功能检测，明确肾功能分期，并指导腹膜透析方案。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定时检验β2微球蛋白：维持性腹膜透析患者，系统应主动提醒每6个月需复查一次β2微球蛋白。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定时检验血常规：维持性腹膜透析患者，系统应主动提醒每3个月需复查一次血常规，监测血红蛋白为主及是否贫血。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定时检验血生化：维持性腹膜透析患者，系统应主动提醒每3个月需复查一次血生化，关注血白蛋白检测结果。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定时检验全段甲状旁腺素及电解质：维持性腹膜透析患者，系统应主动提醒每6个月需复查一次全段甲状旁腺素及电解质，监测CKD-MBD并发症。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定时检验血清铁蛋白和转铁蛋白饱和度：维持性腹膜透析患者，系统应主动提醒每6个月需复查一次血清铁蛋白和转铁蛋白饱和度。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定时检验血清前白蛋白：维持性腹膜透析患者，系统应主动提醒每6个月需复查一次血清前白蛋白。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定时检验C反应蛋白：维持性腹膜透析患者，系统应主动提醒每6个月需复查一次C反应蛋白。</w:t>
            </w:r>
            <w:r>
              <w:rPr>
                <w:rFonts w:hint="eastAsia" w:ascii="宋体" w:hAnsi="宋体" w:eastAsia="宋体" w:cs="宋体"/>
                <w:kern w:val="0"/>
                <w:sz w:val="24"/>
                <w:szCs w:val="24"/>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38</w:t>
            </w:r>
            <w:r>
              <w:rPr>
                <w:rFonts w:hint="eastAsia" w:ascii="宋体" w:hAnsi="宋体" w:eastAsia="宋体" w:cs="宋体"/>
                <w:kern w:val="0"/>
                <w:sz w:val="24"/>
                <w:szCs w:val="24"/>
              </w:rPr>
              <w:t xml:space="preserve">舌鳞状细胞癌（手术治疗）（TSCC） </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影像学检查：需进行舌鳞状细胞癌手术的患者在手术前，系统应主动提醒术前推荐完善影像学检查项目，其中包含胸部CT、PET-CT、头颈部CT等。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入院完善检验检查：需进行舌鳞状细胞癌手术的患者在手术前，系统应主动提醒术前推荐完善各类检验检查项目，其中包括但不限于血常规、凝血功能、血生化等检验，以及头颈部CT、胸部CT、PET-CT等。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专科影像学检查：需进行舌鳞状细胞癌手术的患者在手术前，系统应主动提醒术前可依据口腔CT，CBCT，彩超等检查完成cTNM分期。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术前使用预防性抗菌药物：需进行舌鳞状细胞癌手术的患者在手术前，系统应主动提醒经口咽部黏膜的头颈部手术，推荐给予第一、二代头孢菌素±甲硝唑，或克林霉素+庆大霉素联合治疗。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术后进行吞咽功能评估：需进行舌鳞状细胞癌手术的患者在手术后，系统应主动提醒术后完善吞咽功能评估，明确是否进行吞咽功能康复训练。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39</w:t>
            </w:r>
            <w:r>
              <w:rPr>
                <w:rFonts w:hint="eastAsia" w:ascii="宋体" w:hAnsi="宋体" w:eastAsia="宋体" w:cs="宋体"/>
                <w:kern w:val="0"/>
                <w:sz w:val="24"/>
                <w:szCs w:val="24"/>
              </w:rPr>
              <w:t>腮腺肿瘤（手术治疗）（PT）</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入院完善检验检查：需进行腮腺肿瘤手术的患者在手术前，系统应主动提醒术前推荐完善各类检验检查项目，其中包括但不限于血常规、凝血功能、血生化等检验，以及头颈部CT、胸部CT、PET-CT等。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影像学检查：需进行腮腺肿瘤手术的患者在手术前，系统应主动提醒术前推荐完善影像学检查，其中包括但不限于头颈部CT、胸部CT、PET-CT等。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病理检查：需进行腮腺肿瘤手术的患者在手术前，系统应主动提醒手术治疗前完成病灶组织活检。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术前使用预防性抗菌药物：需进行腮腺肿瘤手术的患者在手术前，系统应主动提醒头颈部恶性肿瘤手术，或不经口咽部黏膜的手术推荐选择第一代、第二代头孢菌素预防抗感染治疗。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病理学诊断：需进行腮腺肿瘤手术的患者在手术后，系统应主动提醒涎腺肿瘤病理分级不同可对术后总生存率产生影响，是腮腺恶性肿瘤的独立预后因素。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40</w:t>
            </w:r>
            <w:r>
              <w:rPr>
                <w:rFonts w:hint="eastAsia" w:ascii="宋体" w:hAnsi="宋体" w:eastAsia="宋体" w:cs="宋体"/>
                <w:kern w:val="0"/>
                <w:sz w:val="24"/>
                <w:szCs w:val="24"/>
              </w:rPr>
              <w:t>口腔种植术（OIT）</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术前患者生理状态评估：进行口腔种植术的患者在手术前，系统应主动提醒术前应用麻醉ASA分级评估表评价患者生理状态，对种植治疗时机及方案选择具有指导意义。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血糖控制水平评价：需进行口腔种植术的患者在手术前，系统应主动提醒糖尿病为口腔种植术的相对禁忌证，术前需监测糖尿病患者血糖控制水平。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临床检验检查：需进行口腔种植术的患者在手术前，系统应主动提醒明确实验室检查指标，评价患者是否可耐受口腔种植术。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影像学检查：需进行口腔种植术的患者在手术前，系统应主动提醒围术期通过相应影像学检查评价患者既往口腔疾病史、种植体结合状态以及判断预后。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术前使用预防性抗菌药物：需进行口腔种植术的患者在手术前，系统应主动提醒颌面部或面部整形术有移植物手术首选第一、第二代头孢菌素预防感染。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41</w:t>
            </w:r>
            <w:r>
              <w:rPr>
                <w:rFonts w:hint="eastAsia" w:ascii="宋体" w:hAnsi="宋体" w:eastAsia="宋体" w:cs="宋体"/>
                <w:kern w:val="0"/>
                <w:sz w:val="24"/>
                <w:szCs w:val="24"/>
              </w:rPr>
              <w:t>原发性急性闭角型青光眼（手术治疗） （PACG）</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术前双侧视力评估：原发性急性闭角型青光眼的患者手术前，系统应主动提醒测量时需注意测量术前生活视力或矫正视力结果，明确术前视力影响程度。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术前视野检查：原发性急性闭角型青光眼的患者手术前，系统应主动提醒进行术前视野检查，以明确术前视野缺损程度。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术前眼压测量：原发性急性闭角型青光眼的患者手术前，系统应主动提醒记录术前眼压情况，若术前应用降眼压药物应一并记录。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房角镜检查：原发性急性闭角型青光眼的患者手术前，系统应主动提醒术前进行前房角镜检查，对前房角宽度进行Scheie分级记录，并确定房角开放、关闭和周边前粘连的程度和范围，是否伴随纤维渗出或出血等阳性表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眼底照相检查：原发性急性闭角型青光眼的患者手术前，系统应主动提醒进行眼底照相检查，记录视网膜血管走形，黄斑区，玻璃体，视神经等结构改变或颜色改变。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UBM镜检查：原发性急性闭角型青光眼的患者手术前，系统应主动提醒医生进行UBM镜检查，用于定量测量虹膜形态、房角开放程度；观察瞳孔缘相对位置，虹膜和睫状突接触距离等。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OCT检查：原发性急性闭角型青光眼的患者手术前，系统应主动提醒医生通过光学相干断层扫描检查进行视神经乳头分析，测量RNFL厚度等。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术前使用预防性抗菌药物：原发性急性闭角型青光眼的患者手术前，系统应主动提醒医生推荐应用妥布霉素或左氧氟沙星等进行围手术期预防抗感染应用。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术后眼压测量：原发性急性闭角型青光眼的患者手术后，系统应主动提醒进行术后眼压测量，与术前眼压进行比较。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术后双侧视力检查：原发性急性闭角型青光眼的患者手术后，系统应主动提醒术后复查生活视力或矫正视力结果。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42</w:t>
            </w:r>
            <w:r>
              <w:rPr>
                <w:rFonts w:hint="eastAsia" w:ascii="宋体" w:hAnsi="宋体" w:eastAsia="宋体" w:cs="宋体"/>
                <w:kern w:val="0"/>
                <w:sz w:val="24"/>
                <w:szCs w:val="24"/>
              </w:rPr>
              <w:t>复杂性视网膜脱离（手术治疗）（RD）</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术前宽视野眼底照相：需进行复杂性视网膜脱离手术的患者，系统应主动提醒术前应用眼底照相明确PVR分级，是否出现视网膜裂孔或出血。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术前眼部超声检查：需进行复杂性视网膜脱离手术的患者，系统应主动提醒术前完善眼部检查，推荐进行眼部超声检查。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术后眼底照相：需进行复杂性视网膜脱离手术的患者手术后，系统应主动提醒术后复查眼底，眼底照相。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OCT检查：需进行复杂性视网膜脱离手术的患者手术后，系统应主动提醒术后进行光学相干断层扫描检，对进行视神经乳头分析，测量RNFL厚度等。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43</w:t>
            </w:r>
            <w:r>
              <w:rPr>
                <w:rFonts w:hint="eastAsia" w:ascii="宋体" w:hAnsi="宋体" w:eastAsia="宋体" w:cs="宋体"/>
                <w:kern w:val="0"/>
                <w:sz w:val="24"/>
                <w:szCs w:val="24"/>
              </w:rPr>
              <w:t>围手术期预防感染（PIP）</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预防性抗菌药物种类：对进行手术的患者，系统应主动提醒应用预防性抗菌药物，建议选用第一、第二代头孢菌素。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预防性抗菌药物结束时间：对进行手术的患者，系统应主动提醒在术后24小时内停止预防性抗生素。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44</w:t>
            </w:r>
            <w:r>
              <w:rPr>
                <w:rFonts w:hint="eastAsia" w:ascii="宋体" w:hAnsi="宋体" w:eastAsia="宋体" w:cs="宋体"/>
                <w:kern w:val="0"/>
                <w:sz w:val="24"/>
                <w:szCs w:val="24"/>
              </w:rPr>
              <w:t>围手术期预防深静脉血栓栓塞（DVT）</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DVT评估：VTE风险评估结果为中高危的患者，系统应主动提醒应进行深静脉血栓wells评估。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D-二聚体检测：DVT临床中度可能的患者，系统应主动提醒推荐进行高敏D-二聚体检测。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DVT高危患者静脉超声复查：系统应主动提醒针对高危患者进行静脉加压超声检查，DVT临床高度可能，无论D-二聚体阴性或阳性的患者，若仅单次CUS阴性，建议1周内复查。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抗凝药出院带药：早期DVT肿瘤患者，系统应主动提醒医生开具抗凝药出院带药，建议首选低分子肝素抗凝，也可以使用维生素K拮抗剂或新型口服抗凝药物。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45</w:t>
            </w:r>
            <w:r>
              <w:rPr>
                <w:rFonts w:hint="eastAsia" w:ascii="宋体" w:hAnsi="宋体" w:eastAsia="宋体" w:cs="宋体"/>
                <w:kern w:val="0"/>
                <w:sz w:val="24"/>
                <w:szCs w:val="24"/>
              </w:rPr>
              <w:t>住院精神疾病（HBIPS）</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入院病情评估-自杀危险因素评估：患有精神疾病患者入院后，系统应主动提醒需进行自杀风险因素评估量表评估。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入院病情评估-攻击风险评估：患有精神疾病患者入院后，系统应主动提醒需进行攻击风险评估表评估。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入院病情评估-抑郁评估：患有精神疾病患者入院后，系统应主动提醒需进行汉密尔顿抑郁量表(HAMD)评估。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入院病情评估-阳性与阴性症状评估：患有精神疾病患者入院后，系统应主动提醒需进行阳性与阴性症状量表(PANSS)评估。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入院病情评估-日常生活能力评估：患有精神疾病患者入院后，系统应主动提醒需进行日常生活能力量表（ADL）评估。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入院病情评估-药物不良反应评估：患有精神疾病患者入院后，系统应主动提醒需进行药物不良反应量表（TESS）评估。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出院前社会功能评估-功能缺陷：患有精神疾病患者出院前，系统应主动提醒需进行社会功能损害量表（SDSS）评估。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出院前社会功能评估-精神病性评定：患有精神疾病患者出院前，系统应主动提醒需进行简明精神病性评定量表（BPRS）评估。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46</w:t>
            </w:r>
            <w:r>
              <w:rPr>
                <w:rFonts w:hint="eastAsia" w:ascii="宋体" w:hAnsi="宋体" w:eastAsia="宋体" w:cs="宋体"/>
                <w:kern w:val="0"/>
                <w:sz w:val="24"/>
                <w:szCs w:val="24"/>
              </w:rPr>
              <w:t>中高危风险患者预防静脉血栓栓塞症 (VTE)</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VTE预防措施：静脉血栓栓塞症的中高危风险患者入院后，系统应主动提醒中高危建议：物理预防（梯度弹力袜、动静脉脉冲系统、间歇充气加压装置、足底静脉泵）或药物预防（低分子肝素、利伐沙班等抗凝治疗）等预防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VTE预防措施：静脉血栓栓塞症的中高危风险患者入院后，系统应主动提醒中高危出血风险评估，高危建议：物理预防（梯度弹力袜、动静脉脉冲系统、间歇充气加压装置、足底静脉泵）。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47</w:t>
            </w:r>
            <w:r>
              <w:rPr>
                <w:rFonts w:hint="eastAsia" w:ascii="宋体" w:hAnsi="宋体" w:eastAsia="宋体" w:cs="宋体"/>
                <w:kern w:val="0"/>
                <w:sz w:val="24"/>
                <w:szCs w:val="24"/>
              </w:rPr>
              <w:t>感染性休克（SEP）早期治疗</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血培养：感染性休克患者入院后，系统应主动提醒尽快完善血培养检查。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血乳酸检测：感染性休克患者入院后，系统应主动提醒尽快完善血乳酸检查。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抗菌药物治疗：感染性休克患者入院后，系统应主动推荐抗菌药物在入院后或判断感染性休克以后尽快使用，最佳在1小时内，延迟不超过3小时。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血管超声检查：感染性休克患者入院后，系统应主动提醒医生对患者进行血管超声检查，多普勒超声检查可作为感染性休克患者DVT的常规检查方法。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预防深静脉血栓治疗：中度、高度DVT风险的感染性休克患者，系统应主动提醒采用低分子肝素预防。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48</w:t>
            </w:r>
            <w:r>
              <w:rPr>
                <w:rFonts w:hint="eastAsia" w:ascii="宋体" w:hAnsi="宋体" w:eastAsia="宋体" w:cs="宋体"/>
                <w:kern w:val="0"/>
                <w:sz w:val="24"/>
                <w:szCs w:val="24"/>
              </w:rPr>
              <w:t>儿童急性淋巴细胞白血病（初始诱导化疗） （ALL）</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完善检验项目：急性淋巴细胞白血病的儿童患者入院后，系统应主动提醒患儿需要进行入院后评估，包括血常规，凝血功能检查，生化检查等。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骨髓细胞学检查：急性淋巴细胞白血病的儿童患者入院后，系统应主动提醒医生对患者进行骨髓细胞学检查，按照FAB分类可分为L1,L2,L3三型，原始及幼稚淋巴细胞&gt;=20%。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白血病免疫分型检查：急性淋巴细胞白血病的儿童患者入院后，系统应主动提醒应用系列单克隆抗体对白血病细胞进行标记，确定白血病类型，分为T细胞型ALL和B细胞型ALL。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细胞遗传及分子生物学检查：急性淋巴细胞白血病的儿童患者入院后，系统应主动提醒医生对患者进行细胞遗传及分子生物学检查，用于发现白血病细胞染色体数目异常及易位、倒位、缺失等结构改变，或明确基因突变位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脑脊液检查：急性淋巴细胞白血病的儿童患者入院后，系统应主动提醒进行脑脊液检查（脑脊液检查是诊断是否合并中枢神经系统白血病的重要依据）。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影像学检查：急性淋巴细胞白血病的儿童患者入院后，系统应主动提醒根据病情选择相应部位的影像学检查，例如头颅CT，胸、腹部CT，头颅及其他位置MRI，相关脏器超声等。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MRD评估：急性淋巴细胞白血病的儿童患者入院后，系统应主动提醒医生患儿在诱导治疗早期、结束、巩固治疗前进行危险度评估治疗反应。MRD阳性患者在其后的治疗阶段追踪评估直至转阴。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49</w:t>
            </w:r>
            <w:r>
              <w:rPr>
                <w:rFonts w:hint="eastAsia" w:ascii="宋体" w:hAnsi="宋体" w:eastAsia="宋体" w:cs="宋体"/>
                <w:kern w:val="0"/>
                <w:sz w:val="24"/>
                <w:szCs w:val="24"/>
              </w:rPr>
              <w:t>儿童急性早幼粒细胞白血病（初始化疗）（APL）</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骨髓穿刺：急性早幼粒细胞白血病的儿童患者入院后，系统应主动提醒通过骨髓穿刺完善骨髓细胞形态学、免疫分型明确诊断。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检验项目完善：急性早幼粒细胞白血病的儿童患者入院后，系统应主动提醒进行总体评估，包括血常规，凝血功能检查，生化检查等。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细胞遗传及分子生物学检查：急性早幼粒细胞白血病的儿童患者入院后，系统应主动提醒医生对患者进行细胞遗传及分子生物学检查，用于发现白血病细胞染色体数目异常及易位、倒位、缺失等结构改变，可发现特异性染色体基因t(15;17)(q22;q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影像学检查：急性早幼粒细胞白血病的儿童患者入院后，系统应主动提醒医生必要时根据患儿病情开具相应影像学检查，例如胸、腹部CT、MRI，相关脏器超声等。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术前使用预防性抗菌药物：急性早幼粒细胞患儿普遍易感，急性早幼粒细胞白血病的儿童患者手术前，系统应主动提醒可根据病情使用抗菌药物预防感染。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50</w:t>
            </w:r>
            <w:r>
              <w:rPr>
                <w:rFonts w:hint="eastAsia" w:ascii="宋体" w:hAnsi="宋体" w:eastAsia="宋体" w:cs="宋体"/>
                <w:kern w:val="0"/>
                <w:sz w:val="24"/>
                <w:szCs w:val="24"/>
              </w:rPr>
              <w:t>甲状腺结节（手术治疗）（TN）</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术前甲状腺及淋巴结超声：甲状腺结节患者手术前，系统应主动提醒术前进行甲状腺及淋巴结超声检查。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术前甲状腺功能检测：甲状腺结节患者手术前，系统应主动提醒术前进行甲功5项检测。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术前甲状腺超声TI-RADS分级：甲状腺结节患者术前甲状腺超声检查后，系统应主动提醒进行TI-RADS分级评估。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甲状腺细针穿刺细胞学检查(FNA)：甲状腺结节患者手术前，若具有结节直径&gt;1cm，或结节直径&lt;=1cm且伴有颈部淋巴结超声结果异常，血清降钙素异常升高，童年颈部放射暴露史的情况，系统应主动推荐行FNA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术前预防性抗菌药物治疗：甲状腺结节患者手术前，系统应主动提醒头颈部手术可酌情使用第一、二代头孢菌素预防感染。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restart"/>
            <w:noWrap w:val="0"/>
            <w:vAlign w:val="center"/>
          </w:tcPr>
          <w:p>
            <w:pPr>
              <w:spacing w:line="400" w:lineRule="exact"/>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51</w:t>
            </w:r>
            <w:r>
              <w:rPr>
                <w:rFonts w:hint="eastAsia" w:ascii="宋体" w:hAnsi="宋体" w:eastAsia="宋体" w:cs="宋体"/>
                <w:kern w:val="0"/>
                <w:sz w:val="24"/>
                <w:szCs w:val="24"/>
              </w:rPr>
              <w:t>HBV 感染分娩母婴阻断</w:t>
            </w: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HBV-DNA检测：乙型肝炎病毒感染的女性妊娠患者入院后，系统应主动提醒进行乙型肝炎病毒核酸(HBV-DNA) 检测，需要明确母亲是否为HBV感染以及体内抗原抗体情况。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肝功能检测：乙型肝炎病毒感染的产妇入院后，系统应主动提醒医生建议完善肝脏功能检查。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肿瘤标记物检查：乙型肝炎病毒感染的女性妊娠患者入院后，系统应主动提醒医生可通过肿瘤标志物检测协助诊断、疗效评价、病情监测或治疗后随访监测等。主要关注AFP值。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腹部超声检查：乙型肝炎病毒感染的女性妊娠患者入院后，系统应主动提醒进行评估腹部超声，明确是否出现肝脏病变，或合并腹水等。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肝脏储备功能量化评估：乙型肝炎病毒感染的女性妊娠患者入院后，系统应主动提醒进行肝脏储备功能量化评估判断预后。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Apgar评分：乙型肝炎病毒感染并肝硬化的女性妊娠患者产后，系统应主动提醒立即进行Apgar评分，明确新生儿状态。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noWrap w:val="0"/>
            <w:vAlign w:val="center"/>
          </w:tcPr>
          <w:p>
            <w:pPr>
              <w:spacing w:line="400" w:lineRule="exact"/>
              <w:rPr>
                <w:rFonts w:hint="eastAsia" w:ascii="宋体" w:hAnsi="宋体" w:eastAsia="宋体" w:cs="宋体"/>
                <w:sz w:val="24"/>
                <w:szCs w:val="24"/>
              </w:rPr>
            </w:pPr>
          </w:p>
        </w:tc>
        <w:tc>
          <w:tcPr>
            <w:tcW w:w="1547" w:type="dxa"/>
            <w:vMerge w:val="continue"/>
            <w:noWrap w:val="0"/>
            <w:vAlign w:val="center"/>
          </w:tcPr>
          <w:p>
            <w:pPr>
              <w:spacing w:line="400" w:lineRule="exact"/>
              <w:rPr>
                <w:rFonts w:hint="eastAsia" w:ascii="宋体" w:hAnsi="宋体" w:eastAsia="宋体" w:cs="宋体"/>
                <w:kern w:val="0"/>
                <w:sz w:val="24"/>
                <w:szCs w:val="24"/>
              </w:rPr>
            </w:pPr>
          </w:p>
        </w:tc>
        <w:tc>
          <w:tcPr>
            <w:tcW w:w="6712" w:type="dxa"/>
            <w:noWrap w:val="0"/>
            <w:vAlign w:val="top"/>
          </w:tcPr>
          <w:p>
            <w:pPr>
              <w:kinsoku w:val="0"/>
              <w:overflowPunct w:val="0"/>
              <w:spacing w:line="400" w:lineRule="exact"/>
              <w:jc w:val="left"/>
              <w:rPr>
                <w:rFonts w:hint="eastAsia" w:ascii="宋体" w:hAnsi="宋体" w:eastAsia="宋体" w:cs="宋体"/>
                <w:kern w:val="0"/>
                <w:sz w:val="24"/>
                <w:szCs w:val="24"/>
              </w:rPr>
            </w:pPr>
            <w:r>
              <w:rPr>
                <w:rFonts w:hint="eastAsia" w:ascii="宋体" w:hAnsi="宋体" w:eastAsia="宋体" w:cs="宋体"/>
                <w:kern w:val="0"/>
                <w:sz w:val="24"/>
                <w:szCs w:val="24"/>
              </w:rPr>
              <w:t>新生儿预防接种：HBV感染分娩母婴阻断后，系统应主动提醒医生建议对婴儿进行预防接种“乙肝免疫”制剂。</w:t>
            </w:r>
          </w:p>
        </w:tc>
      </w:tr>
    </w:tbl>
    <w:p>
      <w:pPr>
        <w:numPr>
          <w:ilvl w:val="0"/>
          <w:numId w:val="0"/>
        </w:numPr>
        <w:spacing w:line="360" w:lineRule="auto"/>
        <w:ind w:left="840" w:leftChars="0"/>
        <w:rPr>
          <w:rFonts w:hint="eastAsia" w:ascii="宋体" w:hAnsi="宋体"/>
          <w:sz w:val="24"/>
          <w:szCs w:val="24"/>
          <w:lang w:eastAsia="zh-CN"/>
        </w:rPr>
      </w:pPr>
    </w:p>
    <w:p>
      <w:pPr>
        <w:numPr>
          <w:ilvl w:val="2"/>
          <w:numId w:val="3"/>
        </w:numPr>
        <w:spacing w:line="360" w:lineRule="auto"/>
        <w:ind w:left="709" w:leftChars="0" w:hanging="709" w:firstLineChars="0"/>
        <w:rPr>
          <w:rFonts w:hint="eastAsia" w:ascii="宋体" w:hAnsi="宋体"/>
          <w:sz w:val="24"/>
          <w:szCs w:val="24"/>
          <w:lang w:eastAsia="zh-CN"/>
        </w:rPr>
      </w:pPr>
      <w:r>
        <w:rPr>
          <w:rFonts w:hint="eastAsia" w:ascii="宋体" w:hAnsi="宋体"/>
          <w:sz w:val="24"/>
          <w:szCs w:val="24"/>
          <w:lang w:eastAsia="zh-CN"/>
        </w:rPr>
        <w:t>智能事后上报：</w:t>
      </w:r>
    </w:p>
    <w:p>
      <w:pPr>
        <w:numPr>
          <w:ilvl w:val="0"/>
          <w:numId w:val="6"/>
        </w:numPr>
        <w:spacing w:line="360" w:lineRule="auto"/>
        <w:ind w:left="1260" w:leftChars="0" w:hanging="420" w:firstLineChars="0"/>
        <w:rPr>
          <w:rFonts w:hint="eastAsia" w:ascii="宋体" w:hAnsi="宋体"/>
          <w:sz w:val="24"/>
          <w:szCs w:val="24"/>
          <w:lang w:eastAsia="zh-CN"/>
        </w:rPr>
      </w:pPr>
      <w:r>
        <w:rPr>
          <w:rFonts w:hint="eastAsia" w:ascii="宋体" w:hAnsi="宋体"/>
          <w:sz w:val="24"/>
          <w:szCs w:val="24"/>
          <w:lang w:eastAsia="zh-CN"/>
        </w:rPr>
        <w:t>利用语句分析的实现自动填报功能。通过与业务系统后端对接，获取病例的医嘱，检验，检查等数据，利用语义分析病例，结构化数据实现自动填报单病种上报的内容。</w:t>
      </w:r>
    </w:p>
    <w:p>
      <w:pPr>
        <w:numPr>
          <w:ilvl w:val="0"/>
          <w:numId w:val="6"/>
        </w:numPr>
        <w:spacing w:line="360" w:lineRule="auto"/>
        <w:ind w:left="1260" w:leftChars="0" w:hanging="420" w:firstLineChars="0"/>
        <w:rPr>
          <w:rFonts w:hint="eastAsia" w:ascii="宋体" w:hAnsi="宋体"/>
          <w:sz w:val="24"/>
          <w:szCs w:val="24"/>
        </w:rPr>
      </w:pPr>
      <w:r>
        <w:rPr>
          <w:rFonts w:hint="eastAsia" w:ascii="宋体" w:hAnsi="宋体"/>
          <w:sz w:val="24"/>
          <w:szCs w:val="24"/>
          <w:lang w:eastAsia="zh-CN"/>
        </w:rPr>
        <w:t>填报内容符合</w:t>
      </w:r>
      <w:r>
        <w:rPr>
          <w:rFonts w:hint="eastAsia" w:ascii="宋体" w:hAnsi="宋体"/>
          <w:sz w:val="24"/>
          <w:szCs w:val="24"/>
        </w:rPr>
        <w:t>国家卫生部医政司公布的《特定（单）病种质量管理手册》3.0版《单病种质量报告系统》要求。</w:t>
      </w:r>
    </w:p>
    <w:p>
      <w:pPr>
        <w:numPr>
          <w:ilvl w:val="0"/>
          <w:numId w:val="6"/>
        </w:numPr>
        <w:spacing w:line="360" w:lineRule="auto"/>
        <w:ind w:left="1260" w:leftChars="0" w:hanging="420" w:firstLineChars="0"/>
        <w:rPr>
          <w:rFonts w:hint="eastAsia" w:ascii="宋体" w:hAnsi="宋体"/>
          <w:sz w:val="24"/>
          <w:szCs w:val="24"/>
        </w:rPr>
      </w:pPr>
      <w:r>
        <w:rPr>
          <w:rFonts w:hint="eastAsia" w:ascii="宋体" w:hAnsi="宋体"/>
          <w:sz w:val="24"/>
          <w:szCs w:val="24"/>
          <w:lang w:eastAsia="zh-CN"/>
        </w:rPr>
        <w:t>每个病种自动填报内容需达到</w:t>
      </w:r>
      <w:r>
        <w:rPr>
          <w:rFonts w:hint="eastAsia" w:ascii="宋体" w:hAnsi="宋体"/>
          <w:sz w:val="24"/>
          <w:szCs w:val="24"/>
          <w:lang w:val="en-US" w:eastAsia="zh-CN"/>
        </w:rPr>
        <w:t>90%以上。</w:t>
      </w:r>
    </w:p>
    <w:p>
      <w:pPr>
        <w:spacing w:line="360" w:lineRule="auto"/>
        <w:ind w:left="779"/>
        <w:rPr>
          <w:rFonts w:hint="eastAsia" w:ascii="宋体" w:hAnsi="宋体"/>
          <w:sz w:val="24"/>
          <w:szCs w:val="24"/>
          <w:lang w:eastAsia="zh-CN"/>
        </w:rPr>
      </w:pPr>
      <w:r>
        <w:rPr>
          <w:rFonts w:hint="eastAsia" w:ascii="宋体" w:hAnsi="宋体"/>
          <w:sz w:val="24"/>
          <w:szCs w:val="24"/>
          <w:lang w:eastAsia="zh-CN"/>
        </w:rPr>
        <w:t>具体功能见下：</w:t>
      </w:r>
    </w:p>
    <w:tbl>
      <w:tblPr>
        <w:tblStyle w:val="11"/>
        <w:tblW w:w="8235"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96"/>
        <w:gridCol w:w="1976"/>
        <w:gridCol w:w="51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096" w:type="dxa"/>
            <w:vMerge w:val="restart"/>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数据筛选</w:t>
            </w:r>
          </w:p>
        </w:tc>
        <w:tc>
          <w:tcPr>
            <w:tcW w:w="1976" w:type="dxa"/>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病种覆盖</w:t>
            </w:r>
          </w:p>
        </w:tc>
        <w:tc>
          <w:tcPr>
            <w:tcW w:w="5163" w:type="dxa"/>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51个单病种及免费维护期内的新增病种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096" w:type="dxa"/>
            <w:vMerge w:val="continue"/>
            <w:noWrap/>
            <w:vAlign w:val="center"/>
          </w:tcPr>
          <w:p>
            <w:pPr>
              <w:jc w:val="center"/>
              <w:rPr>
                <w:rFonts w:hint="eastAsia" w:ascii="宋体" w:hAnsi="宋体" w:eastAsia="宋体" w:cs="宋体"/>
                <w:i w:val="0"/>
                <w:iCs w:val="0"/>
                <w:color w:val="000000"/>
                <w:sz w:val="22"/>
                <w:szCs w:val="22"/>
                <w:u w:val="none"/>
              </w:rPr>
            </w:pPr>
          </w:p>
        </w:tc>
        <w:tc>
          <w:tcPr>
            <w:tcW w:w="0" w:type="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上报患者筛选</w:t>
            </w:r>
          </w:p>
        </w:tc>
        <w:tc>
          <w:tcPr>
            <w:tcW w:w="5163" w:type="dxa"/>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根据病种上报要求，自动筛选符合上报要求的患者进行病种上报，如主要诊断，年龄要求等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 w:hRule="atLeast"/>
        </w:trPr>
        <w:tc>
          <w:tcPr>
            <w:tcW w:w="1096" w:type="dxa"/>
            <w:vMerge w:val="restart"/>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数据填报</w:t>
            </w:r>
          </w:p>
        </w:tc>
        <w:tc>
          <w:tcPr>
            <w:tcW w:w="0" w:type="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自动填报</w:t>
            </w:r>
          </w:p>
        </w:tc>
        <w:tc>
          <w:tcPr>
            <w:tcW w:w="5163" w:type="dxa"/>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ascii="宋体" w:hAnsi="宋体" w:cs="Segoe UI Symbol"/>
                <w:spacing w:val="2"/>
                <w:sz w:val="24"/>
              </w:rPr>
              <w:t>▲</w:t>
            </w:r>
            <w:r>
              <w:rPr>
                <w:rFonts w:hint="eastAsia" w:ascii="宋体" w:hAnsi="宋体" w:eastAsia="宋体" w:cs="宋体"/>
                <w:i w:val="0"/>
                <w:iCs w:val="0"/>
                <w:color w:val="000000"/>
                <w:kern w:val="0"/>
                <w:sz w:val="22"/>
                <w:szCs w:val="22"/>
                <w:u w:val="none"/>
                <w:lang w:val="en-US" w:eastAsia="zh-CN" w:bidi="ar"/>
              </w:rPr>
              <w:t>系统基于患者诊疗过程中的结构化信息（病历，检验，检查结果），利用各种信息化手段，实现自动填报病种相关上报项目内容，支持医生查阅，修改。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 w:hRule="atLeast"/>
        </w:trPr>
        <w:tc>
          <w:tcPr>
            <w:tcW w:w="1096" w:type="dxa"/>
            <w:vMerge w:val="continue"/>
            <w:noWrap/>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p>
        </w:tc>
        <w:tc>
          <w:tcPr>
            <w:tcW w:w="0" w:type="auto"/>
            <w:noWrap/>
            <w:vAlign w:val="center"/>
          </w:tcPr>
          <w:p>
            <w:pPr>
              <w:spacing w:line="400" w:lineRule="exact"/>
              <w:rPr>
                <w:rFonts w:hint="eastAsia" w:ascii="宋体" w:hAnsi="宋体" w:cs="Segoe UI Symbol"/>
                <w:spacing w:val="2"/>
                <w:kern w:val="2"/>
                <w:sz w:val="24"/>
                <w:szCs w:val="24"/>
                <w:lang w:val="en-US" w:eastAsia="zh-CN" w:bidi="ar-SA"/>
              </w:rPr>
            </w:pPr>
            <w:r>
              <w:rPr>
                <w:rFonts w:hint="eastAsia" w:ascii="宋体" w:hAnsi="宋体" w:cs="Segoe UI Symbol"/>
                <w:spacing w:val="2"/>
                <w:sz w:val="24"/>
              </w:rPr>
              <w:t>原始病历查询</w:t>
            </w:r>
          </w:p>
        </w:tc>
        <w:tc>
          <w:tcPr>
            <w:tcW w:w="5163" w:type="dxa"/>
            <w:noWrap w:val="0"/>
            <w:vAlign w:val="center"/>
          </w:tcPr>
          <w:p>
            <w:pPr>
              <w:autoSpaceDE w:val="0"/>
              <w:autoSpaceDN w:val="0"/>
              <w:adjustRightInd w:val="0"/>
              <w:spacing w:line="400" w:lineRule="exact"/>
              <w:jc w:val="left"/>
              <w:rPr>
                <w:rFonts w:ascii="宋体" w:hAnsi="宋体" w:cs="Segoe UI Symbol"/>
                <w:spacing w:val="2"/>
                <w:kern w:val="2"/>
                <w:sz w:val="24"/>
                <w:szCs w:val="24"/>
                <w:lang w:val="en-US" w:eastAsia="zh-CN" w:bidi="ar-SA"/>
              </w:rPr>
            </w:pPr>
            <w:r>
              <w:rPr>
                <w:rFonts w:ascii="宋体" w:hAnsi="宋体" w:cs="Segoe UI Symbol"/>
                <w:bCs/>
                <w:sz w:val="24"/>
              </w:rPr>
              <w:t>▲</w:t>
            </w:r>
            <w:r>
              <w:rPr>
                <w:rFonts w:hint="eastAsia" w:ascii="宋体" w:hAnsi="宋体" w:cs="Segoe UI Symbol"/>
                <w:spacing w:val="2"/>
                <w:sz w:val="24"/>
              </w:rPr>
              <w:t>系统应支持在填报内容界面进行该患者病历查询，包括患者</w:t>
            </w:r>
            <w:r>
              <w:rPr>
                <w:rFonts w:ascii="宋体" w:hAnsi="宋体" w:cs="Segoe UI Symbol"/>
                <w:spacing w:val="2"/>
                <w:sz w:val="24"/>
              </w:rPr>
              <w:t>ID</w:t>
            </w:r>
            <w:r>
              <w:rPr>
                <w:rFonts w:hint="eastAsia" w:ascii="宋体" w:hAnsi="宋体" w:cs="Segoe UI Symbol"/>
                <w:spacing w:val="2"/>
                <w:sz w:val="24"/>
              </w:rPr>
              <w:t>、姓名、性别、年龄、就诊次数、住院次数、门诊次数，以及该患者的原始病历信息。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0" w:type="auto"/>
            <w:vMerge w:val="restart"/>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数据管理</w:t>
            </w:r>
          </w:p>
        </w:tc>
        <w:tc>
          <w:tcPr>
            <w:tcW w:w="0" w:type="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填报补充</w:t>
            </w:r>
          </w:p>
        </w:tc>
        <w:tc>
          <w:tcPr>
            <w:tcW w:w="5163" w:type="dxa"/>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支持对系统自动筛选范围外的患者进行人工手工选择填报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0" w:type="auto"/>
            <w:vMerge w:val="continue"/>
            <w:noWrap/>
            <w:vAlign w:val="center"/>
          </w:tcPr>
          <w:p>
            <w:pPr>
              <w:jc w:val="center"/>
              <w:rPr>
                <w:rFonts w:hint="eastAsia" w:ascii="宋体" w:hAnsi="宋体" w:eastAsia="宋体" w:cs="宋体"/>
                <w:i w:val="0"/>
                <w:iCs w:val="0"/>
                <w:color w:val="000000"/>
                <w:sz w:val="22"/>
                <w:szCs w:val="22"/>
                <w:u w:val="none"/>
              </w:rPr>
            </w:pPr>
          </w:p>
        </w:tc>
        <w:tc>
          <w:tcPr>
            <w:tcW w:w="0" w:type="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填报补充</w:t>
            </w:r>
          </w:p>
        </w:tc>
        <w:tc>
          <w:tcPr>
            <w:tcW w:w="5163" w:type="dxa"/>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ascii="宋体" w:hAnsi="宋体" w:cs="Segoe UI Symbol"/>
                <w:spacing w:val="2"/>
                <w:sz w:val="24"/>
              </w:rPr>
              <w:t>▲</w:t>
            </w:r>
            <w:r>
              <w:rPr>
                <w:rFonts w:hint="eastAsia" w:ascii="宋体" w:hAnsi="宋体" w:cs="Segoe UI Symbol"/>
                <w:spacing w:val="2"/>
                <w:sz w:val="24"/>
              </w:rPr>
              <w:t xml:space="preserve"> </w:t>
            </w:r>
            <w:r>
              <w:rPr>
                <w:rFonts w:hint="eastAsia" w:ascii="宋体" w:hAnsi="宋体" w:eastAsia="宋体" w:cs="宋体"/>
                <w:i w:val="0"/>
                <w:iCs w:val="0"/>
                <w:color w:val="000000"/>
                <w:kern w:val="0"/>
                <w:sz w:val="22"/>
                <w:szCs w:val="22"/>
                <w:u w:val="none"/>
                <w:lang w:val="en-US" w:eastAsia="zh-CN" w:bidi="ar"/>
              </w:rPr>
              <w:t>支持对系统自动筛选范围内的患者，标记“无需上报”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0" w:type="auto"/>
            <w:vMerge w:val="continue"/>
            <w:noWrap/>
            <w:vAlign w:val="center"/>
          </w:tcPr>
          <w:p>
            <w:pPr>
              <w:jc w:val="center"/>
              <w:rPr>
                <w:rFonts w:hint="eastAsia" w:ascii="宋体" w:hAnsi="宋体" w:eastAsia="宋体" w:cs="宋体"/>
                <w:i w:val="0"/>
                <w:iCs w:val="0"/>
                <w:color w:val="000000"/>
                <w:sz w:val="22"/>
                <w:szCs w:val="22"/>
                <w:u w:val="none"/>
              </w:rPr>
            </w:pPr>
          </w:p>
        </w:tc>
        <w:tc>
          <w:tcPr>
            <w:tcW w:w="0" w:type="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病种漏报</w:t>
            </w:r>
          </w:p>
        </w:tc>
        <w:tc>
          <w:tcPr>
            <w:tcW w:w="5163" w:type="dxa"/>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支持通过对填报状态查询，查询漏报，应报患者。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0" w:type="auto"/>
            <w:vMerge w:val="restart"/>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数据统计</w:t>
            </w:r>
          </w:p>
        </w:tc>
        <w:tc>
          <w:tcPr>
            <w:tcW w:w="1976" w:type="dxa"/>
            <w:vMerge w:val="restart"/>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病种上报统计</w:t>
            </w:r>
          </w:p>
        </w:tc>
        <w:tc>
          <w:tcPr>
            <w:tcW w:w="5163" w:type="dxa"/>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支持查看全院及各科室病种上报情况，如例数，填报比例等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0" w:type="auto"/>
            <w:vMerge w:val="continue"/>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976" w:type="dxa"/>
            <w:vMerge w:val="continue"/>
            <w:noWrap/>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p>
        </w:tc>
        <w:tc>
          <w:tcPr>
            <w:tcW w:w="5163" w:type="dxa"/>
            <w:noWrap w:val="0"/>
            <w:vAlign w:val="center"/>
          </w:tcPr>
          <w:p>
            <w:pPr>
              <w:pStyle w:val="14"/>
              <w:kinsoku w:val="0"/>
              <w:overflowPunct w:val="0"/>
              <w:spacing w:line="400" w:lineRule="exact"/>
              <w:jc w:val="left"/>
              <w:rPr>
                <w:rFonts w:ascii="宋体" w:hAnsi="宋体"/>
                <w:bCs/>
                <w:szCs w:val="24"/>
              </w:rPr>
            </w:pPr>
            <w:r>
              <w:rPr>
                <w:rFonts w:ascii="宋体" w:hAnsi="宋体"/>
                <w:bCs/>
                <w:szCs w:val="24"/>
              </w:rPr>
              <w:t>系统支持通过上报患者查看病种病种上报情况，包括</w:t>
            </w:r>
            <w:r>
              <w:rPr>
                <w:rFonts w:hint="eastAsia" w:ascii="宋体" w:hAnsi="宋体"/>
                <w:bCs/>
                <w:szCs w:val="24"/>
              </w:rPr>
              <w:t>：</w:t>
            </w:r>
          </w:p>
          <w:p>
            <w:pPr>
              <w:kinsoku w:val="0"/>
              <w:overflowPunct w:val="0"/>
              <w:spacing w:line="400" w:lineRule="exact"/>
              <w:jc w:val="left"/>
              <w:rPr>
                <w:rFonts w:hint="eastAsia" w:ascii="宋体" w:hAnsi="宋体" w:cs="Segoe UI Symbol"/>
                <w:spacing w:val="2"/>
                <w:kern w:val="2"/>
                <w:sz w:val="24"/>
                <w:szCs w:val="24"/>
                <w:lang w:val="en-US" w:eastAsia="zh-CN" w:bidi="ar-SA"/>
              </w:rPr>
            </w:pPr>
            <w:r>
              <w:rPr>
                <w:rFonts w:ascii="宋体" w:hAnsi="宋体" w:cs="Segoe UI Symbol"/>
                <w:spacing w:val="2"/>
                <w:sz w:val="24"/>
              </w:rPr>
              <w:t>▲</w:t>
            </w:r>
            <w:r>
              <w:rPr>
                <w:rFonts w:hint="eastAsia" w:ascii="宋体" w:hAnsi="宋体" w:cs="Segoe UI Symbol"/>
                <w:spacing w:val="2"/>
                <w:sz w:val="24"/>
              </w:rPr>
              <w:t xml:space="preserve"> </w:t>
            </w:r>
            <w:r>
              <w:rPr>
                <w:rFonts w:hint="eastAsia" w:ascii="宋体" w:hAnsi="宋体"/>
                <w:bCs/>
                <w:sz w:val="24"/>
              </w:rPr>
              <w:t>病种上报例数：</w:t>
            </w:r>
            <w:r>
              <w:rPr>
                <w:rFonts w:ascii="宋体" w:hAnsi="宋体"/>
                <w:bCs/>
                <w:sz w:val="24"/>
              </w:rPr>
              <w:t>病种上报例数汇总</w:t>
            </w:r>
            <w:r>
              <w:rPr>
                <w:rFonts w:hint="eastAsia" w:ascii="宋体" w:hAnsi="宋体"/>
                <w:bCs/>
                <w:sz w:val="24"/>
              </w:rPr>
              <w:t>、病种上报趋势、病种上报分布；以及病种上报率、病种及时率、病种上报排名等。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0" w:type="auto"/>
            <w:vMerge w:val="continue"/>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976" w:type="dxa"/>
            <w:vMerge w:val="continue"/>
            <w:noWrap/>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p>
        </w:tc>
        <w:tc>
          <w:tcPr>
            <w:tcW w:w="5163" w:type="dxa"/>
            <w:noWrap w:val="0"/>
            <w:vAlign w:val="center"/>
          </w:tcPr>
          <w:p>
            <w:pPr>
              <w:kinsoku w:val="0"/>
              <w:overflowPunct w:val="0"/>
              <w:spacing w:line="400" w:lineRule="exact"/>
              <w:jc w:val="left"/>
              <w:rPr>
                <w:rFonts w:hint="eastAsia" w:ascii="宋体" w:hAnsi="宋体" w:cs="Segoe UI Symbol"/>
                <w:bCs/>
                <w:kern w:val="2"/>
                <w:sz w:val="24"/>
                <w:szCs w:val="24"/>
                <w:lang w:val="en-US" w:eastAsia="zh-CN" w:bidi="ar-SA"/>
              </w:rPr>
            </w:pPr>
            <w:r>
              <w:rPr>
                <w:rFonts w:hint="eastAsia" w:ascii="宋体" w:hAnsi="宋体"/>
                <w:bCs/>
                <w:sz w:val="24"/>
              </w:rPr>
              <w:t>病种上报例数，可包含：今日上报数（环比、同比）、本月上报数（环比、同比）、本年上报数（同比）、累计上报数，并支持页面置顶展示。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0" w:type="auto"/>
            <w:vMerge w:val="continue"/>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976" w:type="dxa"/>
            <w:vMerge w:val="continue"/>
            <w:noWrap/>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p>
        </w:tc>
        <w:tc>
          <w:tcPr>
            <w:tcW w:w="5163" w:type="dxa"/>
            <w:noWrap w:val="0"/>
            <w:vAlign w:val="center"/>
          </w:tcPr>
          <w:p>
            <w:pPr>
              <w:kinsoku w:val="0"/>
              <w:overflowPunct w:val="0"/>
              <w:spacing w:line="400" w:lineRule="exact"/>
              <w:jc w:val="left"/>
              <w:rPr>
                <w:rFonts w:hint="eastAsia" w:ascii="宋体" w:hAnsi="宋体"/>
                <w:bCs/>
                <w:kern w:val="2"/>
                <w:sz w:val="24"/>
                <w:szCs w:val="24"/>
                <w:lang w:val="en-US" w:eastAsia="zh-CN" w:bidi="ar-SA"/>
              </w:rPr>
            </w:pPr>
            <w:r>
              <w:rPr>
                <w:rFonts w:hint="eastAsia" w:ascii="宋体" w:hAnsi="宋体"/>
                <w:bCs/>
                <w:sz w:val="24"/>
              </w:rPr>
              <w:t>系统可根据科室、病种分类、病种名称、年、月等维度选择查询病种统计数据，应至少包括：已上报例数、上报科室、上报病种、病种分布、病种费用、住院天数、病种平均费用、上报排名、年龄分布、患者性别分布等项目的详细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0" w:type="auto"/>
            <w:vMerge w:val="continue"/>
            <w:noWrap/>
            <w:vAlign w:val="center"/>
          </w:tcPr>
          <w:p>
            <w:pPr>
              <w:jc w:val="center"/>
              <w:rPr>
                <w:rFonts w:hint="eastAsia" w:ascii="宋体" w:hAnsi="宋体" w:eastAsia="宋体" w:cs="宋体"/>
                <w:i w:val="0"/>
                <w:iCs w:val="0"/>
                <w:color w:val="000000"/>
                <w:sz w:val="22"/>
                <w:szCs w:val="22"/>
                <w:u w:val="none"/>
              </w:rPr>
            </w:pPr>
          </w:p>
        </w:tc>
        <w:tc>
          <w:tcPr>
            <w:tcW w:w="0" w:type="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病案填报内容统计</w:t>
            </w:r>
          </w:p>
        </w:tc>
        <w:tc>
          <w:tcPr>
            <w:tcW w:w="5163" w:type="dxa"/>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支持查看各病种的费用，住院日、年龄、出院人次等变化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0" w:type="auto"/>
            <w:vMerge w:val="continue"/>
            <w:noWrap/>
            <w:vAlign w:val="center"/>
          </w:tcPr>
          <w:p>
            <w:pPr>
              <w:jc w:val="center"/>
              <w:rPr>
                <w:rFonts w:hint="eastAsia" w:ascii="宋体" w:hAnsi="宋体" w:eastAsia="宋体" w:cs="宋体"/>
                <w:i w:val="0"/>
                <w:iCs w:val="0"/>
                <w:color w:val="000000"/>
                <w:sz w:val="22"/>
                <w:szCs w:val="22"/>
                <w:u w:val="none"/>
              </w:rPr>
            </w:pPr>
          </w:p>
        </w:tc>
        <w:tc>
          <w:tcPr>
            <w:tcW w:w="0" w:type="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病种数据明细</w:t>
            </w:r>
          </w:p>
        </w:tc>
        <w:tc>
          <w:tcPr>
            <w:tcW w:w="5163" w:type="dxa"/>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支持查看填报科室明细数据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0" w:type="auto"/>
            <w:vMerge w:val="restart"/>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数据对接</w:t>
            </w:r>
          </w:p>
        </w:tc>
        <w:tc>
          <w:tcPr>
            <w:tcW w:w="0" w:type="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院内数据来源</w:t>
            </w:r>
          </w:p>
        </w:tc>
        <w:tc>
          <w:tcPr>
            <w:tcW w:w="5163" w:type="dxa"/>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对接院内系统：HIS、lis、ris、集成平台、人员信息管理系统等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0" w:type="auto"/>
            <w:vMerge w:val="continue"/>
            <w:noWrap/>
            <w:vAlign w:val="center"/>
          </w:tcPr>
          <w:p>
            <w:pPr>
              <w:jc w:val="center"/>
              <w:rPr>
                <w:rFonts w:hint="eastAsia" w:ascii="宋体" w:hAnsi="宋体" w:eastAsia="宋体" w:cs="宋体"/>
                <w:i w:val="0"/>
                <w:iCs w:val="0"/>
                <w:color w:val="000000"/>
                <w:sz w:val="22"/>
                <w:szCs w:val="22"/>
                <w:u w:val="none"/>
              </w:rPr>
            </w:pPr>
          </w:p>
        </w:tc>
        <w:tc>
          <w:tcPr>
            <w:tcW w:w="0" w:type="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国家单病种平台</w:t>
            </w:r>
          </w:p>
        </w:tc>
        <w:tc>
          <w:tcPr>
            <w:tcW w:w="5163" w:type="dxa"/>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支持通过前置机直接对接</w:t>
            </w:r>
            <w:r>
              <w:rPr>
                <w:rFonts w:hint="eastAsia" w:ascii="宋体" w:hAnsi="宋体"/>
                <w:sz w:val="24"/>
                <w:szCs w:val="24"/>
              </w:rPr>
              <w:t>卫</w:t>
            </w:r>
            <w:r>
              <w:rPr>
                <w:rFonts w:hint="eastAsia" w:ascii="宋体" w:hAnsi="宋体"/>
                <w:sz w:val="24"/>
                <w:szCs w:val="24"/>
                <w:lang w:eastAsia="zh-CN"/>
              </w:rPr>
              <w:t>健委</w:t>
            </w:r>
            <w:r>
              <w:rPr>
                <w:rFonts w:hint="eastAsia" w:ascii="宋体" w:hAnsi="宋体"/>
                <w:sz w:val="24"/>
                <w:szCs w:val="24"/>
              </w:rPr>
              <w:t>医政司主办的《单病种质量</w:t>
            </w:r>
            <w:r>
              <w:rPr>
                <w:rFonts w:hint="eastAsia" w:ascii="宋体" w:hAnsi="宋体"/>
                <w:sz w:val="24"/>
                <w:szCs w:val="24"/>
                <w:lang w:eastAsia="zh-CN"/>
              </w:rPr>
              <w:t>管理与控制平台</w:t>
            </w:r>
            <w:r>
              <w:rPr>
                <w:rFonts w:hint="eastAsia" w:ascii="宋体" w:hAnsi="宋体"/>
                <w:sz w:val="24"/>
                <w:szCs w:val="24"/>
              </w:rPr>
              <w:t>》</w:t>
            </w:r>
            <w:r>
              <w:rPr>
                <w:rFonts w:hint="eastAsia" w:ascii="宋体" w:hAnsi="宋体" w:eastAsia="宋体" w:cs="宋体"/>
                <w:i w:val="0"/>
                <w:iCs w:val="0"/>
                <w:color w:val="000000"/>
                <w:kern w:val="0"/>
                <w:sz w:val="22"/>
                <w:szCs w:val="22"/>
                <w:u w:val="none"/>
                <w:lang w:val="en-US" w:eastAsia="zh-CN" w:bidi="ar"/>
              </w:rPr>
              <w:t>，实现病种数据上报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0" w:type="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系统管理</w:t>
            </w:r>
          </w:p>
        </w:tc>
        <w:tc>
          <w:tcPr>
            <w:tcW w:w="0" w:type="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用户角色管理</w:t>
            </w:r>
          </w:p>
        </w:tc>
        <w:tc>
          <w:tcPr>
            <w:tcW w:w="5163" w:type="dxa"/>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支持定义角色权限、支持维护用户的角色；支持定义用户上报病种范围</w:t>
            </w:r>
          </w:p>
        </w:tc>
      </w:tr>
    </w:tbl>
    <w:p>
      <w:pPr>
        <w:spacing w:line="360" w:lineRule="auto"/>
        <w:rPr>
          <w:rFonts w:hint="eastAsia" w:ascii="宋体" w:hAnsi="宋体"/>
          <w:b/>
          <w:sz w:val="24"/>
          <w:szCs w:val="24"/>
        </w:rPr>
      </w:pPr>
    </w:p>
    <w:p>
      <w:pPr>
        <w:numPr>
          <w:ilvl w:val="1"/>
          <w:numId w:val="3"/>
        </w:numPr>
        <w:spacing w:line="360" w:lineRule="auto"/>
        <w:ind w:left="567" w:leftChars="0" w:hanging="567" w:firstLineChars="0"/>
        <w:rPr>
          <w:rFonts w:hint="eastAsia" w:ascii="宋体" w:hAnsi="宋体" w:eastAsia="宋体"/>
          <w:b/>
          <w:sz w:val="24"/>
          <w:szCs w:val="24"/>
          <w:lang w:eastAsia="zh-CN"/>
        </w:rPr>
      </w:pPr>
      <w:r>
        <w:rPr>
          <w:rFonts w:ascii="宋体" w:hAnsi="宋体"/>
          <w:b/>
          <w:sz w:val="24"/>
          <w:szCs w:val="24"/>
        </w:rPr>
        <w:fldChar w:fldCharType="begin"/>
      </w:r>
      <w:r>
        <w:rPr>
          <w:rFonts w:ascii="宋体" w:hAnsi="宋体"/>
          <w:b/>
          <w:sz w:val="24"/>
          <w:szCs w:val="24"/>
        </w:rPr>
        <w:instrText xml:space="preserve"> HYPERLINK "http://feiye.blog.51cto.com/" \l "_Toc176256162#_Toc176256162" </w:instrText>
      </w:r>
      <w:r>
        <w:rPr>
          <w:rFonts w:ascii="宋体" w:hAnsi="宋体"/>
          <w:b/>
          <w:sz w:val="24"/>
          <w:szCs w:val="24"/>
        </w:rPr>
        <w:fldChar w:fldCharType="separate"/>
      </w:r>
      <w:bookmarkStart w:id="0" w:name="_Hlt515461897"/>
      <w:bookmarkEnd w:id="0"/>
      <w:bookmarkStart w:id="1" w:name="_Hlt515461898"/>
      <w:bookmarkEnd w:id="1"/>
      <w:bookmarkStart w:id="2" w:name="_Hlt515461899"/>
      <w:bookmarkEnd w:id="2"/>
      <w:bookmarkStart w:id="3" w:name="_Hlt515461902"/>
      <w:bookmarkEnd w:id="3"/>
      <w:bookmarkStart w:id="4" w:name="_Hlt515461905"/>
      <w:bookmarkEnd w:id="4"/>
      <w:bookmarkStart w:id="5" w:name="_Hlt515461904"/>
      <w:bookmarkEnd w:id="5"/>
      <w:r>
        <w:rPr>
          <w:rFonts w:hint="eastAsia" w:ascii="宋体" w:hAnsi="宋体"/>
          <w:b/>
          <w:sz w:val="24"/>
          <w:szCs w:val="24"/>
        </w:rPr>
        <w:t>接口</w:t>
      </w:r>
      <w:r>
        <w:rPr>
          <w:rFonts w:ascii="宋体" w:hAnsi="宋体"/>
          <w:b/>
          <w:sz w:val="24"/>
          <w:szCs w:val="24"/>
        </w:rPr>
        <w:fldChar w:fldCharType="end"/>
      </w:r>
      <w:r>
        <w:rPr>
          <w:rFonts w:hint="eastAsia" w:ascii="宋体" w:hAnsi="宋体"/>
          <w:b/>
          <w:sz w:val="24"/>
          <w:szCs w:val="24"/>
          <w:lang w:eastAsia="zh-CN"/>
        </w:rPr>
        <w:t>要求</w:t>
      </w:r>
    </w:p>
    <w:p>
      <w:pPr>
        <w:numPr>
          <w:ilvl w:val="0"/>
          <w:numId w:val="7"/>
        </w:numPr>
        <w:spacing w:line="360" w:lineRule="auto"/>
        <w:ind w:left="1199" w:leftChars="171" w:hanging="840" w:hangingChars="350"/>
        <w:rPr>
          <w:rFonts w:hint="eastAsia" w:ascii="宋体" w:hAnsi="宋体"/>
          <w:sz w:val="24"/>
          <w:szCs w:val="24"/>
          <w:lang w:val="en-US" w:eastAsia="zh-CN"/>
        </w:rPr>
      </w:pPr>
      <w:r>
        <w:rPr>
          <w:rFonts w:hint="eastAsia" w:ascii="宋体" w:hAnsi="宋体"/>
          <w:sz w:val="24"/>
          <w:szCs w:val="24"/>
          <w:lang w:val="en-US" w:eastAsia="zh-CN"/>
        </w:rPr>
        <w:t>接口按《医院信息系统功能基本规范》《电子病历系统功能规范》和《电子病历系统功能应用水平分级评价方法及标准》需达到5级以上标准。</w:t>
      </w:r>
    </w:p>
    <w:p>
      <w:pPr>
        <w:numPr>
          <w:ilvl w:val="0"/>
          <w:numId w:val="7"/>
        </w:numPr>
        <w:spacing w:line="360" w:lineRule="auto"/>
        <w:ind w:left="1199" w:leftChars="171" w:hanging="840" w:hangingChars="350"/>
        <w:rPr>
          <w:rFonts w:hint="default"/>
          <w:lang w:val="en-US" w:eastAsia="zh-CN"/>
        </w:rPr>
      </w:pPr>
      <w:r>
        <w:rPr>
          <w:rFonts w:hint="eastAsia" w:ascii="宋体" w:hAnsi="宋体"/>
          <w:sz w:val="24"/>
          <w:szCs w:val="24"/>
          <w:lang w:val="en-US" w:eastAsia="zh-CN"/>
        </w:rPr>
        <w:t>负责与院内集成平台、对外数据服务、统一登录系统、院内第三方业务系统（his，病历系统，检验系统，检查系统等）。尽可能少的前端业务系统对接。</w:t>
      </w:r>
    </w:p>
    <w:p>
      <w:pPr>
        <w:pStyle w:val="2"/>
        <w:rPr>
          <w:rFonts w:hint="default"/>
          <w:lang w:val="en-US" w:eastAsia="zh-CN"/>
        </w:rPr>
      </w:pPr>
      <w:r>
        <w:rPr>
          <w:rFonts w:hint="eastAsia" w:ascii="宋体" w:hAnsi="宋体"/>
          <w:sz w:val="24"/>
          <w:szCs w:val="24"/>
          <w:lang w:val="en-US" w:eastAsia="zh-CN"/>
        </w:rPr>
        <w:t>3、相关评分表对接院内数字签名，病案归档系统。</w:t>
      </w:r>
    </w:p>
    <w:p>
      <w:pPr>
        <w:pStyle w:val="3"/>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4"/>
          <w:szCs w:val="24"/>
        </w:rPr>
      </w:pPr>
      <w:r>
        <w:rPr>
          <w:rFonts w:hint="eastAsia" w:ascii="宋体" w:hAnsi="宋体" w:eastAsia="宋体" w:cs="宋体"/>
          <w:sz w:val="24"/>
          <w:szCs w:val="24"/>
        </w:rPr>
        <w:t>项目工期及实施要求</w:t>
      </w:r>
    </w:p>
    <w:p>
      <w:pPr>
        <w:pStyle w:val="3"/>
        <w:pageBreakBefore w:val="0"/>
        <w:widowControl w:val="0"/>
        <w:numPr>
          <w:ilvl w:val="1"/>
          <w:numId w:val="3"/>
        </w:numPr>
        <w:tabs>
          <w:tab w:val="left" w:pos="3531"/>
        </w:tabs>
        <w:kinsoku/>
        <w:wordWrap/>
        <w:overflowPunct/>
        <w:topLinePunct w:val="0"/>
        <w:autoSpaceDE/>
        <w:autoSpaceDN/>
        <w:bidi w:val="0"/>
        <w:adjustRightInd/>
        <w:snapToGrid/>
        <w:spacing w:line="360" w:lineRule="auto"/>
        <w:ind w:left="567" w:leftChars="0" w:hanging="567" w:firstLineChars="0"/>
        <w:textAlignment w:val="auto"/>
        <w:rPr>
          <w:rFonts w:hint="eastAsia" w:ascii="宋体" w:hAnsi="宋体" w:eastAsia="宋体" w:cs="宋体"/>
          <w:sz w:val="24"/>
          <w:szCs w:val="24"/>
        </w:rPr>
      </w:pPr>
      <w:r>
        <w:rPr>
          <w:rFonts w:hint="eastAsia" w:ascii="宋体" w:hAnsi="宋体" w:eastAsia="宋体" w:cs="宋体"/>
          <w:sz w:val="24"/>
          <w:szCs w:val="24"/>
        </w:rPr>
        <w:t>项目工期</w:t>
      </w:r>
      <w:r>
        <w:rPr>
          <w:rFonts w:hint="eastAsia" w:ascii="宋体" w:hAnsi="宋体" w:cs="宋体"/>
          <w:sz w:val="24"/>
          <w:szCs w:val="24"/>
          <w:lang w:eastAsia="zh-CN"/>
        </w:rPr>
        <w:tab/>
      </w:r>
      <w:bookmarkStart w:id="8" w:name="_GoBack"/>
      <w:bookmarkEnd w:id="8"/>
    </w:p>
    <w:p>
      <w:pPr>
        <w:pageBreakBefore w:val="0"/>
        <w:widowControl w:val="0"/>
        <w:numPr>
          <w:ilvl w:val="0"/>
          <w:numId w:val="8"/>
        </w:numPr>
        <w:tabs>
          <w:tab w:val="left" w:pos="420"/>
        </w:tabs>
        <w:kinsoku/>
        <w:wordWrap/>
        <w:overflowPunct/>
        <w:topLinePunct w:val="0"/>
        <w:autoSpaceDE/>
        <w:autoSpaceDN/>
        <w:bidi w:val="0"/>
        <w:adjustRightInd/>
        <w:snapToGrid/>
        <w:spacing w:before="156" w:line="360" w:lineRule="auto"/>
        <w:ind w:left="420" w:firstLine="480"/>
        <w:textAlignment w:val="auto"/>
        <w:outlineLvl w:val="0"/>
        <w:rPr>
          <w:rFonts w:hint="eastAsia" w:ascii="宋体" w:hAnsi="宋体" w:eastAsia="宋体" w:cs="宋体"/>
          <w:sz w:val="24"/>
          <w:szCs w:val="24"/>
        </w:rPr>
      </w:pPr>
      <w:r>
        <w:rPr>
          <w:rFonts w:hint="eastAsia" w:ascii="宋体" w:hAnsi="宋体" w:eastAsia="宋体" w:cs="宋体"/>
          <w:sz w:val="24"/>
          <w:szCs w:val="24"/>
        </w:rPr>
        <w:t>自合同签订日起，</w:t>
      </w:r>
      <w:r>
        <w:rPr>
          <w:rFonts w:hint="eastAsia" w:ascii="宋体" w:hAnsi="宋体" w:eastAsia="宋体" w:cs="宋体"/>
          <w:sz w:val="24"/>
          <w:szCs w:val="24"/>
          <w:lang w:eastAsia="zh-CN"/>
        </w:rPr>
        <w:t>服务商</w:t>
      </w:r>
      <w:r>
        <w:rPr>
          <w:rFonts w:hint="eastAsia" w:ascii="宋体" w:hAnsi="宋体" w:eastAsia="宋体" w:cs="宋体"/>
          <w:sz w:val="24"/>
          <w:szCs w:val="24"/>
        </w:rPr>
        <w:t>须在</w:t>
      </w:r>
      <w:r>
        <w:rPr>
          <w:rFonts w:hint="eastAsia" w:ascii="宋体" w:hAnsi="宋体" w:eastAsia="宋体" w:cs="宋体"/>
          <w:sz w:val="24"/>
          <w:szCs w:val="24"/>
          <w:lang w:val="en-US" w:eastAsia="zh-CN"/>
        </w:rPr>
        <w:t>30</w:t>
      </w:r>
      <w:r>
        <w:rPr>
          <w:rFonts w:hint="eastAsia" w:ascii="宋体" w:hAnsi="宋体" w:eastAsia="宋体" w:cs="宋体"/>
          <w:sz w:val="24"/>
          <w:szCs w:val="24"/>
        </w:rPr>
        <w:t>个工作日内对《用户需求说明书》进行补充、确认或提出意见。</w:t>
      </w:r>
    </w:p>
    <w:p>
      <w:pPr>
        <w:pageBreakBefore w:val="0"/>
        <w:widowControl w:val="0"/>
        <w:numPr>
          <w:ilvl w:val="0"/>
          <w:numId w:val="8"/>
        </w:numPr>
        <w:kinsoku/>
        <w:wordWrap/>
        <w:overflowPunct/>
        <w:topLinePunct w:val="0"/>
        <w:autoSpaceDE/>
        <w:autoSpaceDN/>
        <w:bidi w:val="0"/>
        <w:adjustRightInd/>
        <w:snapToGrid/>
        <w:spacing w:before="156" w:line="360" w:lineRule="auto"/>
        <w:ind w:left="420" w:firstLine="480"/>
        <w:textAlignment w:val="auto"/>
        <w:outlineLvl w:val="0"/>
        <w:rPr>
          <w:rFonts w:hint="eastAsia" w:ascii="宋体" w:hAnsi="宋体" w:eastAsia="宋体" w:cs="宋体"/>
          <w:sz w:val="24"/>
          <w:szCs w:val="24"/>
        </w:rPr>
      </w:pPr>
      <w:r>
        <w:rPr>
          <w:rFonts w:hint="eastAsia" w:ascii="宋体" w:hAnsi="宋体" w:eastAsia="宋体" w:cs="宋体"/>
          <w:sz w:val="24"/>
          <w:szCs w:val="24"/>
          <w:lang w:eastAsia="zh-CN"/>
        </w:rPr>
        <w:t>服务商</w:t>
      </w:r>
      <w:r>
        <w:rPr>
          <w:rFonts w:hint="eastAsia" w:ascii="宋体" w:hAnsi="宋体" w:eastAsia="宋体" w:cs="宋体"/>
          <w:sz w:val="24"/>
          <w:szCs w:val="24"/>
        </w:rPr>
        <w:t>对《用户需求说明书》提出意见后，</w:t>
      </w:r>
      <w:r>
        <w:rPr>
          <w:rFonts w:hint="eastAsia" w:ascii="宋体" w:hAnsi="宋体" w:eastAsia="宋体" w:cs="宋体"/>
          <w:sz w:val="24"/>
          <w:szCs w:val="24"/>
          <w:lang w:eastAsia="zh-CN"/>
        </w:rPr>
        <w:t>院方</w:t>
      </w:r>
      <w:r>
        <w:rPr>
          <w:rFonts w:hint="eastAsia" w:ascii="宋体" w:hAnsi="宋体" w:eastAsia="宋体" w:cs="宋体"/>
          <w:sz w:val="24"/>
          <w:szCs w:val="24"/>
        </w:rPr>
        <w:t>组织进行用户需求调研，</w:t>
      </w:r>
      <w:r>
        <w:rPr>
          <w:rFonts w:hint="eastAsia" w:ascii="宋体" w:hAnsi="宋体" w:eastAsia="宋体" w:cs="宋体"/>
          <w:sz w:val="24"/>
          <w:szCs w:val="24"/>
          <w:lang w:eastAsia="zh-CN"/>
        </w:rPr>
        <w:t>服务商</w:t>
      </w:r>
      <w:r>
        <w:rPr>
          <w:rFonts w:hint="eastAsia" w:ascii="宋体" w:hAnsi="宋体" w:eastAsia="宋体" w:cs="宋体"/>
          <w:sz w:val="24"/>
          <w:szCs w:val="24"/>
        </w:rPr>
        <w:t>根据调研情况提供业务调研记录、现况分析、功能设计及说明，甲、乙双方共同整理并在</w:t>
      </w:r>
      <w:r>
        <w:rPr>
          <w:rFonts w:hint="eastAsia" w:ascii="宋体" w:hAnsi="宋体" w:cs="宋体"/>
          <w:sz w:val="24"/>
          <w:szCs w:val="24"/>
          <w:u w:val="single"/>
          <w:lang w:val="en-US" w:eastAsia="zh-CN"/>
        </w:rPr>
        <w:t>20</w:t>
      </w:r>
      <w:r>
        <w:rPr>
          <w:rFonts w:hint="eastAsia" w:ascii="宋体" w:hAnsi="宋体" w:eastAsia="宋体" w:cs="宋体"/>
          <w:sz w:val="24"/>
          <w:szCs w:val="24"/>
        </w:rPr>
        <w:t>个工作日内确认《需求规格说明书》。</w:t>
      </w:r>
    </w:p>
    <w:p>
      <w:pPr>
        <w:pageBreakBefore w:val="0"/>
        <w:widowControl w:val="0"/>
        <w:numPr>
          <w:ilvl w:val="0"/>
          <w:numId w:val="8"/>
        </w:numPr>
        <w:kinsoku/>
        <w:wordWrap/>
        <w:overflowPunct/>
        <w:topLinePunct w:val="0"/>
        <w:autoSpaceDE/>
        <w:autoSpaceDN/>
        <w:bidi w:val="0"/>
        <w:adjustRightInd/>
        <w:snapToGrid/>
        <w:spacing w:before="156" w:line="360" w:lineRule="auto"/>
        <w:ind w:left="420" w:firstLine="480"/>
        <w:textAlignment w:val="auto"/>
        <w:outlineLvl w:val="0"/>
        <w:rPr>
          <w:rFonts w:hint="eastAsia" w:ascii="宋体" w:hAnsi="宋体" w:eastAsia="宋体" w:cs="宋体"/>
          <w:sz w:val="24"/>
          <w:szCs w:val="24"/>
        </w:rPr>
      </w:pPr>
      <w:r>
        <w:rPr>
          <w:rFonts w:hint="eastAsia" w:ascii="宋体" w:hAnsi="宋体" w:eastAsia="宋体" w:cs="宋体"/>
          <w:sz w:val="24"/>
          <w:szCs w:val="24"/>
          <w:lang w:eastAsia="zh-CN"/>
        </w:rPr>
        <w:t>服务商</w:t>
      </w:r>
      <w:r>
        <w:rPr>
          <w:rFonts w:hint="eastAsia" w:ascii="宋体" w:hAnsi="宋体" w:eastAsia="宋体" w:cs="宋体"/>
          <w:sz w:val="24"/>
          <w:szCs w:val="24"/>
        </w:rPr>
        <w:t>须在《需求规格说明书》确认后的</w:t>
      </w:r>
      <w:r>
        <w:rPr>
          <w:rFonts w:hint="eastAsia" w:ascii="宋体" w:hAnsi="宋体" w:cs="宋体"/>
          <w:sz w:val="24"/>
          <w:szCs w:val="24"/>
          <w:lang w:val="en-US" w:eastAsia="zh-CN"/>
        </w:rPr>
        <w:t>1</w:t>
      </w:r>
      <w:r>
        <w:rPr>
          <w:rFonts w:hint="eastAsia" w:ascii="宋体" w:hAnsi="宋体" w:eastAsia="宋体" w:cs="宋体"/>
          <w:sz w:val="24"/>
          <w:szCs w:val="24"/>
          <w:lang w:val="en-US" w:eastAsia="zh-CN"/>
        </w:rPr>
        <w:t>00</w:t>
      </w:r>
      <w:r>
        <w:rPr>
          <w:rFonts w:hint="eastAsia" w:ascii="宋体" w:hAnsi="宋体" w:eastAsia="宋体" w:cs="宋体"/>
          <w:sz w:val="24"/>
          <w:szCs w:val="24"/>
        </w:rPr>
        <w:t>个工作日内完成实施导入和保证系统正常工作。</w:t>
      </w:r>
    </w:p>
    <w:p>
      <w:pPr>
        <w:pageBreakBefore w:val="0"/>
        <w:widowControl w:val="0"/>
        <w:numPr>
          <w:ilvl w:val="0"/>
          <w:numId w:val="8"/>
        </w:numPr>
        <w:kinsoku/>
        <w:wordWrap/>
        <w:overflowPunct/>
        <w:topLinePunct w:val="0"/>
        <w:autoSpaceDE/>
        <w:autoSpaceDN/>
        <w:bidi w:val="0"/>
        <w:adjustRightInd/>
        <w:snapToGrid/>
        <w:spacing w:before="156" w:line="360" w:lineRule="auto"/>
        <w:ind w:left="420" w:firstLine="480"/>
        <w:textAlignment w:val="auto"/>
        <w:outlineLvl w:val="0"/>
        <w:rPr>
          <w:rFonts w:hint="eastAsia" w:ascii="宋体" w:hAnsi="宋体" w:eastAsia="宋体" w:cs="宋体"/>
          <w:sz w:val="24"/>
          <w:szCs w:val="24"/>
        </w:rPr>
      </w:pPr>
      <w:r>
        <w:rPr>
          <w:rFonts w:hint="eastAsia" w:ascii="宋体" w:hAnsi="宋体" w:eastAsia="宋体" w:cs="宋体"/>
          <w:sz w:val="24"/>
          <w:szCs w:val="24"/>
          <w:lang w:eastAsia="zh-CN"/>
        </w:rPr>
        <w:t>服务商</w:t>
      </w:r>
      <w:r>
        <w:rPr>
          <w:rFonts w:hint="eastAsia" w:ascii="宋体" w:hAnsi="宋体" w:eastAsia="宋体" w:cs="宋体"/>
          <w:sz w:val="24"/>
          <w:szCs w:val="24"/>
        </w:rPr>
        <w:t>完成软件实施，并根据</w:t>
      </w:r>
      <w:r>
        <w:rPr>
          <w:rFonts w:hint="eastAsia" w:ascii="宋体" w:hAnsi="宋体" w:eastAsia="宋体" w:cs="宋体"/>
          <w:sz w:val="24"/>
          <w:szCs w:val="24"/>
          <w:lang w:eastAsia="zh-CN"/>
        </w:rPr>
        <w:t>院方</w:t>
      </w:r>
      <w:r>
        <w:rPr>
          <w:rFonts w:hint="eastAsia" w:ascii="宋体" w:hAnsi="宋体" w:eastAsia="宋体" w:cs="宋体"/>
          <w:sz w:val="24"/>
          <w:szCs w:val="24"/>
        </w:rPr>
        <w:t>提出的新需求完成修改后，系统运行</w:t>
      </w:r>
      <w:r>
        <w:rPr>
          <w:rFonts w:hint="eastAsia" w:ascii="宋体" w:hAnsi="宋体" w:eastAsia="宋体" w:cs="宋体"/>
          <w:sz w:val="24"/>
          <w:szCs w:val="24"/>
          <w:lang w:val="en-US" w:eastAsia="zh-CN"/>
        </w:rPr>
        <w:t>3</w:t>
      </w:r>
      <w:r>
        <w:rPr>
          <w:rFonts w:hint="eastAsia" w:ascii="宋体" w:hAnsi="宋体" w:eastAsia="宋体" w:cs="宋体"/>
          <w:sz w:val="24"/>
          <w:szCs w:val="24"/>
        </w:rPr>
        <w:t>个月以上无软件故障出现，则由</w:t>
      </w:r>
      <w:r>
        <w:rPr>
          <w:rFonts w:hint="eastAsia" w:ascii="宋体" w:hAnsi="宋体" w:eastAsia="宋体" w:cs="宋体"/>
          <w:sz w:val="24"/>
          <w:szCs w:val="24"/>
          <w:lang w:eastAsia="zh-CN"/>
        </w:rPr>
        <w:t>服务商</w:t>
      </w:r>
      <w:r>
        <w:rPr>
          <w:rFonts w:hint="eastAsia" w:ascii="宋体" w:hAnsi="宋体" w:eastAsia="宋体" w:cs="宋体"/>
          <w:sz w:val="24"/>
          <w:szCs w:val="24"/>
        </w:rPr>
        <w:t>向</w:t>
      </w:r>
      <w:r>
        <w:rPr>
          <w:rFonts w:hint="eastAsia" w:ascii="宋体" w:hAnsi="宋体" w:eastAsia="宋体" w:cs="宋体"/>
          <w:sz w:val="24"/>
          <w:szCs w:val="24"/>
          <w:lang w:eastAsia="zh-CN"/>
        </w:rPr>
        <w:t>院方</w:t>
      </w:r>
      <w:r>
        <w:rPr>
          <w:rFonts w:hint="eastAsia" w:ascii="宋体" w:hAnsi="宋体" w:eastAsia="宋体" w:cs="宋体"/>
          <w:sz w:val="24"/>
          <w:szCs w:val="24"/>
        </w:rPr>
        <w:t>申请验收。</w:t>
      </w:r>
    </w:p>
    <w:p>
      <w:pPr>
        <w:pageBreakBefore w:val="0"/>
        <w:widowControl w:val="0"/>
        <w:numPr>
          <w:ilvl w:val="0"/>
          <w:numId w:val="8"/>
        </w:numPr>
        <w:kinsoku/>
        <w:wordWrap/>
        <w:overflowPunct/>
        <w:topLinePunct w:val="0"/>
        <w:autoSpaceDE/>
        <w:autoSpaceDN/>
        <w:bidi w:val="0"/>
        <w:adjustRightInd/>
        <w:snapToGrid/>
        <w:spacing w:before="156" w:line="360" w:lineRule="auto"/>
        <w:ind w:left="420" w:firstLine="480"/>
        <w:textAlignment w:val="auto"/>
        <w:outlineLvl w:val="0"/>
        <w:rPr>
          <w:rFonts w:hint="eastAsia" w:ascii="宋体" w:hAnsi="宋体" w:eastAsia="宋体" w:cs="宋体"/>
          <w:sz w:val="24"/>
          <w:szCs w:val="24"/>
        </w:rPr>
      </w:pPr>
      <w:r>
        <w:rPr>
          <w:rFonts w:hint="eastAsia" w:ascii="宋体" w:hAnsi="宋体" w:eastAsia="宋体" w:cs="宋体"/>
          <w:sz w:val="24"/>
          <w:szCs w:val="24"/>
        </w:rPr>
        <w:t>以上各阶段</w:t>
      </w:r>
      <w:r>
        <w:rPr>
          <w:rFonts w:hint="eastAsia" w:ascii="宋体" w:hAnsi="宋体" w:eastAsia="宋体" w:cs="宋体"/>
          <w:sz w:val="24"/>
          <w:szCs w:val="24"/>
          <w:lang w:eastAsia="zh-CN"/>
        </w:rPr>
        <w:t>服务商</w:t>
      </w:r>
      <w:r>
        <w:rPr>
          <w:rFonts w:hint="eastAsia" w:ascii="宋体" w:hAnsi="宋体" w:eastAsia="宋体" w:cs="宋体"/>
          <w:sz w:val="24"/>
          <w:szCs w:val="24"/>
        </w:rPr>
        <w:t>如因提交合同标的质量问题而致工期延误则由</w:t>
      </w:r>
      <w:r>
        <w:rPr>
          <w:rFonts w:hint="eastAsia" w:ascii="宋体" w:hAnsi="宋体" w:eastAsia="宋体" w:cs="宋体"/>
          <w:sz w:val="24"/>
          <w:szCs w:val="24"/>
          <w:lang w:eastAsia="zh-CN"/>
        </w:rPr>
        <w:t>服务商</w:t>
      </w:r>
      <w:r>
        <w:rPr>
          <w:rFonts w:hint="eastAsia" w:ascii="宋体" w:hAnsi="宋体" w:eastAsia="宋体" w:cs="宋体"/>
          <w:sz w:val="24"/>
          <w:szCs w:val="24"/>
        </w:rPr>
        <w:t>对延误工期承担责任；如因</w:t>
      </w:r>
      <w:r>
        <w:rPr>
          <w:rFonts w:hint="eastAsia" w:ascii="宋体" w:hAnsi="宋体" w:eastAsia="宋体" w:cs="宋体"/>
          <w:sz w:val="24"/>
          <w:szCs w:val="24"/>
          <w:lang w:eastAsia="zh-CN"/>
        </w:rPr>
        <w:t>院方</w:t>
      </w:r>
      <w:r>
        <w:rPr>
          <w:rFonts w:hint="eastAsia" w:ascii="宋体" w:hAnsi="宋体" w:eastAsia="宋体" w:cs="宋体"/>
          <w:sz w:val="24"/>
          <w:szCs w:val="24"/>
        </w:rPr>
        <w:t>未按约定提供支持与配合工作致工期延误则由</w:t>
      </w:r>
      <w:r>
        <w:rPr>
          <w:rFonts w:hint="eastAsia" w:ascii="宋体" w:hAnsi="宋体" w:eastAsia="宋体" w:cs="宋体"/>
          <w:sz w:val="24"/>
          <w:szCs w:val="24"/>
          <w:lang w:eastAsia="zh-CN"/>
        </w:rPr>
        <w:t>院方</w:t>
      </w:r>
      <w:r>
        <w:rPr>
          <w:rFonts w:hint="eastAsia" w:ascii="宋体" w:hAnsi="宋体" w:eastAsia="宋体" w:cs="宋体"/>
          <w:sz w:val="24"/>
          <w:szCs w:val="24"/>
        </w:rPr>
        <w:t>对延误工期承担责任。</w:t>
      </w:r>
    </w:p>
    <w:p>
      <w:pPr>
        <w:pStyle w:val="3"/>
        <w:pageBreakBefore w:val="0"/>
        <w:widowControl w:val="0"/>
        <w:numPr>
          <w:ilvl w:val="1"/>
          <w:numId w:val="3"/>
        </w:numPr>
        <w:kinsoku/>
        <w:wordWrap/>
        <w:overflowPunct/>
        <w:topLinePunct w:val="0"/>
        <w:autoSpaceDE/>
        <w:autoSpaceDN/>
        <w:bidi w:val="0"/>
        <w:adjustRightInd/>
        <w:snapToGrid/>
        <w:spacing w:line="360" w:lineRule="auto"/>
        <w:ind w:left="567" w:leftChars="0" w:hanging="567" w:firstLineChars="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实施要求</w:t>
      </w:r>
    </w:p>
    <w:p>
      <w:pPr>
        <w:pageBreakBefore w:val="0"/>
        <w:widowControl w:val="0"/>
        <w:numPr>
          <w:ilvl w:val="0"/>
          <w:numId w:val="9"/>
        </w:numPr>
        <w:kinsoku/>
        <w:wordWrap/>
        <w:overflowPunct/>
        <w:topLinePunct w:val="0"/>
        <w:autoSpaceDE/>
        <w:autoSpaceDN/>
        <w:bidi w:val="0"/>
        <w:adjustRightInd/>
        <w:snapToGrid/>
        <w:spacing w:before="156" w:line="360" w:lineRule="auto"/>
        <w:ind w:left="420" w:firstLine="480"/>
        <w:textAlignment w:val="auto"/>
        <w:rPr>
          <w:rFonts w:hint="eastAsia" w:ascii="宋体" w:hAnsi="宋体" w:eastAsia="宋体" w:cs="宋体"/>
          <w:sz w:val="24"/>
          <w:szCs w:val="24"/>
        </w:rPr>
      </w:pPr>
      <w:r>
        <w:rPr>
          <w:rFonts w:hint="eastAsia" w:ascii="宋体" w:hAnsi="宋体" w:eastAsia="宋体" w:cs="宋体"/>
          <w:sz w:val="24"/>
          <w:szCs w:val="24"/>
          <w:lang w:eastAsia="zh-CN"/>
        </w:rPr>
        <w:t>服务商</w:t>
      </w:r>
      <w:r>
        <w:rPr>
          <w:rFonts w:hint="eastAsia" w:ascii="宋体" w:hAnsi="宋体" w:eastAsia="宋体" w:cs="宋体"/>
          <w:sz w:val="24"/>
          <w:szCs w:val="24"/>
        </w:rPr>
        <w:t>承担软件开发、实施全过程的工作。</w:t>
      </w:r>
    </w:p>
    <w:p>
      <w:pPr>
        <w:pageBreakBefore w:val="0"/>
        <w:widowControl w:val="0"/>
        <w:numPr>
          <w:ilvl w:val="0"/>
          <w:numId w:val="9"/>
        </w:numPr>
        <w:kinsoku/>
        <w:wordWrap/>
        <w:overflowPunct/>
        <w:topLinePunct w:val="0"/>
        <w:autoSpaceDE/>
        <w:autoSpaceDN/>
        <w:bidi w:val="0"/>
        <w:adjustRightInd/>
        <w:snapToGrid/>
        <w:spacing w:before="156" w:line="360" w:lineRule="auto"/>
        <w:ind w:left="420" w:firstLine="480"/>
        <w:textAlignment w:val="auto"/>
        <w:rPr>
          <w:rFonts w:hint="eastAsia" w:ascii="宋体" w:hAnsi="宋体" w:eastAsia="宋体" w:cs="宋体"/>
          <w:sz w:val="24"/>
          <w:szCs w:val="24"/>
        </w:rPr>
      </w:pPr>
      <w:r>
        <w:rPr>
          <w:rFonts w:hint="eastAsia" w:ascii="宋体" w:hAnsi="宋体" w:eastAsia="宋体" w:cs="宋体"/>
          <w:sz w:val="24"/>
          <w:szCs w:val="24"/>
          <w:lang w:eastAsia="zh-CN"/>
        </w:rPr>
        <w:t>服务商</w:t>
      </w:r>
      <w:r>
        <w:rPr>
          <w:rFonts w:hint="eastAsia" w:ascii="宋体" w:hAnsi="宋体" w:eastAsia="宋体" w:cs="宋体"/>
          <w:sz w:val="24"/>
          <w:szCs w:val="24"/>
        </w:rPr>
        <w:t>提供的软件，</w:t>
      </w:r>
      <w:r>
        <w:rPr>
          <w:rFonts w:hint="eastAsia" w:ascii="宋体" w:hAnsi="宋体" w:eastAsia="宋体" w:cs="宋体"/>
          <w:sz w:val="24"/>
          <w:szCs w:val="24"/>
          <w:lang w:eastAsia="zh-CN"/>
        </w:rPr>
        <w:t>服务商</w:t>
      </w:r>
      <w:r>
        <w:rPr>
          <w:rFonts w:hint="eastAsia" w:ascii="宋体" w:hAnsi="宋体" w:eastAsia="宋体" w:cs="宋体"/>
          <w:sz w:val="24"/>
          <w:szCs w:val="24"/>
        </w:rPr>
        <w:t>必须向</w:t>
      </w:r>
      <w:r>
        <w:rPr>
          <w:rFonts w:hint="eastAsia" w:ascii="宋体" w:hAnsi="宋体" w:eastAsia="宋体" w:cs="宋体"/>
          <w:sz w:val="24"/>
          <w:szCs w:val="24"/>
          <w:lang w:eastAsia="zh-CN"/>
        </w:rPr>
        <w:t>院方</w:t>
      </w:r>
      <w:r>
        <w:rPr>
          <w:rFonts w:hint="eastAsia" w:ascii="宋体" w:hAnsi="宋体" w:eastAsia="宋体" w:cs="宋体"/>
          <w:sz w:val="24"/>
          <w:szCs w:val="24"/>
        </w:rPr>
        <w:t>保证所交付的软件是</w:t>
      </w:r>
      <w:r>
        <w:rPr>
          <w:rFonts w:hint="eastAsia" w:ascii="宋体" w:hAnsi="宋体" w:eastAsia="宋体" w:cs="宋体"/>
          <w:sz w:val="24"/>
          <w:szCs w:val="24"/>
          <w:lang w:eastAsia="zh-CN"/>
        </w:rPr>
        <w:t>服务商</w:t>
      </w:r>
      <w:r>
        <w:rPr>
          <w:rFonts w:hint="eastAsia" w:ascii="宋体" w:hAnsi="宋体" w:eastAsia="宋体" w:cs="宋体"/>
          <w:sz w:val="24"/>
          <w:szCs w:val="24"/>
        </w:rPr>
        <w:t>独立开发的，如果发生第三方指控所开发的软件侵犯他人版权时，应由</w:t>
      </w:r>
      <w:r>
        <w:rPr>
          <w:rFonts w:hint="eastAsia" w:ascii="宋体" w:hAnsi="宋体" w:eastAsia="宋体" w:cs="宋体"/>
          <w:sz w:val="24"/>
          <w:szCs w:val="24"/>
          <w:lang w:eastAsia="zh-CN"/>
        </w:rPr>
        <w:t>服务商</w:t>
      </w:r>
      <w:r>
        <w:rPr>
          <w:rFonts w:hint="eastAsia" w:ascii="宋体" w:hAnsi="宋体" w:eastAsia="宋体" w:cs="宋体"/>
          <w:sz w:val="24"/>
          <w:szCs w:val="24"/>
        </w:rPr>
        <w:t>与第三方交涉，并承担法律上和经济上的全部责任。</w:t>
      </w:r>
    </w:p>
    <w:p>
      <w:pPr>
        <w:pageBreakBefore w:val="0"/>
        <w:widowControl w:val="0"/>
        <w:numPr>
          <w:ilvl w:val="0"/>
          <w:numId w:val="9"/>
        </w:numPr>
        <w:kinsoku/>
        <w:wordWrap/>
        <w:overflowPunct/>
        <w:topLinePunct w:val="0"/>
        <w:autoSpaceDE/>
        <w:autoSpaceDN/>
        <w:bidi w:val="0"/>
        <w:adjustRightInd/>
        <w:snapToGrid/>
        <w:spacing w:before="156" w:line="360" w:lineRule="auto"/>
        <w:ind w:left="420" w:firstLine="480"/>
        <w:textAlignment w:val="auto"/>
        <w:rPr>
          <w:rFonts w:hint="eastAsia" w:ascii="宋体" w:hAnsi="宋体" w:eastAsia="宋体" w:cs="宋体"/>
          <w:sz w:val="24"/>
          <w:szCs w:val="24"/>
        </w:rPr>
      </w:pPr>
      <w:r>
        <w:rPr>
          <w:rFonts w:hint="eastAsia" w:ascii="宋体" w:hAnsi="宋体" w:eastAsia="宋体" w:cs="宋体"/>
          <w:sz w:val="24"/>
          <w:szCs w:val="24"/>
          <w:lang w:eastAsia="zh-CN"/>
        </w:rPr>
        <w:t>服务商</w:t>
      </w:r>
      <w:r>
        <w:rPr>
          <w:rFonts w:hint="eastAsia" w:ascii="宋体" w:hAnsi="宋体" w:eastAsia="宋体" w:cs="宋体"/>
          <w:sz w:val="24"/>
          <w:szCs w:val="24"/>
        </w:rPr>
        <w:t>不得将本合同部分或全部工作转让给第三方承担。</w:t>
      </w:r>
    </w:p>
    <w:p>
      <w:pPr>
        <w:pageBreakBefore w:val="0"/>
        <w:widowControl w:val="0"/>
        <w:numPr>
          <w:ilvl w:val="0"/>
          <w:numId w:val="9"/>
        </w:numPr>
        <w:kinsoku/>
        <w:wordWrap/>
        <w:overflowPunct/>
        <w:topLinePunct w:val="0"/>
        <w:autoSpaceDE/>
        <w:autoSpaceDN/>
        <w:bidi w:val="0"/>
        <w:adjustRightInd/>
        <w:snapToGrid/>
        <w:spacing w:before="156" w:line="360" w:lineRule="auto"/>
        <w:ind w:left="420" w:firstLine="480"/>
        <w:textAlignment w:val="auto"/>
        <w:rPr>
          <w:rFonts w:hint="eastAsia" w:ascii="宋体" w:hAnsi="宋体" w:eastAsia="宋体" w:cs="宋体"/>
          <w:sz w:val="24"/>
          <w:szCs w:val="24"/>
        </w:rPr>
      </w:pPr>
      <w:bookmarkStart w:id="6" w:name="_Hlk516418923"/>
      <w:r>
        <w:rPr>
          <w:rFonts w:hint="eastAsia" w:ascii="宋体" w:hAnsi="宋体" w:eastAsia="宋体" w:cs="宋体"/>
          <w:sz w:val="24"/>
          <w:szCs w:val="24"/>
        </w:rPr>
        <w:t>在项目实施的全过程中，</w:t>
      </w:r>
      <w:r>
        <w:rPr>
          <w:rFonts w:hint="eastAsia" w:ascii="宋体" w:hAnsi="宋体" w:eastAsia="宋体" w:cs="宋体"/>
          <w:sz w:val="24"/>
          <w:szCs w:val="24"/>
          <w:lang w:eastAsia="zh-CN"/>
        </w:rPr>
        <w:t>服务商</w:t>
      </w:r>
      <w:r>
        <w:rPr>
          <w:rFonts w:hint="eastAsia" w:ascii="宋体" w:hAnsi="宋体" w:eastAsia="宋体" w:cs="宋体"/>
          <w:sz w:val="24"/>
          <w:szCs w:val="24"/>
        </w:rPr>
        <w:t>应全面配合、按甲乙双方确定的项目里程碑计划，定期向</w:t>
      </w:r>
      <w:r>
        <w:rPr>
          <w:rFonts w:hint="eastAsia" w:ascii="宋体" w:hAnsi="宋体" w:eastAsia="宋体" w:cs="宋体"/>
          <w:sz w:val="24"/>
          <w:szCs w:val="24"/>
          <w:lang w:eastAsia="zh-CN"/>
        </w:rPr>
        <w:t>院方</w:t>
      </w:r>
      <w:r>
        <w:rPr>
          <w:rFonts w:hint="eastAsia" w:ascii="宋体" w:hAnsi="宋体" w:eastAsia="宋体" w:cs="宋体"/>
          <w:sz w:val="24"/>
          <w:szCs w:val="24"/>
        </w:rPr>
        <w:t>汇报项目进展情况。</w:t>
      </w:r>
    </w:p>
    <w:p>
      <w:pPr>
        <w:pageBreakBefore w:val="0"/>
        <w:widowControl w:val="0"/>
        <w:numPr>
          <w:ilvl w:val="0"/>
          <w:numId w:val="9"/>
        </w:numPr>
        <w:kinsoku/>
        <w:wordWrap/>
        <w:overflowPunct/>
        <w:topLinePunct w:val="0"/>
        <w:autoSpaceDE/>
        <w:autoSpaceDN/>
        <w:bidi w:val="0"/>
        <w:adjustRightInd/>
        <w:snapToGrid/>
        <w:spacing w:before="156" w:line="360" w:lineRule="auto"/>
        <w:ind w:left="420" w:firstLine="480"/>
        <w:textAlignment w:val="auto"/>
        <w:rPr>
          <w:rFonts w:hint="eastAsia" w:ascii="宋体" w:hAnsi="宋体" w:eastAsia="宋体" w:cs="宋体"/>
          <w:sz w:val="24"/>
          <w:szCs w:val="24"/>
        </w:rPr>
      </w:pPr>
      <w:r>
        <w:rPr>
          <w:rFonts w:hint="eastAsia" w:ascii="宋体" w:hAnsi="宋体" w:eastAsia="宋体" w:cs="宋体"/>
          <w:sz w:val="24"/>
          <w:szCs w:val="24"/>
          <w:lang w:eastAsia="zh-CN"/>
        </w:rPr>
        <w:t>服务商</w:t>
      </w:r>
      <w:r>
        <w:rPr>
          <w:rFonts w:hint="eastAsia" w:ascii="宋体" w:hAnsi="宋体" w:eastAsia="宋体" w:cs="宋体"/>
          <w:sz w:val="24"/>
          <w:szCs w:val="24"/>
        </w:rPr>
        <w:t>应针对本项目成立专门的项目组，经</w:t>
      </w:r>
      <w:r>
        <w:rPr>
          <w:rFonts w:hint="eastAsia" w:ascii="宋体" w:hAnsi="宋体" w:eastAsia="宋体" w:cs="宋体"/>
          <w:sz w:val="24"/>
          <w:szCs w:val="24"/>
          <w:lang w:eastAsia="zh-CN"/>
        </w:rPr>
        <w:t>院方</w:t>
      </w:r>
      <w:r>
        <w:rPr>
          <w:rFonts w:hint="eastAsia" w:ascii="宋体" w:hAnsi="宋体" w:eastAsia="宋体" w:cs="宋体"/>
          <w:sz w:val="24"/>
          <w:szCs w:val="24"/>
        </w:rPr>
        <w:t>同意，由</w:t>
      </w:r>
      <w:r>
        <w:rPr>
          <w:rFonts w:hint="eastAsia" w:ascii="宋体" w:hAnsi="宋体" w:eastAsia="宋体" w:cs="宋体"/>
          <w:sz w:val="24"/>
          <w:szCs w:val="24"/>
          <w:lang w:eastAsia="zh-CN"/>
        </w:rPr>
        <w:t>服务商</w:t>
      </w:r>
      <w:r>
        <w:rPr>
          <w:rFonts w:hint="eastAsia" w:ascii="宋体" w:hAnsi="宋体" w:eastAsia="宋体" w:cs="宋体"/>
          <w:sz w:val="24"/>
          <w:szCs w:val="24"/>
        </w:rPr>
        <w:t>委派</w:t>
      </w:r>
      <w:r>
        <w:rPr>
          <w:rFonts w:hint="eastAsia" w:ascii="宋体" w:hAnsi="宋体" w:eastAsia="宋体" w:cs="宋体"/>
          <w:sz w:val="24"/>
          <w:szCs w:val="24"/>
          <w:u w:val="single"/>
        </w:rPr>
        <w:t xml:space="preserve">     </w:t>
      </w:r>
      <w:r>
        <w:rPr>
          <w:rFonts w:hint="eastAsia" w:ascii="宋体" w:hAnsi="宋体" w:eastAsia="宋体" w:cs="宋体"/>
          <w:sz w:val="24"/>
          <w:szCs w:val="24"/>
        </w:rPr>
        <w:t>作为本项目负责人，项目组成员必须稳定，项目组主要成员在项目终验前不得退出或更换，如确需变动，须提出申请并经</w:t>
      </w:r>
      <w:r>
        <w:rPr>
          <w:rFonts w:hint="eastAsia" w:ascii="宋体" w:hAnsi="宋体" w:eastAsia="宋体" w:cs="宋体"/>
          <w:sz w:val="24"/>
          <w:szCs w:val="24"/>
          <w:lang w:eastAsia="zh-CN"/>
        </w:rPr>
        <w:t>院方</w:t>
      </w:r>
      <w:r>
        <w:rPr>
          <w:rFonts w:hint="eastAsia" w:ascii="宋体" w:hAnsi="宋体" w:eastAsia="宋体" w:cs="宋体"/>
          <w:sz w:val="24"/>
          <w:szCs w:val="24"/>
        </w:rPr>
        <w:t>同意方可，一旦发现私自更换则处罚3万元，由此造成的后果及损失全部由</w:t>
      </w:r>
      <w:r>
        <w:rPr>
          <w:rFonts w:hint="eastAsia" w:ascii="宋体" w:hAnsi="宋体" w:eastAsia="宋体" w:cs="宋体"/>
          <w:sz w:val="24"/>
          <w:szCs w:val="24"/>
          <w:lang w:eastAsia="zh-CN"/>
        </w:rPr>
        <w:t>服务商</w:t>
      </w:r>
      <w:r>
        <w:rPr>
          <w:rFonts w:hint="eastAsia" w:ascii="宋体" w:hAnsi="宋体" w:eastAsia="宋体" w:cs="宋体"/>
          <w:sz w:val="24"/>
          <w:szCs w:val="24"/>
        </w:rPr>
        <w:t>承担。</w:t>
      </w:r>
      <w:r>
        <w:rPr>
          <w:rFonts w:hint="eastAsia" w:ascii="宋体" w:hAnsi="宋体" w:eastAsia="宋体" w:cs="宋体"/>
          <w:sz w:val="24"/>
          <w:szCs w:val="24"/>
          <w:lang w:eastAsia="zh-CN"/>
        </w:rPr>
        <w:t>服务商</w:t>
      </w:r>
      <w:r>
        <w:rPr>
          <w:rFonts w:hint="eastAsia" w:ascii="宋体" w:hAnsi="宋体" w:eastAsia="宋体" w:cs="宋体"/>
          <w:sz w:val="24"/>
          <w:szCs w:val="24"/>
        </w:rPr>
        <w:t>必须充分了解分析项目的全部要求，按时、按质、按量完成本项目内容。（项目负责人和组内人员必须是</w:t>
      </w:r>
      <w:r>
        <w:rPr>
          <w:rFonts w:hint="eastAsia" w:ascii="宋体" w:hAnsi="宋体" w:eastAsia="宋体" w:cs="宋体"/>
          <w:sz w:val="24"/>
          <w:szCs w:val="24"/>
          <w:lang w:eastAsia="zh-CN"/>
        </w:rPr>
        <w:t>服务商</w:t>
      </w:r>
      <w:r>
        <w:rPr>
          <w:rFonts w:hint="eastAsia" w:ascii="宋体" w:hAnsi="宋体" w:eastAsia="宋体" w:cs="宋体"/>
          <w:sz w:val="24"/>
          <w:szCs w:val="24"/>
        </w:rPr>
        <w:t>购买社保的员工。）</w:t>
      </w:r>
    </w:p>
    <w:p>
      <w:pPr>
        <w:pageBreakBefore w:val="0"/>
        <w:widowControl w:val="0"/>
        <w:numPr>
          <w:ilvl w:val="0"/>
          <w:numId w:val="9"/>
        </w:numPr>
        <w:kinsoku/>
        <w:wordWrap/>
        <w:overflowPunct/>
        <w:topLinePunct w:val="0"/>
        <w:autoSpaceDE/>
        <w:autoSpaceDN/>
        <w:bidi w:val="0"/>
        <w:adjustRightInd/>
        <w:snapToGrid/>
        <w:spacing w:before="156" w:line="360" w:lineRule="auto"/>
        <w:ind w:left="420" w:firstLine="480"/>
        <w:textAlignment w:val="auto"/>
        <w:rPr>
          <w:rFonts w:hint="eastAsia" w:ascii="宋体" w:hAnsi="宋体" w:eastAsia="宋体" w:cs="宋体"/>
          <w:sz w:val="24"/>
          <w:szCs w:val="24"/>
        </w:rPr>
      </w:pPr>
      <w:r>
        <w:rPr>
          <w:rFonts w:hint="eastAsia" w:ascii="宋体" w:hAnsi="宋体" w:eastAsia="宋体" w:cs="宋体"/>
          <w:sz w:val="24"/>
          <w:szCs w:val="24"/>
          <w:lang w:eastAsia="zh-CN"/>
        </w:rPr>
        <w:t>服务商</w:t>
      </w:r>
      <w:r>
        <w:rPr>
          <w:rFonts w:hint="eastAsia" w:ascii="宋体" w:hAnsi="宋体" w:eastAsia="宋体" w:cs="宋体"/>
          <w:sz w:val="24"/>
          <w:szCs w:val="24"/>
        </w:rPr>
        <w:t>在项目需求确定期，必须由项目负责人亲自到现场调研，并负责对</w:t>
      </w:r>
      <w:r>
        <w:rPr>
          <w:rFonts w:hint="eastAsia" w:ascii="宋体" w:hAnsi="宋体" w:eastAsia="宋体" w:cs="宋体"/>
          <w:sz w:val="24"/>
          <w:szCs w:val="24"/>
          <w:lang w:eastAsia="zh-CN"/>
        </w:rPr>
        <w:t>院方</w:t>
      </w:r>
      <w:r>
        <w:rPr>
          <w:rFonts w:hint="eastAsia" w:ascii="宋体" w:hAnsi="宋体" w:eastAsia="宋体" w:cs="宋体"/>
          <w:sz w:val="24"/>
          <w:szCs w:val="24"/>
        </w:rPr>
        <w:t>需求说明书进行细化，编写《需求规格说明书》，与</w:t>
      </w:r>
      <w:r>
        <w:rPr>
          <w:rFonts w:hint="eastAsia" w:ascii="宋体" w:hAnsi="宋体" w:eastAsia="宋体" w:cs="宋体"/>
          <w:sz w:val="24"/>
          <w:szCs w:val="24"/>
          <w:lang w:eastAsia="zh-CN"/>
        </w:rPr>
        <w:t>院方</w:t>
      </w:r>
      <w:r>
        <w:rPr>
          <w:rFonts w:hint="eastAsia" w:ascii="宋体" w:hAnsi="宋体" w:eastAsia="宋体" w:cs="宋体"/>
          <w:sz w:val="24"/>
          <w:szCs w:val="24"/>
        </w:rPr>
        <w:t>面对面沟通并完成双方确认该阶段成果物；在软件测试期，软件交付</w:t>
      </w:r>
      <w:r>
        <w:rPr>
          <w:rFonts w:hint="eastAsia" w:ascii="宋体" w:hAnsi="宋体" w:eastAsia="宋体" w:cs="宋体"/>
          <w:sz w:val="24"/>
          <w:szCs w:val="24"/>
          <w:lang w:eastAsia="zh-CN"/>
        </w:rPr>
        <w:t>院方</w:t>
      </w:r>
      <w:r>
        <w:rPr>
          <w:rFonts w:hint="eastAsia" w:ascii="宋体" w:hAnsi="宋体" w:eastAsia="宋体" w:cs="宋体"/>
          <w:sz w:val="24"/>
          <w:szCs w:val="24"/>
        </w:rPr>
        <w:t>前，必须由项目负责人亲自确认功能符合《需求规格说明书》中要求方可提交</w:t>
      </w:r>
      <w:r>
        <w:rPr>
          <w:rFonts w:hint="eastAsia" w:ascii="宋体" w:hAnsi="宋体" w:eastAsia="宋体" w:cs="宋体"/>
          <w:sz w:val="24"/>
          <w:szCs w:val="24"/>
          <w:lang w:eastAsia="zh-CN"/>
        </w:rPr>
        <w:t>院方</w:t>
      </w:r>
      <w:r>
        <w:rPr>
          <w:rFonts w:hint="eastAsia" w:ascii="宋体" w:hAnsi="宋体" w:eastAsia="宋体" w:cs="宋体"/>
          <w:sz w:val="24"/>
          <w:szCs w:val="24"/>
        </w:rPr>
        <w:t>。</w:t>
      </w:r>
    </w:p>
    <w:p>
      <w:pPr>
        <w:pageBreakBefore w:val="0"/>
        <w:widowControl w:val="0"/>
        <w:numPr>
          <w:ilvl w:val="0"/>
          <w:numId w:val="9"/>
        </w:numPr>
        <w:kinsoku/>
        <w:wordWrap/>
        <w:overflowPunct/>
        <w:topLinePunct w:val="0"/>
        <w:autoSpaceDE/>
        <w:autoSpaceDN/>
        <w:bidi w:val="0"/>
        <w:adjustRightInd/>
        <w:snapToGrid/>
        <w:spacing w:before="156" w:line="360" w:lineRule="auto"/>
        <w:ind w:left="420" w:firstLine="480"/>
        <w:textAlignment w:val="auto"/>
        <w:rPr>
          <w:rFonts w:hint="eastAsia" w:ascii="宋体" w:hAnsi="宋体" w:eastAsia="宋体" w:cs="宋体"/>
          <w:sz w:val="24"/>
          <w:szCs w:val="24"/>
        </w:rPr>
      </w:pPr>
      <w:r>
        <w:rPr>
          <w:rFonts w:hint="eastAsia" w:ascii="宋体" w:hAnsi="宋体" w:eastAsia="宋体" w:cs="宋体"/>
          <w:sz w:val="24"/>
          <w:szCs w:val="24"/>
        </w:rPr>
        <w:t>在免费维护期届满之前，如发现</w:t>
      </w:r>
      <w:r>
        <w:rPr>
          <w:rFonts w:hint="eastAsia" w:ascii="宋体" w:hAnsi="宋体" w:eastAsia="宋体" w:cs="宋体"/>
          <w:sz w:val="24"/>
          <w:szCs w:val="24"/>
          <w:lang w:eastAsia="zh-CN"/>
        </w:rPr>
        <w:t>服务商</w:t>
      </w:r>
      <w:r>
        <w:rPr>
          <w:rFonts w:hint="eastAsia" w:ascii="宋体" w:hAnsi="宋体" w:eastAsia="宋体" w:cs="宋体"/>
          <w:sz w:val="24"/>
          <w:szCs w:val="24"/>
        </w:rPr>
        <w:t>交付的项目实施产出物有缺陷，或性能和质量不符合本合同约定时，</w:t>
      </w:r>
      <w:r>
        <w:rPr>
          <w:rFonts w:hint="eastAsia" w:ascii="宋体" w:hAnsi="宋体" w:eastAsia="宋体" w:cs="宋体"/>
          <w:sz w:val="24"/>
          <w:szCs w:val="24"/>
          <w:lang w:eastAsia="zh-CN"/>
        </w:rPr>
        <w:t>服务商</w:t>
      </w:r>
      <w:r>
        <w:rPr>
          <w:rFonts w:hint="eastAsia" w:ascii="宋体" w:hAnsi="宋体" w:eastAsia="宋体" w:cs="宋体"/>
          <w:sz w:val="24"/>
          <w:szCs w:val="24"/>
        </w:rPr>
        <w:t>负责排除缺陷、修理、替换或更换出现故障的项目实施产出物及提供其他保修服务，上述服务所产生的所有费用由</w:t>
      </w:r>
      <w:r>
        <w:rPr>
          <w:rFonts w:hint="eastAsia" w:ascii="宋体" w:hAnsi="宋体" w:eastAsia="宋体" w:cs="宋体"/>
          <w:sz w:val="24"/>
          <w:szCs w:val="24"/>
          <w:lang w:eastAsia="zh-CN"/>
        </w:rPr>
        <w:t>服务商</w:t>
      </w:r>
      <w:r>
        <w:rPr>
          <w:rFonts w:hint="eastAsia" w:ascii="宋体" w:hAnsi="宋体" w:eastAsia="宋体" w:cs="宋体"/>
          <w:sz w:val="24"/>
          <w:szCs w:val="24"/>
        </w:rPr>
        <w:t>承担。因</w:t>
      </w:r>
      <w:r>
        <w:rPr>
          <w:rFonts w:hint="eastAsia" w:ascii="宋体" w:hAnsi="宋体" w:eastAsia="宋体" w:cs="宋体"/>
          <w:sz w:val="24"/>
          <w:szCs w:val="24"/>
          <w:lang w:eastAsia="zh-CN"/>
        </w:rPr>
        <w:t>服务商</w:t>
      </w:r>
      <w:r>
        <w:rPr>
          <w:rFonts w:hint="eastAsia" w:ascii="宋体" w:hAnsi="宋体" w:eastAsia="宋体" w:cs="宋体"/>
          <w:sz w:val="24"/>
          <w:szCs w:val="24"/>
        </w:rPr>
        <w:t>交付的项目实施产出物存在缺陷，或性能和质量，软件升级服务不符合本合同约定而给</w:t>
      </w:r>
      <w:r>
        <w:rPr>
          <w:rFonts w:hint="eastAsia" w:ascii="宋体" w:hAnsi="宋体" w:eastAsia="宋体" w:cs="宋体"/>
          <w:sz w:val="24"/>
          <w:szCs w:val="24"/>
          <w:lang w:eastAsia="zh-CN"/>
        </w:rPr>
        <w:t>院方</w:t>
      </w:r>
      <w:r>
        <w:rPr>
          <w:rFonts w:hint="eastAsia" w:ascii="宋体" w:hAnsi="宋体" w:eastAsia="宋体" w:cs="宋体"/>
          <w:sz w:val="24"/>
          <w:szCs w:val="24"/>
        </w:rPr>
        <w:t>造成损失或者工作障碍的，</w:t>
      </w:r>
      <w:r>
        <w:rPr>
          <w:rFonts w:hint="eastAsia" w:ascii="宋体" w:hAnsi="宋体" w:eastAsia="宋体" w:cs="宋体"/>
          <w:sz w:val="24"/>
          <w:szCs w:val="24"/>
          <w:lang w:eastAsia="zh-CN"/>
        </w:rPr>
        <w:t>服务商</w:t>
      </w:r>
      <w:r>
        <w:rPr>
          <w:rFonts w:hint="eastAsia" w:ascii="宋体" w:hAnsi="宋体" w:eastAsia="宋体" w:cs="宋体"/>
          <w:sz w:val="24"/>
          <w:szCs w:val="24"/>
        </w:rPr>
        <w:t>应赔偿因此造成</w:t>
      </w:r>
      <w:r>
        <w:rPr>
          <w:rFonts w:hint="eastAsia" w:ascii="宋体" w:hAnsi="宋体" w:eastAsia="宋体" w:cs="宋体"/>
          <w:sz w:val="24"/>
          <w:szCs w:val="24"/>
          <w:lang w:eastAsia="zh-CN"/>
        </w:rPr>
        <w:t>院方</w:t>
      </w:r>
      <w:r>
        <w:rPr>
          <w:rFonts w:hint="eastAsia" w:ascii="宋体" w:hAnsi="宋体" w:eastAsia="宋体" w:cs="宋体"/>
          <w:sz w:val="24"/>
          <w:szCs w:val="24"/>
        </w:rPr>
        <w:t>的损失并承担相关责任。</w:t>
      </w:r>
    </w:p>
    <w:bookmarkEnd w:id="6"/>
    <w:p>
      <w:pPr>
        <w:pageBreakBefore w:val="0"/>
        <w:widowControl w:val="0"/>
        <w:numPr>
          <w:ilvl w:val="0"/>
          <w:numId w:val="9"/>
        </w:numPr>
        <w:kinsoku/>
        <w:wordWrap/>
        <w:overflowPunct/>
        <w:topLinePunct w:val="0"/>
        <w:autoSpaceDE/>
        <w:autoSpaceDN/>
        <w:bidi w:val="0"/>
        <w:adjustRightInd/>
        <w:snapToGrid/>
        <w:spacing w:before="156" w:line="360" w:lineRule="auto"/>
        <w:ind w:left="420" w:firstLine="480"/>
        <w:textAlignment w:val="auto"/>
        <w:rPr>
          <w:rFonts w:hint="eastAsia" w:ascii="宋体" w:hAnsi="宋体" w:eastAsia="宋体" w:cs="宋体"/>
          <w:sz w:val="24"/>
          <w:szCs w:val="24"/>
        </w:rPr>
      </w:pPr>
      <w:r>
        <w:rPr>
          <w:rFonts w:hint="eastAsia" w:ascii="宋体" w:hAnsi="宋体" w:eastAsia="宋体" w:cs="宋体"/>
          <w:sz w:val="24"/>
          <w:szCs w:val="24"/>
          <w:lang w:eastAsia="zh-CN"/>
        </w:rPr>
        <w:t>服务商</w:t>
      </w:r>
      <w:r>
        <w:rPr>
          <w:rFonts w:hint="eastAsia" w:ascii="宋体" w:hAnsi="宋体" w:eastAsia="宋体" w:cs="宋体"/>
          <w:sz w:val="24"/>
          <w:szCs w:val="24"/>
        </w:rPr>
        <w:t>承诺所提供的项目实施产出物不含有任何安全隐患，并在项目实施产出物使用期内承担全部责任（包括但不限于消除安全隐患、退款、赔偿损失等）。发生任何由于项目实施产出物安全引起的事故时，</w:t>
      </w:r>
      <w:r>
        <w:rPr>
          <w:rFonts w:hint="eastAsia" w:ascii="宋体" w:hAnsi="宋体" w:eastAsia="宋体" w:cs="宋体"/>
          <w:sz w:val="24"/>
          <w:szCs w:val="24"/>
          <w:lang w:eastAsia="zh-CN"/>
        </w:rPr>
        <w:t>服务商</w:t>
      </w:r>
      <w:r>
        <w:rPr>
          <w:rFonts w:hint="eastAsia" w:ascii="宋体" w:hAnsi="宋体" w:eastAsia="宋体" w:cs="宋体"/>
          <w:sz w:val="24"/>
          <w:szCs w:val="24"/>
        </w:rPr>
        <w:t>应赔偿</w:t>
      </w:r>
      <w:r>
        <w:rPr>
          <w:rFonts w:hint="eastAsia" w:ascii="宋体" w:hAnsi="宋体" w:eastAsia="宋体" w:cs="宋体"/>
          <w:sz w:val="24"/>
          <w:szCs w:val="24"/>
          <w:lang w:eastAsia="zh-CN"/>
        </w:rPr>
        <w:t>院方</w:t>
      </w:r>
      <w:r>
        <w:rPr>
          <w:rFonts w:hint="eastAsia" w:ascii="宋体" w:hAnsi="宋体" w:eastAsia="宋体" w:cs="宋体"/>
          <w:sz w:val="24"/>
          <w:szCs w:val="24"/>
        </w:rPr>
        <w:t>及相关用户因此所发生的损失。</w:t>
      </w:r>
    </w:p>
    <w:p>
      <w:pPr>
        <w:pageBreakBefore w:val="0"/>
        <w:widowControl w:val="0"/>
        <w:numPr>
          <w:ilvl w:val="0"/>
          <w:numId w:val="9"/>
        </w:numPr>
        <w:kinsoku/>
        <w:wordWrap/>
        <w:overflowPunct/>
        <w:topLinePunct w:val="0"/>
        <w:autoSpaceDE/>
        <w:autoSpaceDN/>
        <w:bidi w:val="0"/>
        <w:adjustRightInd/>
        <w:snapToGrid/>
        <w:spacing w:before="156" w:line="360" w:lineRule="auto"/>
        <w:ind w:left="420" w:firstLine="480"/>
        <w:textAlignment w:val="auto"/>
        <w:rPr>
          <w:rFonts w:hint="eastAsia" w:ascii="宋体" w:hAnsi="宋体" w:eastAsia="宋体" w:cs="宋体"/>
          <w:sz w:val="24"/>
          <w:szCs w:val="24"/>
        </w:rPr>
      </w:pPr>
      <w:r>
        <w:rPr>
          <w:rFonts w:hint="eastAsia" w:ascii="宋体" w:hAnsi="宋体" w:eastAsia="宋体" w:cs="宋体"/>
          <w:sz w:val="24"/>
          <w:szCs w:val="24"/>
          <w:lang w:eastAsia="zh-CN"/>
        </w:rPr>
        <w:t>服务商</w:t>
      </w:r>
      <w:r>
        <w:rPr>
          <w:rFonts w:hint="eastAsia" w:ascii="宋体" w:hAnsi="宋体" w:eastAsia="宋体" w:cs="宋体"/>
          <w:sz w:val="24"/>
          <w:szCs w:val="24"/>
        </w:rPr>
        <w:t>不得将工程</w:t>
      </w:r>
      <w:r>
        <w:rPr>
          <w:rFonts w:hint="eastAsia" w:ascii="宋体" w:hAnsi="宋体" w:eastAsia="宋体" w:cs="宋体"/>
          <w:sz w:val="24"/>
          <w:szCs w:val="24"/>
          <w:lang w:val="en-US" w:eastAsia="zh-CN"/>
        </w:rPr>
        <w:t>以任何形式</w:t>
      </w:r>
      <w:r>
        <w:rPr>
          <w:rFonts w:hint="eastAsia" w:ascii="宋体" w:hAnsi="宋体" w:eastAsia="宋体" w:cs="宋体"/>
          <w:sz w:val="24"/>
          <w:szCs w:val="24"/>
        </w:rPr>
        <w:t>转包</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分包</w:t>
      </w:r>
      <w:r>
        <w:rPr>
          <w:rFonts w:hint="eastAsia" w:ascii="宋体" w:hAnsi="宋体" w:eastAsia="宋体" w:cs="宋体"/>
          <w:sz w:val="24"/>
          <w:szCs w:val="24"/>
        </w:rPr>
        <w:t>给第三方。</w:t>
      </w:r>
    </w:p>
    <w:p>
      <w:pPr>
        <w:pageBreakBefore w:val="0"/>
        <w:widowControl w:val="0"/>
        <w:numPr>
          <w:ilvl w:val="0"/>
          <w:numId w:val="9"/>
        </w:numPr>
        <w:kinsoku/>
        <w:wordWrap/>
        <w:overflowPunct/>
        <w:topLinePunct w:val="0"/>
        <w:autoSpaceDE/>
        <w:autoSpaceDN/>
        <w:bidi w:val="0"/>
        <w:adjustRightInd/>
        <w:snapToGrid/>
        <w:spacing w:before="156" w:line="360" w:lineRule="auto"/>
        <w:ind w:left="420" w:firstLine="480"/>
        <w:textAlignment w:val="auto"/>
        <w:rPr>
          <w:rFonts w:hint="eastAsia" w:ascii="宋体" w:hAnsi="宋体" w:eastAsia="宋体" w:cs="宋体"/>
          <w:sz w:val="24"/>
          <w:szCs w:val="24"/>
        </w:rPr>
      </w:pPr>
      <w:r>
        <w:rPr>
          <w:rFonts w:hint="eastAsia" w:ascii="宋体" w:hAnsi="宋体" w:eastAsia="宋体" w:cs="宋体"/>
          <w:sz w:val="24"/>
          <w:szCs w:val="24"/>
          <w:lang w:eastAsia="zh-CN"/>
        </w:rPr>
        <w:t>本项目费用包含软件费用及接口费用。</w:t>
      </w:r>
    </w:p>
    <w:p>
      <w:pPr>
        <w:pageBreakBefore w:val="0"/>
        <w:widowControl w:val="0"/>
        <w:numPr>
          <w:ilvl w:val="0"/>
          <w:numId w:val="9"/>
        </w:numPr>
        <w:kinsoku/>
        <w:wordWrap/>
        <w:overflowPunct/>
        <w:topLinePunct w:val="0"/>
        <w:autoSpaceDE/>
        <w:autoSpaceDN/>
        <w:bidi w:val="0"/>
        <w:adjustRightInd/>
        <w:snapToGrid/>
        <w:spacing w:before="156" w:line="360" w:lineRule="auto"/>
        <w:ind w:left="420" w:firstLine="480"/>
        <w:textAlignment w:val="auto"/>
        <w:rPr>
          <w:rFonts w:hint="eastAsia" w:ascii="宋体" w:hAnsi="宋体" w:eastAsia="宋体" w:cs="宋体"/>
          <w:sz w:val="24"/>
          <w:szCs w:val="24"/>
        </w:rPr>
      </w:pPr>
      <w:r>
        <w:rPr>
          <w:rFonts w:hint="eastAsia" w:ascii="宋体" w:hAnsi="宋体" w:eastAsia="宋体" w:cs="宋体"/>
          <w:sz w:val="24"/>
          <w:szCs w:val="24"/>
        </w:rPr>
        <w:t>以现场服务为主，其它电话、邮件指导、远程维护、技术交流方式不限。</w:t>
      </w:r>
    </w:p>
    <w:p>
      <w:pPr>
        <w:pStyle w:val="3"/>
        <w:pageBreakBefore w:val="0"/>
        <w:widowControl w:val="0"/>
        <w:numPr>
          <w:ilvl w:val="0"/>
          <w:numId w:val="3"/>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保修要求</w:t>
      </w:r>
    </w:p>
    <w:p>
      <w:pPr>
        <w:pStyle w:val="3"/>
        <w:pageBreakBefore w:val="0"/>
        <w:widowControl w:val="0"/>
        <w:numPr>
          <w:ilvl w:val="1"/>
          <w:numId w:val="3"/>
        </w:numPr>
        <w:kinsoku/>
        <w:wordWrap/>
        <w:overflowPunct/>
        <w:topLinePunct w:val="0"/>
        <w:autoSpaceDE/>
        <w:autoSpaceDN/>
        <w:bidi w:val="0"/>
        <w:adjustRightInd/>
        <w:snapToGrid/>
        <w:spacing w:line="360" w:lineRule="auto"/>
        <w:ind w:left="567" w:leftChars="0" w:hanging="567" w:firstLineChars="0"/>
        <w:textAlignment w:val="auto"/>
        <w:rPr>
          <w:rFonts w:hint="eastAsia" w:ascii="宋体" w:hAnsi="宋体" w:eastAsia="宋体" w:cs="宋体"/>
          <w:sz w:val="24"/>
          <w:szCs w:val="24"/>
          <w:lang w:eastAsia="zh-CN"/>
        </w:rPr>
      </w:pPr>
      <w:r>
        <w:rPr>
          <w:rFonts w:ascii="宋体" w:hAnsi="宋体" w:cs="Segoe UI Symbol"/>
          <w:spacing w:val="2"/>
          <w:sz w:val="24"/>
        </w:rPr>
        <w:t>▲</w:t>
      </w:r>
      <w:r>
        <w:rPr>
          <w:rFonts w:hint="eastAsia" w:ascii="宋体" w:hAnsi="宋体" w:cs="Segoe UI Symbol"/>
          <w:spacing w:val="2"/>
          <w:sz w:val="24"/>
        </w:rPr>
        <w:t xml:space="preserve"> </w:t>
      </w:r>
      <w:r>
        <w:rPr>
          <w:rFonts w:hint="eastAsia" w:ascii="宋体" w:hAnsi="宋体" w:eastAsia="宋体" w:cs="宋体"/>
          <w:sz w:val="24"/>
          <w:szCs w:val="24"/>
          <w:lang w:eastAsia="zh-CN"/>
        </w:rPr>
        <w:t>应用软件免费维护期从合同标的验收合格之日算起，期限为</w:t>
      </w:r>
      <w:r>
        <w:rPr>
          <w:rFonts w:hint="eastAsia" w:ascii="宋体" w:hAnsi="宋体" w:eastAsia="宋体" w:cs="宋体"/>
          <w:sz w:val="24"/>
          <w:szCs w:val="24"/>
          <w:u w:val="single"/>
          <w:lang w:eastAsia="zh-CN"/>
        </w:rPr>
        <w:t>24</w:t>
      </w:r>
      <w:r>
        <w:rPr>
          <w:rFonts w:hint="eastAsia" w:ascii="宋体" w:hAnsi="宋体" w:eastAsia="宋体" w:cs="宋体"/>
          <w:sz w:val="24"/>
          <w:szCs w:val="24"/>
          <w:lang w:eastAsia="zh-CN"/>
        </w:rPr>
        <w:t>个月。</w:t>
      </w:r>
    </w:p>
    <w:p>
      <w:pPr>
        <w:pageBreakBefore w:val="0"/>
        <w:widowControl w:val="0"/>
        <w:kinsoku/>
        <w:wordWrap/>
        <w:overflowPunct/>
        <w:topLinePunct w:val="0"/>
        <w:autoSpaceDE/>
        <w:autoSpaceDN/>
        <w:bidi w:val="0"/>
        <w:adjustRightInd/>
        <w:snapToGrid/>
        <w:spacing w:before="156" w:line="360" w:lineRule="auto"/>
        <w:ind w:left="420" w:leftChars="200" w:firstLine="480"/>
        <w:textAlignment w:val="auto"/>
        <w:rPr>
          <w:rFonts w:hint="eastAsia" w:ascii="宋体" w:hAnsi="宋体" w:eastAsia="宋体" w:cs="宋体"/>
          <w:sz w:val="24"/>
          <w:szCs w:val="24"/>
        </w:rPr>
      </w:pPr>
      <w:r>
        <w:rPr>
          <w:rFonts w:hint="eastAsia" w:ascii="宋体" w:hAnsi="宋体" w:eastAsia="宋体" w:cs="宋体"/>
          <w:sz w:val="24"/>
          <w:szCs w:val="24"/>
        </w:rPr>
        <w:t>在免费维护期结束前，须由</w:t>
      </w:r>
      <w:r>
        <w:rPr>
          <w:rFonts w:hint="eastAsia" w:ascii="宋体" w:hAnsi="宋体" w:eastAsia="宋体" w:cs="宋体"/>
          <w:sz w:val="24"/>
          <w:szCs w:val="24"/>
          <w:lang w:eastAsia="zh-CN"/>
        </w:rPr>
        <w:t>服务商</w:t>
      </w:r>
      <w:r>
        <w:rPr>
          <w:rFonts w:hint="eastAsia" w:ascii="宋体" w:hAnsi="宋体" w:eastAsia="宋体" w:cs="宋体"/>
          <w:sz w:val="24"/>
          <w:szCs w:val="24"/>
        </w:rPr>
        <w:t>和</w:t>
      </w:r>
      <w:r>
        <w:rPr>
          <w:rFonts w:hint="eastAsia" w:ascii="宋体" w:hAnsi="宋体" w:eastAsia="宋体" w:cs="宋体"/>
          <w:sz w:val="24"/>
          <w:szCs w:val="24"/>
          <w:lang w:eastAsia="zh-CN"/>
        </w:rPr>
        <w:t>院方</w:t>
      </w:r>
      <w:r>
        <w:rPr>
          <w:rFonts w:hint="eastAsia" w:ascii="宋体" w:hAnsi="宋体" w:eastAsia="宋体" w:cs="宋体"/>
          <w:sz w:val="24"/>
          <w:szCs w:val="24"/>
        </w:rPr>
        <w:t>进行一次全面检查，任何缺陷必须由</w:t>
      </w:r>
      <w:r>
        <w:rPr>
          <w:rFonts w:hint="eastAsia" w:ascii="宋体" w:hAnsi="宋体" w:eastAsia="宋体" w:cs="宋体"/>
          <w:sz w:val="24"/>
          <w:szCs w:val="24"/>
          <w:lang w:eastAsia="zh-CN"/>
        </w:rPr>
        <w:t>服务商</w:t>
      </w:r>
      <w:r>
        <w:rPr>
          <w:rFonts w:hint="eastAsia" w:ascii="宋体" w:hAnsi="宋体" w:eastAsia="宋体" w:cs="宋体"/>
          <w:sz w:val="24"/>
          <w:szCs w:val="24"/>
        </w:rPr>
        <w:t>负责修复，在修复之后，</w:t>
      </w:r>
      <w:r>
        <w:rPr>
          <w:rFonts w:hint="eastAsia" w:ascii="宋体" w:hAnsi="宋体" w:eastAsia="宋体" w:cs="宋体"/>
          <w:sz w:val="24"/>
          <w:szCs w:val="24"/>
          <w:lang w:eastAsia="zh-CN"/>
        </w:rPr>
        <w:t>服务商</w:t>
      </w:r>
      <w:r>
        <w:rPr>
          <w:rFonts w:hint="eastAsia" w:ascii="宋体" w:hAnsi="宋体" w:eastAsia="宋体" w:cs="宋体"/>
          <w:sz w:val="24"/>
          <w:szCs w:val="24"/>
        </w:rPr>
        <w:t>应将缺陷原因、修复内容、完成修理及恢复正常的时间和日期等报告给</w:t>
      </w:r>
      <w:r>
        <w:rPr>
          <w:rFonts w:hint="eastAsia" w:ascii="宋体" w:hAnsi="宋体" w:eastAsia="宋体" w:cs="宋体"/>
          <w:sz w:val="24"/>
          <w:szCs w:val="24"/>
          <w:lang w:eastAsia="zh-CN"/>
        </w:rPr>
        <w:t>院方</w:t>
      </w:r>
      <w:r>
        <w:rPr>
          <w:rFonts w:hint="eastAsia" w:ascii="宋体" w:hAnsi="宋体" w:eastAsia="宋体" w:cs="宋体"/>
          <w:sz w:val="24"/>
          <w:szCs w:val="24"/>
        </w:rPr>
        <w:t>，形成项目总结报告</w:t>
      </w:r>
      <w:r>
        <w:rPr>
          <w:rFonts w:hint="eastAsia" w:ascii="宋体" w:hAnsi="宋体" w:eastAsia="宋体" w:cs="宋体"/>
          <w:sz w:val="24"/>
          <w:szCs w:val="24"/>
          <w:lang w:val="en-US" w:eastAsia="zh-CN"/>
        </w:rPr>
        <w:t>加盖公章提交院方</w:t>
      </w:r>
      <w:r>
        <w:rPr>
          <w:rFonts w:hint="eastAsia" w:ascii="宋体" w:hAnsi="宋体" w:eastAsia="宋体" w:cs="宋体"/>
          <w:sz w:val="24"/>
          <w:szCs w:val="24"/>
        </w:rPr>
        <w:t>（一式两份）。</w:t>
      </w:r>
    </w:p>
    <w:p>
      <w:pPr>
        <w:pStyle w:val="3"/>
        <w:pageBreakBefore w:val="0"/>
        <w:widowControl w:val="0"/>
        <w:numPr>
          <w:ilvl w:val="1"/>
          <w:numId w:val="3"/>
        </w:numPr>
        <w:kinsoku/>
        <w:wordWrap/>
        <w:overflowPunct/>
        <w:topLinePunct w:val="0"/>
        <w:autoSpaceDE/>
        <w:autoSpaceDN/>
        <w:bidi w:val="0"/>
        <w:adjustRightInd/>
        <w:snapToGrid/>
        <w:spacing w:line="360" w:lineRule="auto"/>
        <w:ind w:left="567" w:leftChars="0" w:hanging="567" w:firstLineChars="0"/>
        <w:textAlignment w:val="auto"/>
        <w:rPr>
          <w:rFonts w:hint="eastAsia" w:ascii="宋体" w:hAnsi="宋体" w:eastAsia="宋体" w:cs="宋体"/>
          <w:sz w:val="24"/>
          <w:szCs w:val="24"/>
        </w:rPr>
      </w:pPr>
      <w:r>
        <w:rPr>
          <w:rFonts w:hint="eastAsia" w:ascii="宋体" w:hAnsi="宋体" w:eastAsia="宋体" w:cs="宋体"/>
          <w:sz w:val="24"/>
          <w:szCs w:val="24"/>
        </w:rPr>
        <w:t>系统本地化开发</w:t>
      </w:r>
    </w:p>
    <w:p>
      <w:pPr>
        <w:pageBreakBefore w:val="0"/>
        <w:widowControl w:val="0"/>
        <w:numPr>
          <w:ilvl w:val="0"/>
          <w:numId w:val="10"/>
        </w:numPr>
        <w:kinsoku/>
        <w:wordWrap/>
        <w:overflowPunct/>
        <w:topLinePunct w:val="0"/>
        <w:autoSpaceDE/>
        <w:autoSpaceDN/>
        <w:bidi w:val="0"/>
        <w:adjustRightInd/>
        <w:snapToGrid/>
        <w:spacing w:before="156" w:line="360" w:lineRule="auto"/>
        <w:ind w:left="420" w:firstLine="480"/>
        <w:textAlignment w:val="auto"/>
        <w:rPr>
          <w:rFonts w:hint="eastAsia" w:ascii="宋体" w:hAnsi="宋体" w:eastAsia="宋体" w:cs="宋体"/>
          <w:sz w:val="24"/>
          <w:szCs w:val="24"/>
        </w:rPr>
      </w:pPr>
      <w:r>
        <w:rPr>
          <w:rFonts w:hint="eastAsia" w:ascii="宋体" w:hAnsi="宋体" w:eastAsia="宋体" w:cs="宋体"/>
          <w:sz w:val="24"/>
          <w:szCs w:val="24"/>
        </w:rPr>
        <w:t>软件升级：</w:t>
      </w:r>
      <w:r>
        <w:rPr>
          <w:rFonts w:hint="eastAsia" w:ascii="宋体" w:hAnsi="宋体" w:eastAsia="宋体" w:cs="宋体"/>
          <w:sz w:val="24"/>
          <w:szCs w:val="24"/>
          <w:lang w:eastAsia="zh-CN"/>
        </w:rPr>
        <w:t>服务商</w:t>
      </w:r>
      <w:r>
        <w:rPr>
          <w:rFonts w:hint="eastAsia" w:ascii="宋体" w:hAnsi="宋体" w:eastAsia="宋体" w:cs="宋体"/>
          <w:sz w:val="24"/>
          <w:szCs w:val="24"/>
        </w:rPr>
        <w:t>出于对软件不断改进开发的新版本，在免费维护期内提供免费软件实施及培训等相关升级服务，</w:t>
      </w:r>
      <w:r>
        <w:rPr>
          <w:rFonts w:hint="eastAsia" w:ascii="宋体" w:hAnsi="宋体" w:eastAsia="宋体" w:cs="宋体"/>
          <w:sz w:val="24"/>
          <w:szCs w:val="24"/>
          <w:lang w:eastAsia="zh-CN"/>
        </w:rPr>
        <w:t>服务商</w:t>
      </w:r>
      <w:r>
        <w:rPr>
          <w:rFonts w:hint="eastAsia" w:ascii="宋体" w:hAnsi="宋体" w:eastAsia="宋体" w:cs="宋体"/>
          <w:sz w:val="24"/>
          <w:szCs w:val="24"/>
        </w:rPr>
        <w:t>保证在发布新版本系统后1个月内，完成在</w:t>
      </w:r>
      <w:r>
        <w:rPr>
          <w:rFonts w:hint="eastAsia" w:ascii="宋体" w:hAnsi="宋体" w:eastAsia="宋体" w:cs="宋体"/>
          <w:sz w:val="24"/>
          <w:szCs w:val="24"/>
          <w:lang w:eastAsia="zh-CN"/>
        </w:rPr>
        <w:t>院方</w:t>
      </w:r>
      <w:r>
        <w:rPr>
          <w:rFonts w:hint="eastAsia" w:ascii="宋体" w:hAnsi="宋体" w:eastAsia="宋体" w:cs="宋体"/>
          <w:sz w:val="24"/>
          <w:szCs w:val="24"/>
        </w:rPr>
        <w:t>的升级，保证用户使用公司最新版本软件程序。。</w:t>
      </w:r>
    </w:p>
    <w:p>
      <w:pPr>
        <w:pageBreakBefore w:val="0"/>
        <w:widowControl w:val="0"/>
        <w:numPr>
          <w:ilvl w:val="0"/>
          <w:numId w:val="10"/>
        </w:numPr>
        <w:kinsoku/>
        <w:wordWrap/>
        <w:overflowPunct/>
        <w:topLinePunct w:val="0"/>
        <w:autoSpaceDE/>
        <w:autoSpaceDN/>
        <w:bidi w:val="0"/>
        <w:adjustRightInd/>
        <w:snapToGrid/>
        <w:spacing w:before="156" w:line="360" w:lineRule="auto"/>
        <w:ind w:left="420" w:firstLine="480"/>
        <w:textAlignment w:val="auto"/>
        <w:rPr>
          <w:rFonts w:hint="eastAsia" w:ascii="宋体" w:hAnsi="宋体" w:eastAsia="宋体" w:cs="宋体"/>
          <w:sz w:val="24"/>
          <w:szCs w:val="24"/>
        </w:rPr>
      </w:pPr>
      <w:r>
        <w:rPr>
          <w:rFonts w:hint="eastAsia" w:ascii="宋体" w:hAnsi="宋体" w:eastAsia="宋体" w:cs="宋体"/>
          <w:sz w:val="24"/>
          <w:szCs w:val="24"/>
        </w:rPr>
        <w:t>功能改进：在不超出本项目功能模块范围内的本地化功能改进需求，</w:t>
      </w:r>
      <w:r>
        <w:rPr>
          <w:rFonts w:hint="eastAsia" w:ascii="宋体" w:hAnsi="宋体" w:eastAsia="宋体" w:cs="宋体"/>
          <w:sz w:val="24"/>
          <w:szCs w:val="24"/>
          <w:lang w:eastAsia="zh-CN"/>
        </w:rPr>
        <w:t>服务商</w:t>
      </w:r>
      <w:r>
        <w:rPr>
          <w:rFonts w:hint="eastAsia" w:ascii="宋体" w:hAnsi="宋体" w:eastAsia="宋体" w:cs="宋体"/>
          <w:sz w:val="24"/>
          <w:szCs w:val="24"/>
        </w:rPr>
        <w:t>须根据</w:t>
      </w:r>
      <w:r>
        <w:rPr>
          <w:rFonts w:hint="eastAsia" w:ascii="宋体" w:hAnsi="宋体" w:eastAsia="宋体" w:cs="宋体"/>
          <w:sz w:val="24"/>
          <w:szCs w:val="24"/>
          <w:lang w:eastAsia="zh-CN"/>
        </w:rPr>
        <w:t>院方</w:t>
      </w:r>
      <w:r>
        <w:rPr>
          <w:rFonts w:hint="eastAsia" w:ascii="宋体" w:hAnsi="宋体" w:eastAsia="宋体" w:cs="宋体"/>
          <w:sz w:val="24"/>
          <w:szCs w:val="24"/>
        </w:rPr>
        <w:t>要求按时完成。</w:t>
      </w:r>
    </w:p>
    <w:p>
      <w:pPr>
        <w:pageBreakBefore w:val="0"/>
        <w:widowControl w:val="0"/>
        <w:numPr>
          <w:ilvl w:val="0"/>
          <w:numId w:val="10"/>
        </w:numPr>
        <w:kinsoku/>
        <w:wordWrap/>
        <w:overflowPunct/>
        <w:topLinePunct w:val="0"/>
        <w:autoSpaceDE/>
        <w:autoSpaceDN/>
        <w:bidi w:val="0"/>
        <w:adjustRightInd/>
        <w:snapToGrid/>
        <w:spacing w:before="156" w:line="360" w:lineRule="auto"/>
        <w:ind w:left="420" w:firstLine="480"/>
        <w:textAlignment w:val="auto"/>
        <w:rPr>
          <w:rFonts w:hint="eastAsia" w:ascii="宋体" w:hAnsi="宋体" w:eastAsia="宋体" w:cs="宋体"/>
          <w:sz w:val="24"/>
          <w:szCs w:val="24"/>
        </w:rPr>
      </w:pPr>
      <w:r>
        <w:rPr>
          <w:rFonts w:hint="eastAsia" w:ascii="宋体" w:hAnsi="宋体" w:eastAsia="宋体" w:cs="宋体"/>
          <w:sz w:val="24"/>
          <w:szCs w:val="24"/>
        </w:rPr>
        <w:t>系统接口：提供对第三方开放系统数据接口，免费维护期内增加接口不再收取任何费用；自</w:t>
      </w:r>
      <w:r>
        <w:rPr>
          <w:rFonts w:hint="eastAsia" w:ascii="宋体" w:hAnsi="宋体" w:eastAsia="宋体" w:cs="宋体"/>
          <w:sz w:val="24"/>
          <w:szCs w:val="24"/>
          <w:lang w:eastAsia="zh-CN"/>
        </w:rPr>
        <w:t>院方</w:t>
      </w:r>
      <w:r>
        <w:rPr>
          <w:rFonts w:hint="eastAsia" w:ascii="宋体" w:hAnsi="宋体" w:eastAsia="宋体" w:cs="宋体"/>
          <w:sz w:val="24"/>
          <w:szCs w:val="24"/>
        </w:rPr>
        <w:t>提出需求到验收通过最长不可超过3个月。</w:t>
      </w:r>
    </w:p>
    <w:p>
      <w:pPr>
        <w:pageBreakBefore w:val="0"/>
        <w:widowControl w:val="0"/>
        <w:numPr>
          <w:ilvl w:val="0"/>
          <w:numId w:val="10"/>
        </w:numPr>
        <w:kinsoku/>
        <w:wordWrap/>
        <w:overflowPunct/>
        <w:topLinePunct w:val="0"/>
        <w:autoSpaceDE/>
        <w:autoSpaceDN/>
        <w:bidi w:val="0"/>
        <w:adjustRightInd/>
        <w:snapToGrid/>
        <w:spacing w:before="156" w:line="360" w:lineRule="auto"/>
        <w:ind w:left="420" w:firstLine="480"/>
        <w:textAlignment w:val="auto"/>
        <w:rPr>
          <w:rFonts w:hint="eastAsia" w:ascii="宋体" w:hAnsi="宋体" w:eastAsia="宋体" w:cs="宋体"/>
          <w:sz w:val="24"/>
          <w:szCs w:val="24"/>
        </w:rPr>
      </w:pPr>
      <w:r>
        <w:rPr>
          <w:rFonts w:hint="eastAsia" w:ascii="宋体" w:hAnsi="宋体" w:eastAsia="宋体" w:cs="宋体"/>
          <w:sz w:val="24"/>
          <w:szCs w:val="24"/>
        </w:rPr>
        <w:t>以上情况由</w:t>
      </w:r>
      <w:r>
        <w:rPr>
          <w:rFonts w:hint="eastAsia" w:ascii="宋体" w:hAnsi="宋体" w:eastAsia="宋体" w:cs="宋体"/>
          <w:sz w:val="24"/>
          <w:szCs w:val="24"/>
          <w:lang w:eastAsia="zh-CN"/>
        </w:rPr>
        <w:t>院方</w:t>
      </w:r>
      <w:r>
        <w:rPr>
          <w:rFonts w:hint="eastAsia" w:ascii="宋体" w:hAnsi="宋体" w:eastAsia="宋体" w:cs="宋体"/>
          <w:sz w:val="24"/>
          <w:szCs w:val="24"/>
        </w:rPr>
        <w:t>向</w:t>
      </w:r>
      <w:r>
        <w:rPr>
          <w:rFonts w:hint="eastAsia" w:ascii="宋体" w:hAnsi="宋体" w:eastAsia="宋体" w:cs="宋体"/>
          <w:sz w:val="24"/>
          <w:szCs w:val="24"/>
          <w:lang w:eastAsia="zh-CN"/>
        </w:rPr>
        <w:t>服务商</w:t>
      </w:r>
      <w:r>
        <w:rPr>
          <w:rFonts w:hint="eastAsia" w:ascii="宋体" w:hAnsi="宋体" w:eastAsia="宋体" w:cs="宋体"/>
          <w:sz w:val="24"/>
          <w:szCs w:val="24"/>
        </w:rPr>
        <w:t>提出需求申请后，</w:t>
      </w:r>
      <w:r>
        <w:rPr>
          <w:rFonts w:hint="eastAsia" w:ascii="宋体" w:hAnsi="宋体" w:eastAsia="宋体" w:cs="宋体"/>
          <w:sz w:val="24"/>
          <w:szCs w:val="24"/>
          <w:lang w:eastAsia="zh-CN"/>
        </w:rPr>
        <w:t>服务商</w:t>
      </w:r>
      <w:r>
        <w:rPr>
          <w:rFonts w:hint="eastAsia" w:ascii="宋体" w:hAnsi="宋体" w:eastAsia="宋体" w:cs="宋体"/>
          <w:sz w:val="24"/>
          <w:szCs w:val="24"/>
        </w:rPr>
        <w:t>应按</w:t>
      </w:r>
      <w:r>
        <w:rPr>
          <w:rFonts w:hint="eastAsia" w:ascii="宋体" w:hAnsi="宋体" w:eastAsia="宋体" w:cs="宋体"/>
          <w:sz w:val="24"/>
          <w:szCs w:val="24"/>
          <w:lang w:eastAsia="zh-CN"/>
        </w:rPr>
        <w:t>院方</w:t>
      </w:r>
      <w:r>
        <w:rPr>
          <w:rFonts w:hint="eastAsia" w:ascii="宋体" w:hAnsi="宋体" w:eastAsia="宋体" w:cs="宋体"/>
          <w:sz w:val="24"/>
          <w:szCs w:val="24"/>
        </w:rPr>
        <w:t>要求满足业务的连续性以及政策性要求，在与</w:t>
      </w:r>
      <w:r>
        <w:rPr>
          <w:rFonts w:hint="eastAsia" w:ascii="宋体" w:hAnsi="宋体" w:eastAsia="宋体" w:cs="宋体"/>
          <w:sz w:val="24"/>
          <w:szCs w:val="24"/>
          <w:lang w:eastAsia="zh-CN"/>
        </w:rPr>
        <w:t>院方</w:t>
      </w:r>
      <w:r>
        <w:rPr>
          <w:rFonts w:hint="eastAsia" w:ascii="宋体" w:hAnsi="宋体" w:eastAsia="宋体" w:cs="宋体"/>
          <w:sz w:val="24"/>
          <w:szCs w:val="24"/>
        </w:rPr>
        <w:t>充分沟通协商一致后拟定工作计划并按计划执行。如</w:t>
      </w:r>
      <w:r>
        <w:rPr>
          <w:rFonts w:hint="eastAsia" w:ascii="宋体" w:hAnsi="宋体" w:eastAsia="宋体" w:cs="宋体"/>
          <w:sz w:val="24"/>
          <w:szCs w:val="24"/>
          <w:lang w:eastAsia="zh-CN"/>
        </w:rPr>
        <w:t>服务商</w:t>
      </w:r>
      <w:r>
        <w:rPr>
          <w:rFonts w:hint="eastAsia" w:ascii="宋体" w:hAnsi="宋体" w:eastAsia="宋体" w:cs="宋体"/>
          <w:sz w:val="24"/>
          <w:szCs w:val="24"/>
        </w:rPr>
        <w:t>未按照约定计划拖延时间或不按计划执行则属违约，需承担响应违约责任并赔偿</w:t>
      </w:r>
      <w:r>
        <w:rPr>
          <w:rFonts w:hint="eastAsia" w:ascii="宋体" w:hAnsi="宋体" w:eastAsia="宋体" w:cs="宋体"/>
          <w:sz w:val="24"/>
          <w:szCs w:val="24"/>
          <w:lang w:eastAsia="zh-CN"/>
        </w:rPr>
        <w:t>院方</w:t>
      </w:r>
      <w:r>
        <w:rPr>
          <w:rFonts w:hint="eastAsia" w:ascii="宋体" w:hAnsi="宋体" w:eastAsia="宋体" w:cs="宋体"/>
          <w:sz w:val="24"/>
          <w:szCs w:val="24"/>
        </w:rPr>
        <w:t>因此造成的损失。</w:t>
      </w:r>
    </w:p>
    <w:p>
      <w:pPr>
        <w:pStyle w:val="3"/>
        <w:pageBreakBefore w:val="0"/>
        <w:widowControl w:val="0"/>
        <w:numPr>
          <w:ilvl w:val="1"/>
          <w:numId w:val="3"/>
        </w:numPr>
        <w:kinsoku/>
        <w:wordWrap/>
        <w:overflowPunct/>
        <w:topLinePunct w:val="0"/>
        <w:autoSpaceDE/>
        <w:autoSpaceDN/>
        <w:bidi w:val="0"/>
        <w:adjustRightInd/>
        <w:snapToGrid/>
        <w:spacing w:line="360" w:lineRule="auto"/>
        <w:ind w:left="567" w:leftChars="0" w:hanging="567" w:firstLineChars="0"/>
        <w:textAlignment w:val="auto"/>
        <w:rPr>
          <w:rFonts w:hint="eastAsia" w:ascii="宋体" w:hAnsi="宋体" w:eastAsia="宋体" w:cs="宋体"/>
          <w:sz w:val="24"/>
          <w:szCs w:val="24"/>
        </w:rPr>
      </w:pPr>
      <w:r>
        <w:rPr>
          <w:rFonts w:hint="eastAsia" w:ascii="宋体" w:hAnsi="宋体" w:eastAsia="宋体" w:cs="宋体"/>
          <w:sz w:val="24"/>
          <w:szCs w:val="24"/>
        </w:rPr>
        <w:t>培训</w:t>
      </w:r>
    </w:p>
    <w:p>
      <w:pPr>
        <w:pageBreakBefore w:val="0"/>
        <w:widowControl w:val="0"/>
        <w:kinsoku/>
        <w:wordWrap/>
        <w:overflowPunct/>
        <w:topLinePunct w:val="0"/>
        <w:autoSpaceDE/>
        <w:autoSpaceDN/>
        <w:bidi w:val="0"/>
        <w:adjustRightInd/>
        <w:snapToGrid/>
        <w:spacing w:before="156" w:line="360" w:lineRule="auto"/>
        <w:ind w:left="420" w:leftChars="200" w:firstLine="480"/>
        <w:textAlignment w:val="auto"/>
        <w:rPr>
          <w:rFonts w:hint="eastAsia" w:ascii="宋体" w:hAnsi="宋体" w:eastAsia="宋体" w:cs="宋体"/>
          <w:sz w:val="24"/>
          <w:szCs w:val="24"/>
        </w:rPr>
      </w:pPr>
      <w:r>
        <w:rPr>
          <w:rFonts w:hint="eastAsia" w:ascii="宋体" w:hAnsi="宋体" w:eastAsia="宋体" w:cs="宋体"/>
          <w:sz w:val="24"/>
          <w:szCs w:val="24"/>
          <w:lang w:eastAsia="zh-CN"/>
        </w:rPr>
        <w:t>服务商</w:t>
      </w:r>
      <w:r>
        <w:rPr>
          <w:rFonts w:hint="eastAsia" w:ascii="宋体" w:hAnsi="宋体" w:eastAsia="宋体" w:cs="宋体"/>
          <w:sz w:val="24"/>
          <w:szCs w:val="24"/>
        </w:rPr>
        <w:t>应为</w:t>
      </w:r>
      <w:r>
        <w:rPr>
          <w:rFonts w:hint="eastAsia" w:ascii="宋体" w:hAnsi="宋体" w:eastAsia="宋体" w:cs="宋体"/>
          <w:sz w:val="24"/>
          <w:szCs w:val="24"/>
          <w:lang w:eastAsia="zh-CN"/>
        </w:rPr>
        <w:t>院方</w:t>
      </w:r>
      <w:r>
        <w:rPr>
          <w:rFonts w:hint="eastAsia" w:ascii="宋体" w:hAnsi="宋体" w:eastAsia="宋体" w:cs="宋体"/>
          <w:sz w:val="24"/>
          <w:szCs w:val="24"/>
        </w:rPr>
        <w:t>进行培训，包括使用培训和维护培训。</w:t>
      </w:r>
    </w:p>
    <w:p>
      <w:pPr>
        <w:pageBreakBefore w:val="0"/>
        <w:widowControl w:val="0"/>
        <w:kinsoku/>
        <w:wordWrap/>
        <w:overflowPunct/>
        <w:topLinePunct w:val="0"/>
        <w:autoSpaceDE/>
        <w:autoSpaceDN/>
        <w:bidi w:val="0"/>
        <w:adjustRightInd/>
        <w:snapToGrid/>
        <w:spacing w:before="156" w:line="360" w:lineRule="auto"/>
        <w:ind w:left="420" w:leftChars="200" w:firstLine="480"/>
        <w:textAlignment w:val="auto"/>
        <w:rPr>
          <w:rFonts w:hint="eastAsia" w:ascii="宋体" w:hAnsi="宋体" w:eastAsia="宋体" w:cs="宋体"/>
          <w:sz w:val="24"/>
          <w:szCs w:val="24"/>
        </w:rPr>
      </w:pPr>
      <w:r>
        <w:rPr>
          <w:rFonts w:hint="eastAsia" w:ascii="宋体" w:hAnsi="宋体" w:eastAsia="宋体" w:cs="宋体"/>
          <w:sz w:val="24"/>
          <w:szCs w:val="24"/>
          <w:lang w:eastAsia="zh-CN"/>
        </w:rPr>
        <w:t>服务商</w:t>
      </w:r>
      <w:r>
        <w:rPr>
          <w:rFonts w:hint="eastAsia" w:ascii="宋体" w:hAnsi="宋体" w:eastAsia="宋体" w:cs="宋体"/>
          <w:sz w:val="24"/>
          <w:szCs w:val="24"/>
        </w:rPr>
        <w:t>应提出详细的培训计划，提供培训教材。技术培训的内容必须覆盖产品的安装、日常操作和管理维护，以及基本的故障诊断与排错。包括数据库与开发技术培训、系统维护培训、高级用户培训、用户培训，并保证培训效果。</w:t>
      </w:r>
    </w:p>
    <w:p>
      <w:pPr>
        <w:pStyle w:val="3"/>
        <w:pageBreakBefore w:val="0"/>
        <w:widowControl w:val="0"/>
        <w:numPr>
          <w:ilvl w:val="1"/>
          <w:numId w:val="3"/>
        </w:numPr>
        <w:kinsoku/>
        <w:wordWrap/>
        <w:overflowPunct/>
        <w:topLinePunct w:val="0"/>
        <w:autoSpaceDE/>
        <w:autoSpaceDN/>
        <w:bidi w:val="0"/>
        <w:adjustRightInd/>
        <w:snapToGrid/>
        <w:spacing w:line="360" w:lineRule="auto"/>
        <w:ind w:left="567" w:leftChars="0" w:hanging="567" w:firstLineChars="0"/>
        <w:textAlignment w:val="auto"/>
        <w:rPr>
          <w:rFonts w:hint="eastAsia" w:ascii="宋体" w:hAnsi="宋体" w:eastAsia="宋体" w:cs="宋体"/>
          <w:sz w:val="24"/>
          <w:szCs w:val="24"/>
        </w:rPr>
      </w:pPr>
      <w:r>
        <w:rPr>
          <w:rFonts w:hint="eastAsia" w:ascii="宋体" w:hAnsi="宋体" w:eastAsia="宋体" w:cs="宋体"/>
          <w:b/>
          <w:bCs/>
          <w:sz w:val="24"/>
          <w:szCs w:val="24"/>
        </w:rPr>
        <w:t>技术</w:t>
      </w:r>
      <w:r>
        <w:rPr>
          <w:rFonts w:hint="eastAsia" w:ascii="宋体" w:hAnsi="宋体" w:eastAsia="宋体" w:cs="宋体"/>
          <w:sz w:val="24"/>
          <w:szCs w:val="24"/>
        </w:rPr>
        <w:t>支持服务</w:t>
      </w:r>
    </w:p>
    <w:p>
      <w:pPr>
        <w:pageBreakBefore w:val="0"/>
        <w:widowControl w:val="0"/>
        <w:numPr>
          <w:ilvl w:val="0"/>
          <w:numId w:val="11"/>
        </w:numPr>
        <w:kinsoku/>
        <w:wordWrap/>
        <w:overflowPunct/>
        <w:topLinePunct w:val="0"/>
        <w:autoSpaceDE/>
        <w:autoSpaceDN/>
        <w:bidi w:val="0"/>
        <w:adjustRightInd/>
        <w:snapToGrid/>
        <w:spacing w:before="156" w:line="360" w:lineRule="auto"/>
        <w:ind w:left="425" w:firstLine="480"/>
        <w:textAlignment w:val="auto"/>
        <w:rPr>
          <w:rFonts w:hint="eastAsia" w:ascii="宋体" w:hAnsi="宋体" w:eastAsia="宋体" w:cs="宋体"/>
          <w:sz w:val="24"/>
          <w:szCs w:val="24"/>
        </w:rPr>
      </w:pPr>
      <w:r>
        <w:rPr>
          <w:rFonts w:hint="eastAsia" w:ascii="宋体" w:hAnsi="宋体" w:eastAsia="宋体" w:cs="宋体"/>
          <w:sz w:val="24"/>
          <w:szCs w:val="24"/>
        </w:rPr>
        <w:t>在免费维护期内，</w:t>
      </w:r>
      <w:r>
        <w:rPr>
          <w:rFonts w:hint="eastAsia" w:ascii="宋体" w:hAnsi="宋体" w:eastAsia="宋体" w:cs="宋体"/>
          <w:sz w:val="24"/>
          <w:szCs w:val="24"/>
          <w:lang w:eastAsia="zh-CN"/>
        </w:rPr>
        <w:t>服务商</w:t>
      </w:r>
      <w:r>
        <w:rPr>
          <w:rFonts w:hint="eastAsia" w:ascii="宋体" w:hAnsi="宋体" w:eastAsia="宋体" w:cs="宋体"/>
          <w:sz w:val="24"/>
          <w:szCs w:val="24"/>
        </w:rPr>
        <w:t>提供技术支持和指导，以及软件的局部改进完善以及故障情况下的现场问题解决。</w:t>
      </w:r>
    </w:p>
    <w:p>
      <w:pPr>
        <w:pageBreakBefore w:val="0"/>
        <w:widowControl w:val="0"/>
        <w:numPr>
          <w:ilvl w:val="0"/>
          <w:numId w:val="11"/>
        </w:numPr>
        <w:kinsoku/>
        <w:wordWrap/>
        <w:overflowPunct/>
        <w:topLinePunct w:val="0"/>
        <w:autoSpaceDE/>
        <w:autoSpaceDN/>
        <w:bidi w:val="0"/>
        <w:adjustRightInd/>
        <w:snapToGrid/>
        <w:spacing w:before="156" w:line="360" w:lineRule="auto"/>
        <w:ind w:left="425" w:firstLine="480"/>
        <w:textAlignment w:val="auto"/>
        <w:rPr>
          <w:rFonts w:hint="eastAsia" w:ascii="宋体" w:hAnsi="宋体" w:eastAsia="宋体" w:cs="宋体"/>
          <w:sz w:val="24"/>
          <w:szCs w:val="24"/>
        </w:rPr>
      </w:pPr>
      <w:r>
        <w:rPr>
          <w:rFonts w:hint="eastAsia" w:ascii="宋体" w:hAnsi="宋体" w:eastAsia="宋体" w:cs="宋体"/>
          <w:sz w:val="24"/>
          <w:szCs w:val="24"/>
          <w:lang w:eastAsia="zh-CN"/>
        </w:rPr>
        <w:t>服务商</w:t>
      </w:r>
      <w:r>
        <w:rPr>
          <w:rFonts w:hint="eastAsia" w:ascii="宋体" w:hAnsi="宋体" w:eastAsia="宋体" w:cs="宋体"/>
          <w:sz w:val="24"/>
          <w:szCs w:val="24"/>
        </w:rPr>
        <w:t>7*24小时服务热线，安排合格的技术工程师提供技术热线。</w:t>
      </w:r>
    </w:p>
    <w:p>
      <w:pPr>
        <w:pageBreakBefore w:val="0"/>
        <w:widowControl w:val="0"/>
        <w:numPr>
          <w:ilvl w:val="0"/>
          <w:numId w:val="11"/>
        </w:numPr>
        <w:kinsoku/>
        <w:wordWrap/>
        <w:overflowPunct/>
        <w:topLinePunct w:val="0"/>
        <w:autoSpaceDE/>
        <w:autoSpaceDN/>
        <w:bidi w:val="0"/>
        <w:adjustRightInd/>
        <w:snapToGrid/>
        <w:spacing w:before="156" w:line="360" w:lineRule="auto"/>
        <w:ind w:left="425" w:firstLine="480"/>
        <w:textAlignment w:val="auto"/>
        <w:rPr>
          <w:rFonts w:hint="eastAsia" w:ascii="宋体" w:hAnsi="宋体" w:eastAsia="宋体" w:cs="宋体"/>
          <w:sz w:val="24"/>
          <w:szCs w:val="24"/>
        </w:rPr>
      </w:pPr>
      <w:bookmarkStart w:id="7" w:name="_Hlk516418580"/>
      <w:r>
        <w:rPr>
          <w:rFonts w:hint="eastAsia" w:ascii="宋体" w:hAnsi="宋体" w:eastAsia="宋体" w:cs="宋体"/>
          <w:sz w:val="24"/>
          <w:szCs w:val="24"/>
        </w:rPr>
        <w:t>如果项目实施产出物或项目在质保期内出现一般性故障，</w:t>
      </w:r>
      <w:r>
        <w:rPr>
          <w:rFonts w:hint="eastAsia" w:ascii="宋体" w:hAnsi="宋体" w:eastAsia="宋体" w:cs="宋体"/>
          <w:sz w:val="24"/>
          <w:szCs w:val="24"/>
          <w:lang w:eastAsia="zh-CN"/>
        </w:rPr>
        <w:t>服务商</w:t>
      </w:r>
      <w:r>
        <w:rPr>
          <w:rFonts w:hint="eastAsia" w:ascii="宋体" w:hAnsi="宋体" w:eastAsia="宋体" w:cs="宋体"/>
          <w:sz w:val="24"/>
          <w:szCs w:val="24"/>
        </w:rPr>
        <w:t>应在接到</w:t>
      </w:r>
      <w:r>
        <w:rPr>
          <w:rFonts w:hint="eastAsia" w:ascii="宋体" w:hAnsi="宋体" w:eastAsia="宋体" w:cs="宋体"/>
          <w:sz w:val="24"/>
          <w:szCs w:val="24"/>
          <w:lang w:eastAsia="zh-CN"/>
        </w:rPr>
        <w:t>院方</w:t>
      </w:r>
      <w:r>
        <w:rPr>
          <w:rFonts w:hint="eastAsia" w:ascii="宋体" w:hAnsi="宋体" w:eastAsia="宋体" w:cs="宋体"/>
          <w:sz w:val="24"/>
          <w:szCs w:val="24"/>
        </w:rPr>
        <w:t>报修通知内</w:t>
      </w:r>
      <w:r>
        <w:rPr>
          <w:rFonts w:hint="eastAsia" w:ascii="宋体" w:hAnsi="宋体" w:eastAsia="宋体" w:cs="宋体"/>
          <w:sz w:val="24"/>
          <w:szCs w:val="24"/>
          <w:u w:val="single"/>
        </w:rPr>
        <w:t>0.5</w:t>
      </w:r>
      <w:r>
        <w:rPr>
          <w:rFonts w:hint="eastAsia" w:ascii="宋体" w:hAnsi="宋体" w:eastAsia="宋体" w:cs="宋体"/>
          <w:sz w:val="24"/>
          <w:szCs w:val="24"/>
        </w:rPr>
        <w:t>小时内（含本数）做出处理响应；如果项目实施产出物或项目在质保期内出现重大故障，</w:t>
      </w:r>
      <w:r>
        <w:rPr>
          <w:rFonts w:hint="eastAsia" w:ascii="宋体" w:hAnsi="宋体" w:eastAsia="宋体" w:cs="宋体"/>
          <w:sz w:val="24"/>
          <w:szCs w:val="24"/>
          <w:lang w:eastAsia="zh-CN"/>
        </w:rPr>
        <w:t>服务商</w:t>
      </w:r>
      <w:r>
        <w:rPr>
          <w:rFonts w:hint="eastAsia" w:ascii="宋体" w:hAnsi="宋体" w:eastAsia="宋体" w:cs="宋体"/>
          <w:sz w:val="24"/>
          <w:szCs w:val="24"/>
        </w:rPr>
        <w:t>应立即派遣工程技术人员用最快捷的交通工具在</w:t>
      </w:r>
      <w:r>
        <w:rPr>
          <w:rFonts w:hint="eastAsia" w:ascii="宋体" w:hAnsi="宋体" w:eastAsia="宋体" w:cs="宋体"/>
          <w:sz w:val="24"/>
          <w:szCs w:val="24"/>
          <w:u w:val="single"/>
        </w:rPr>
        <w:t>1</w:t>
      </w:r>
      <w:r>
        <w:rPr>
          <w:rFonts w:hint="eastAsia" w:ascii="宋体" w:hAnsi="宋体" w:eastAsia="宋体" w:cs="宋体"/>
          <w:sz w:val="24"/>
          <w:szCs w:val="24"/>
        </w:rPr>
        <w:t>小时内（含本数）往达现场处理。</w:t>
      </w:r>
      <w:r>
        <w:rPr>
          <w:rFonts w:hint="eastAsia" w:ascii="宋体" w:hAnsi="宋体" w:eastAsia="宋体" w:cs="宋体"/>
          <w:sz w:val="24"/>
          <w:szCs w:val="24"/>
          <w:lang w:eastAsia="zh-CN"/>
        </w:rPr>
        <w:t>服务商</w:t>
      </w:r>
      <w:r>
        <w:rPr>
          <w:rFonts w:hint="eastAsia" w:ascii="宋体" w:hAnsi="宋体" w:eastAsia="宋体" w:cs="宋体"/>
          <w:sz w:val="24"/>
          <w:szCs w:val="24"/>
        </w:rPr>
        <w:t>需提出解决方案，工作至故障修妥完全恢复正常服务为止，修复时间不超过</w:t>
      </w:r>
      <w:r>
        <w:rPr>
          <w:rFonts w:hint="eastAsia" w:ascii="宋体" w:hAnsi="宋体" w:eastAsia="宋体" w:cs="宋体"/>
          <w:sz w:val="24"/>
          <w:szCs w:val="24"/>
          <w:u w:val="single"/>
        </w:rPr>
        <w:t>2</w:t>
      </w:r>
      <w:r>
        <w:rPr>
          <w:rFonts w:hint="eastAsia" w:ascii="宋体" w:hAnsi="宋体" w:eastAsia="宋体" w:cs="宋体"/>
          <w:sz w:val="24"/>
          <w:szCs w:val="24"/>
        </w:rPr>
        <w:t>个工作日。</w:t>
      </w:r>
    </w:p>
    <w:bookmarkEnd w:id="7"/>
    <w:p>
      <w:pPr>
        <w:pageBreakBefore w:val="0"/>
        <w:widowControl w:val="0"/>
        <w:numPr>
          <w:ilvl w:val="0"/>
          <w:numId w:val="11"/>
        </w:numPr>
        <w:kinsoku/>
        <w:wordWrap/>
        <w:overflowPunct/>
        <w:topLinePunct w:val="0"/>
        <w:autoSpaceDE/>
        <w:autoSpaceDN/>
        <w:bidi w:val="0"/>
        <w:adjustRightInd/>
        <w:snapToGrid/>
        <w:spacing w:before="156" w:line="360" w:lineRule="auto"/>
        <w:ind w:left="425" w:firstLine="480"/>
        <w:textAlignment w:val="auto"/>
        <w:rPr>
          <w:rFonts w:hint="eastAsia" w:ascii="宋体" w:hAnsi="宋体" w:eastAsia="宋体" w:cs="宋体"/>
          <w:sz w:val="24"/>
          <w:szCs w:val="24"/>
        </w:rPr>
      </w:pPr>
      <w:r>
        <w:rPr>
          <w:rFonts w:hint="eastAsia" w:ascii="宋体" w:hAnsi="宋体" w:eastAsia="宋体" w:cs="宋体"/>
          <w:sz w:val="24"/>
          <w:szCs w:val="24"/>
          <w:lang w:eastAsia="zh-CN"/>
        </w:rPr>
        <w:t>服务商</w:t>
      </w:r>
      <w:r>
        <w:rPr>
          <w:rFonts w:hint="eastAsia" w:ascii="宋体" w:hAnsi="宋体" w:eastAsia="宋体" w:cs="宋体"/>
          <w:sz w:val="24"/>
          <w:szCs w:val="24"/>
        </w:rPr>
        <w:t>应作出无推诿承诺。即</w:t>
      </w:r>
      <w:r>
        <w:rPr>
          <w:rFonts w:hint="eastAsia" w:ascii="宋体" w:hAnsi="宋体" w:eastAsia="宋体" w:cs="宋体"/>
          <w:sz w:val="24"/>
          <w:szCs w:val="24"/>
          <w:lang w:eastAsia="zh-CN"/>
        </w:rPr>
        <w:t>服务商</w:t>
      </w:r>
      <w:r>
        <w:rPr>
          <w:rFonts w:hint="eastAsia" w:ascii="宋体" w:hAnsi="宋体" w:eastAsia="宋体" w:cs="宋体"/>
          <w:sz w:val="24"/>
          <w:szCs w:val="24"/>
        </w:rPr>
        <w:t>在收到</w:t>
      </w:r>
      <w:r>
        <w:rPr>
          <w:rFonts w:hint="eastAsia" w:ascii="宋体" w:hAnsi="宋体" w:eastAsia="宋体" w:cs="宋体"/>
          <w:sz w:val="24"/>
          <w:szCs w:val="24"/>
          <w:lang w:eastAsia="zh-CN"/>
        </w:rPr>
        <w:t>院方</w:t>
      </w:r>
      <w:r>
        <w:rPr>
          <w:rFonts w:hint="eastAsia" w:ascii="宋体" w:hAnsi="宋体" w:eastAsia="宋体" w:cs="宋体"/>
          <w:sz w:val="24"/>
          <w:szCs w:val="24"/>
        </w:rPr>
        <w:t>报修通知及要求后，须立即派技术人员到场，全力协助、使系统尽快恢复正常。</w:t>
      </w:r>
    </w:p>
    <w:p>
      <w:pPr>
        <w:pageBreakBefore w:val="0"/>
        <w:widowControl w:val="0"/>
        <w:numPr>
          <w:ilvl w:val="0"/>
          <w:numId w:val="11"/>
        </w:numPr>
        <w:kinsoku/>
        <w:wordWrap/>
        <w:overflowPunct/>
        <w:topLinePunct w:val="0"/>
        <w:autoSpaceDE/>
        <w:autoSpaceDN/>
        <w:bidi w:val="0"/>
        <w:adjustRightInd/>
        <w:snapToGrid/>
        <w:spacing w:before="156" w:line="360" w:lineRule="auto"/>
        <w:ind w:left="425" w:firstLine="480"/>
        <w:textAlignment w:val="auto"/>
        <w:rPr>
          <w:rFonts w:hint="eastAsia" w:ascii="宋体" w:hAnsi="宋体" w:eastAsia="宋体" w:cs="宋体"/>
          <w:sz w:val="24"/>
          <w:szCs w:val="24"/>
        </w:rPr>
      </w:pPr>
      <w:r>
        <w:rPr>
          <w:rFonts w:hint="eastAsia" w:ascii="宋体" w:hAnsi="宋体" w:eastAsia="宋体" w:cs="宋体"/>
          <w:sz w:val="24"/>
          <w:szCs w:val="24"/>
        </w:rPr>
        <w:t>超过免费维护期的，双方另行协商签订维护合同，</w:t>
      </w:r>
      <w:r>
        <w:rPr>
          <w:rFonts w:hint="eastAsia" w:ascii="宋体" w:hAnsi="宋体" w:eastAsia="宋体" w:cs="宋体"/>
          <w:sz w:val="24"/>
          <w:szCs w:val="24"/>
          <w:lang w:eastAsia="zh-CN"/>
        </w:rPr>
        <w:t>服务商</w:t>
      </w:r>
      <w:r>
        <w:rPr>
          <w:rFonts w:hint="eastAsia" w:ascii="宋体" w:hAnsi="宋体" w:eastAsia="宋体" w:cs="宋体"/>
          <w:sz w:val="24"/>
          <w:szCs w:val="24"/>
        </w:rPr>
        <w:t>报价不超过合同软件部分金额的</w:t>
      </w:r>
      <w:r>
        <w:rPr>
          <w:rFonts w:hint="eastAsia" w:ascii="宋体" w:hAnsi="宋体" w:eastAsia="宋体" w:cs="宋体"/>
          <w:sz w:val="24"/>
          <w:szCs w:val="24"/>
          <w:lang w:val="en-US" w:eastAsia="zh-CN"/>
        </w:rPr>
        <w:t>8</w:t>
      </w:r>
      <w:r>
        <w:rPr>
          <w:rFonts w:hint="eastAsia" w:ascii="宋体" w:hAnsi="宋体" w:eastAsia="宋体" w:cs="宋体"/>
          <w:sz w:val="24"/>
          <w:szCs w:val="24"/>
        </w:rPr>
        <w:t>%。</w:t>
      </w:r>
    </w:p>
    <w:p>
      <w:pPr>
        <w:pageBreakBefore w:val="0"/>
        <w:widowControl w:val="0"/>
        <w:numPr>
          <w:ilvl w:val="0"/>
          <w:numId w:val="11"/>
        </w:numPr>
        <w:kinsoku/>
        <w:wordWrap/>
        <w:overflowPunct/>
        <w:topLinePunct w:val="0"/>
        <w:autoSpaceDE/>
        <w:autoSpaceDN/>
        <w:bidi w:val="0"/>
        <w:adjustRightInd/>
        <w:snapToGrid/>
        <w:spacing w:before="156" w:line="360" w:lineRule="auto"/>
        <w:ind w:left="425" w:firstLine="480"/>
        <w:textAlignment w:val="auto"/>
        <w:rPr>
          <w:rFonts w:hint="eastAsia" w:ascii="宋体" w:hAnsi="宋体" w:eastAsia="宋体" w:cs="宋体"/>
          <w:sz w:val="24"/>
          <w:szCs w:val="24"/>
        </w:rPr>
      </w:pPr>
      <w:r>
        <w:rPr>
          <w:rFonts w:hint="eastAsia" w:ascii="宋体" w:hAnsi="宋体" w:eastAsia="宋体" w:cs="宋体"/>
          <w:sz w:val="24"/>
          <w:szCs w:val="24"/>
          <w:lang w:eastAsia="zh-CN"/>
        </w:rPr>
        <w:t>服务商</w:t>
      </w:r>
      <w:r>
        <w:rPr>
          <w:rFonts w:hint="eastAsia" w:ascii="宋体" w:hAnsi="宋体" w:eastAsia="宋体" w:cs="宋体"/>
          <w:sz w:val="24"/>
          <w:szCs w:val="24"/>
        </w:rPr>
        <w:t xml:space="preserve">须有完整的维护记录管理，确保所有问题提出及处理有记录，有供双方共同记录反馈的简捷的操作方式，达到经双方确认真实可信，可跟踪问题解决情况，查询所有维护记录，并可作为验收依据。 </w:t>
      </w:r>
    </w:p>
    <w:p>
      <w:pPr>
        <w:pageBreakBefore w:val="0"/>
        <w:widowControl w:val="0"/>
        <w:numPr>
          <w:ilvl w:val="0"/>
          <w:numId w:val="11"/>
        </w:numPr>
        <w:kinsoku/>
        <w:wordWrap/>
        <w:overflowPunct/>
        <w:topLinePunct w:val="0"/>
        <w:autoSpaceDE/>
        <w:autoSpaceDN/>
        <w:bidi w:val="0"/>
        <w:adjustRightInd/>
        <w:snapToGrid/>
        <w:spacing w:before="156" w:line="360" w:lineRule="auto"/>
        <w:ind w:left="425" w:firstLine="480"/>
        <w:textAlignment w:val="auto"/>
        <w:rPr>
          <w:rFonts w:hint="eastAsia" w:ascii="宋体" w:hAnsi="宋体" w:eastAsia="宋体" w:cs="宋体"/>
          <w:sz w:val="24"/>
          <w:szCs w:val="24"/>
        </w:rPr>
      </w:pPr>
      <w:r>
        <w:rPr>
          <w:rFonts w:hint="eastAsia" w:ascii="宋体" w:hAnsi="宋体" w:eastAsia="宋体" w:cs="宋体"/>
          <w:sz w:val="24"/>
          <w:szCs w:val="24"/>
          <w:lang w:eastAsia="zh-CN"/>
        </w:rPr>
        <w:t>服务商</w:t>
      </w:r>
      <w:r>
        <w:rPr>
          <w:rFonts w:hint="eastAsia" w:ascii="宋体" w:hAnsi="宋体" w:eastAsia="宋体" w:cs="宋体"/>
          <w:sz w:val="24"/>
          <w:szCs w:val="24"/>
        </w:rPr>
        <w:t>需根据</w:t>
      </w:r>
      <w:r>
        <w:rPr>
          <w:rFonts w:hint="eastAsia" w:ascii="宋体" w:hAnsi="宋体" w:eastAsia="宋体" w:cs="宋体"/>
          <w:sz w:val="24"/>
          <w:szCs w:val="24"/>
          <w:lang w:eastAsia="zh-CN"/>
        </w:rPr>
        <w:t>院方</w:t>
      </w:r>
      <w:r>
        <w:rPr>
          <w:rFonts w:hint="eastAsia" w:ascii="宋体" w:hAnsi="宋体" w:eastAsia="宋体" w:cs="宋体"/>
          <w:sz w:val="24"/>
          <w:szCs w:val="24"/>
        </w:rPr>
        <w:t>要求，安排维护人员使用</w:t>
      </w:r>
      <w:r>
        <w:rPr>
          <w:rFonts w:hint="eastAsia" w:ascii="宋体" w:hAnsi="宋体" w:eastAsia="宋体" w:cs="宋体"/>
          <w:sz w:val="24"/>
          <w:szCs w:val="24"/>
          <w:lang w:eastAsia="zh-CN"/>
        </w:rPr>
        <w:t>院方</w:t>
      </w:r>
      <w:r>
        <w:rPr>
          <w:rFonts w:hint="eastAsia" w:ascii="宋体" w:hAnsi="宋体" w:eastAsia="宋体" w:cs="宋体"/>
          <w:sz w:val="24"/>
          <w:szCs w:val="24"/>
        </w:rPr>
        <w:t>项目管理平台系统中的需求管理模块和缺陷（报障）管理模块，接收</w:t>
      </w:r>
      <w:r>
        <w:rPr>
          <w:rFonts w:hint="eastAsia" w:ascii="宋体" w:hAnsi="宋体" w:eastAsia="宋体" w:cs="宋体"/>
          <w:sz w:val="24"/>
          <w:szCs w:val="24"/>
          <w:lang w:eastAsia="zh-CN"/>
        </w:rPr>
        <w:t>院方</w:t>
      </w:r>
      <w:r>
        <w:rPr>
          <w:rFonts w:hint="eastAsia" w:ascii="宋体" w:hAnsi="宋体" w:eastAsia="宋体" w:cs="宋体"/>
          <w:sz w:val="24"/>
          <w:szCs w:val="24"/>
        </w:rPr>
        <w:t>相关报障及需求信息，并反馈相应处理信息，该维护记录可作为维保履约证明。</w:t>
      </w:r>
    </w:p>
    <w:p>
      <w:pPr>
        <w:pageBreakBefore w:val="0"/>
        <w:widowControl w:val="0"/>
        <w:numPr>
          <w:ilvl w:val="0"/>
          <w:numId w:val="11"/>
        </w:numPr>
        <w:kinsoku/>
        <w:wordWrap/>
        <w:overflowPunct/>
        <w:topLinePunct w:val="0"/>
        <w:autoSpaceDE/>
        <w:autoSpaceDN/>
        <w:bidi w:val="0"/>
        <w:adjustRightInd/>
        <w:snapToGrid/>
        <w:spacing w:before="156" w:line="360" w:lineRule="auto"/>
        <w:ind w:left="425" w:firstLine="480"/>
        <w:textAlignment w:val="auto"/>
        <w:rPr>
          <w:rFonts w:hint="eastAsia" w:ascii="宋体" w:hAnsi="宋体" w:eastAsia="宋体" w:cs="宋体"/>
          <w:sz w:val="24"/>
          <w:szCs w:val="24"/>
        </w:rPr>
      </w:pPr>
      <w:r>
        <w:rPr>
          <w:rFonts w:hint="eastAsia" w:ascii="宋体" w:hAnsi="宋体" w:eastAsia="宋体" w:cs="宋体"/>
          <w:sz w:val="24"/>
          <w:szCs w:val="24"/>
        </w:rPr>
        <w:t>定期（每月）进行系统巡检，对系统运行的软硬件情况（尤其是数据库环境）进行监控，并出具巡检报告，针对潜在的风险应提供解决方案并实施。</w:t>
      </w:r>
    </w:p>
    <w:p>
      <w:pPr>
        <w:pStyle w:val="3"/>
        <w:pageBreakBefore w:val="0"/>
        <w:widowControl w:val="0"/>
        <w:numPr>
          <w:ilvl w:val="1"/>
          <w:numId w:val="3"/>
        </w:numPr>
        <w:kinsoku/>
        <w:wordWrap/>
        <w:overflowPunct/>
        <w:topLinePunct w:val="0"/>
        <w:autoSpaceDE/>
        <w:autoSpaceDN/>
        <w:bidi w:val="0"/>
        <w:adjustRightInd/>
        <w:snapToGrid/>
        <w:spacing w:line="360" w:lineRule="auto"/>
        <w:ind w:left="567" w:leftChars="0" w:hanging="567" w:firstLineChars="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提供详细的维护人员清单</w:t>
      </w:r>
    </w:p>
    <w:p>
      <w:pPr>
        <w:pageBreakBefore w:val="0"/>
        <w:widowControl w:val="0"/>
        <w:numPr>
          <w:ilvl w:val="0"/>
          <w:numId w:val="12"/>
        </w:numPr>
        <w:kinsoku/>
        <w:wordWrap/>
        <w:overflowPunct/>
        <w:topLinePunct w:val="0"/>
        <w:autoSpaceDE/>
        <w:autoSpaceDN/>
        <w:bidi w:val="0"/>
        <w:adjustRightInd/>
        <w:snapToGrid/>
        <w:spacing w:before="156" w:line="360" w:lineRule="auto"/>
        <w:ind w:left="425" w:firstLine="480"/>
        <w:textAlignment w:val="auto"/>
        <w:rPr>
          <w:rFonts w:hint="eastAsia" w:ascii="宋体" w:hAnsi="宋体" w:eastAsia="宋体" w:cs="宋体"/>
          <w:sz w:val="24"/>
          <w:szCs w:val="24"/>
        </w:rPr>
      </w:pPr>
      <w:r>
        <w:rPr>
          <w:rFonts w:hint="eastAsia" w:ascii="宋体" w:hAnsi="宋体" w:eastAsia="宋体" w:cs="宋体"/>
          <w:sz w:val="24"/>
          <w:szCs w:val="24"/>
          <w:lang w:eastAsia="zh-CN"/>
        </w:rPr>
        <w:t>服务商</w:t>
      </w:r>
      <w:r>
        <w:rPr>
          <w:rFonts w:hint="eastAsia" w:ascii="宋体" w:hAnsi="宋体" w:eastAsia="宋体" w:cs="宋体"/>
          <w:sz w:val="24"/>
          <w:szCs w:val="24"/>
        </w:rPr>
        <w:t>能为</w:t>
      </w:r>
      <w:r>
        <w:rPr>
          <w:rFonts w:hint="eastAsia" w:ascii="宋体" w:hAnsi="宋体" w:eastAsia="宋体" w:cs="宋体"/>
          <w:sz w:val="24"/>
          <w:szCs w:val="24"/>
          <w:lang w:eastAsia="zh-CN"/>
        </w:rPr>
        <w:t>院方</w:t>
      </w:r>
      <w:r>
        <w:rPr>
          <w:rFonts w:hint="eastAsia" w:ascii="宋体" w:hAnsi="宋体" w:eastAsia="宋体" w:cs="宋体"/>
          <w:sz w:val="24"/>
          <w:szCs w:val="24"/>
        </w:rPr>
        <w:t>提供维护及服务的部门及固定的专职技术人员。</w:t>
      </w:r>
    </w:p>
    <w:p>
      <w:pPr>
        <w:pageBreakBefore w:val="0"/>
        <w:widowControl w:val="0"/>
        <w:numPr>
          <w:ilvl w:val="0"/>
          <w:numId w:val="12"/>
        </w:numPr>
        <w:kinsoku/>
        <w:wordWrap/>
        <w:overflowPunct/>
        <w:topLinePunct w:val="0"/>
        <w:autoSpaceDE/>
        <w:autoSpaceDN/>
        <w:bidi w:val="0"/>
        <w:adjustRightInd/>
        <w:snapToGrid/>
        <w:spacing w:before="156" w:line="360" w:lineRule="auto"/>
        <w:ind w:left="425" w:firstLine="480"/>
        <w:textAlignment w:val="auto"/>
        <w:rPr>
          <w:rFonts w:hint="eastAsia" w:ascii="宋体" w:hAnsi="宋体" w:eastAsia="宋体" w:cs="宋体"/>
          <w:sz w:val="24"/>
          <w:szCs w:val="24"/>
        </w:rPr>
      </w:pPr>
      <w:r>
        <w:rPr>
          <w:rFonts w:hint="eastAsia" w:ascii="宋体" w:hAnsi="宋体" w:eastAsia="宋体" w:cs="宋体"/>
          <w:sz w:val="24"/>
          <w:szCs w:val="24"/>
        </w:rPr>
        <w:t>免费维保期内</w:t>
      </w:r>
      <w:r>
        <w:rPr>
          <w:rFonts w:hint="eastAsia" w:ascii="宋体" w:hAnsi="宋体" w:eastAsia="宋体" w:cs="宋体"/>
          <w:sz w:val="24"/>
          <w:szCs w:val="24"/>
          <w:lang w:eastAsia="zh-CN"/>
        </w:rPr>
        <w:t>服务商</w:t>
      </w:r>
      <w:r>
        <w:rPr>
          <w:rFonts w:hint="eastAsia" w:ascii="宋体" w:hAnsi="宋体" w:eastAsia="宋体" w:cs="宋体"/>
          <w:sz w:val="24"/>
          <w:szCs w:val="24"/>
        </w:rPr>
        <w:t>提供专职工程师</w:t>
      </w:r>
      <w:r>
        <w:rPr>
          <w:rFonts w:hint="eastAsia" w:ascii="宋体" w:hAnsi="宋体" w:eastAsia="宋体" w:cs="宋体"/>
          <w:sz w:val="24"/>
          <w:szCs w:val="24"/>
          <w:u w:val="single"/>
          <w:lang w:val="en-US" w:eastAsia="zh-CN"/>
        </w:rPr>
        <w:t>1</w:t>
      </w:r>
      <w:r>
        <w:rPr>
          <w:rFonts w:hint="eastAsia" w:ascii="宋体" w:hAnsi="宋体" w:eastAsia="宋体" w:cs="宋体"/>
          <w:sz w:val="24"/>
          <w:szCs w:val="24"/>
        </w:rPr>
        <w:t>名驻扎本院，工作时间与</w:t>
      </w:r>
      <w:r>
        <w:rPr>
          <w:rFonts w:hint="eastAsia" w:ascii="宋体" w:hAnsi="宋体" w:eastAsia="宋体" w:cs="宋体"/>
          <w:sz w:val="24"/>
          <w:szCs w:val="24"/>
          <w:lang w:eastAsia="zh-CN"/>
        </w:rPr>
        <w:t>院方</w:t>
      </w:r>
      <w:r>
        <w:rPr>
          <w:rFonts w:hint="eastAsia" w:ascii="宋体" w:hAnsi="宋体" w:eastAsia="宋体" w:cs="宋体"/>
          <w:sz w:val="24"/>
          <w:szCs w:val="24"/>
        </w:rPr>
        <w:t>工作时间一致，并且提供7*24小时响应服务。</w:t>
      </w:r>
    </w:p>
    <w:p>
      <w:pPr>
        <w:pageBreakBefore w:val="0"/>
        <w:widowControl w:val="0"/>
        <w:numPr>
          <w:ilvl w:val="0"/>
          <w:numId w:val="12"/>
        </w:numPr>
        <w:kinsoku/>
        <w:wordWrap/>
        <w:overflowPunct/>
        <w:topLinePunct w:val="0"/>
        <w:autoSpaceDE/>
        <w:autoSpaceDN/>
        <w:bidi w:val="0"/>
        <w:adjustRightInd/>
        <w:snapToGrid/>
        <w:spacing w:before="156" w:line="360" w:lineRule="auto"/>
        <w:ind w:left="425" w:firstLine="480"/>
        <w:textAlignment w:val="auto"/>
        <w:rPr>
          <w:rFonts w:hint="eastAsia" w:ascii="宋体" w:hAnsi="宋体" w:eastAsia="宋体" w:cs="宋体"/>
          <w:sz w:val="24"/>
          <w:szCs w:val="24"/>
        </w:rPr>
      </w:pPr>
      <w:r>
        <w:rPr>
          <w:rFonts w:hint="eastAsia" w:ascii="宋体" w:hAnsi="宋体" w:eastAsia="宋体" w:cs="宋体"/>
          <w:sz w:val="24"/>
          <w:szCs w:val="24"/>
        </w:rPr>
        <w:t>维保人员的资质要求，在</w:t>
      </w:r>
      <w:r>
        <w:rPr>
          <w:rFonts w:hint="eastAsia" w:ascii="宋体" w:hAnsi="宋体" w:eastAsia="宋体" w:cs="宋体"/>
          <w:sz w:val="24"/>
          <w:szCs w:val="24"/>
          <w:lang w:eastAsia="zh-CN"/>
        </w:rPr>
        <w:t>服务商</w:t>
      </w:r>
      <w:r>
        <w:rPr>
          <w:rFonts w:hint="eastAsia" w:ascii="宋体" w:hAnsi="宋体" w:eastAsia="宋体" w:cs="宋体"/>
          <w:sz w:val="24"/>
          <w:szCs w:val="24"/>
        </w:rPr>
        <w:t>工作时间大于1年，具有相关项目实施或维护经历，如</w:t>
      </w:r>
      <w:r>
        <w:rPr>
          <w:rFonts w:hint="eastAsia" w:ascii="宋体" w:hAnsi="宋体" w:eastAsia="宋体" w:cs="宋体"/>
          <w:sz w:val="24"/>
          <w:szCs w:val="24"/>
          <w:lang w:eastAsia="zh-CN"/>
        </w:rPr>
        <w:t>院方</w:t>
      </w:r>
      <w:r>
        <w:rPr>
          <w:rFonts w:hint="eastAsia" w:ascii="宋体" w:hAnsi="宋体" w:eastAsia="宋体" w:cs="宋体"/>
          <w:sz w:val="24"/>
          <w:szCs w:val="24"/>
        </w:rPr>
        <w:t>对维保人员不满意，</w:t>
      </w:r>
      <w:r>
        <w:rPr>
          <w:rFonts w:hint="eastAsia" w:ascii="宋体" w:hAnsi="宋体" w:eastAsia="宋体" w:cs="宋体"/>
          <w:sz w:val="24"/>
          <w:szCs w:val="24"/>
          <w:lang w:eastAsia="zh-CN"/>
        </w:rPr>
        <w:t>服务商</w:t>
      </w:r>
      <w:r>
        <w:rPr>
          <w:rFonts w:hint="eastAsia" w:ascii="宋体" w:hAnsi="宋体" w:eastAsia="宋体" w:cs="宋体"/>
          <w:sz w:val="24"/>
          <w:szCs w:val="24"/>
        </w:rPr>
        <w:t>应无条件重新安排人员。</w:t>
      </w:r>
    </w:p>
    <w:p>
      <w:pPr>
        <w:pageBreakBefore w:val="0"/>
        <w:widowControl w:val="0"/>
        <w:numPr>
          <w:ilvl w:val="0"/>
          <w:numId w:val="12"/>
        </w:numPr>
        <w:kinsoku/>
        <w:wordWrap/>
        <w:overflowPunct/>
        <w:topLinePunct w:val="0"/>
        <w:autoSpaceDE/>
        <w:autoSpaceDN/>
        <w:bidi w:val="0"/>
        <w:adjustRightInd/>
        <w:snapToGrid/>
        <w:spacing w:before="156" w:line="360" w:lineRule="auto"/>
        <w:ind w:left="425" w:firstLine="480"/>
        <w:textAlignment w:val="auto"/>
        <w:rPr>
          <w:rFonts w:hint="eastAsia" w:ascii="宋体" w:hAnsi="宋体" w:eastAsia="宋体" w:cs="宋体"/>
          <w:sz w:val="24"/>
          <w:szCs w:val="24"/>
        </w:rPr>
      </w:pPr>
      <w:r>
        <w:rPr>
          <w:rFonts w:hint="eastAsia" w:ascii="宋体" w:hAnsi="宋体" w:eastAsia="宋体" w:cs="宋体"/>
          <w:sz w:val="24"/>
          <w:szCs w:val="24"/>
          <w:lang w:eastAsia="zh-CN"/>
        </w:rPr>
        <w:t>服务商</w:t>
      </w:r>
      <w:r>
        <w:rPr>
          <w:rFonts w:hint="eastAsia" w:ascii="宋体" w:hAnsi="宋体" w:eastAsia="宋体" w:cs="宋体"/>
          <w:sz w:val="24"/>
          <w:szCs w:val="24"/>
        </w:rPr>
        <w:t>须向</w:t>
      </w:r>
      <w:r>
        <w:rPr>
          <w:rFonts w:hint="eastAsia" w:ascii="宋体" w:hAnsi="宋体" w:eastAsia="宋体" w:cs="宋体"/>
          <w:sz w:val="24"/>
          <w:szCs w:val="24"/>
          <w:lang w:eastAsia="zh-CN"/>
        </w:rPr>
        <w:t>院方</w:t>
      </w:r>
      <w:r>
        <w:rPr>
          <w:rFonts w:hint="eastAsia" w:ascii="宋体" w:hAnsi="宋体" w:eastAsia="宋体" w:cs="宋体"/>
          <w:sz w:val="24"/>
          <w:szCs w:val="24"/>
        </w:rPr>
        <w:t>提供上述维护人员清单及其联系方式，确保</w:t>
      </w:r>
      <w:r>
        <w:rPr>
          <w:rFonts w:hint="eastAsia" w:ascii="宋体" w:hAnsi="宋体" w:eastAsia="宋体" w:cs="宋体"/>
          <w:sz w:val="24"/>
          <w:szCs w:val="24"/>
          <w:lang w:eastAsia="zh-CN"/>
        </w:rPr>
        <w:t>院方</w:t>
      </w:r>
      <w:r>
        <w:rPr>
          <w:rFonts w:hint="eastAsia" w:ascii="宋体" w:hAnsi="宋体" w:eastAsia="宋体" w:cs="宋体"/>
          <w:sz w:val="24"/>
          <w:szCs w:val="24"/>
        </w:rPr>
        <w:t>随时联系。</w:t>
      </w:r>
    </w:p>
    <w:p>
      <w:pPr>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lang w:val="en-US" w:eastAsia="zh-CN"/>
        </w:rPr>
      </w:pPr>
    </w:p>
    <w:p>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lang w:eastAsia="zh-CN"/>
        </w:rPr>
      </w:pPr>
    </w:p>
    <w:p>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FF0000"/>
          <w:sz w:val="24"/>
          <w:szCs w:val="24"/>
        </w:rPr>
      </w:pPr>
      <w:r>
        <w:rPr>
          <w:rFonts w:hint="eastAsia" w:ascii="宋体" w:hAnsi="宋体" w:eastAsia="宋体" w:cs="宋体"/>
          <w:b/>
          <w:sz w:val="24"/>
          <w:szCs w:val="24"/>
        </w:rPr>
        <w:t>三、商务要求</w:t>
      </w:r>
    </w:p>
    <w:tbl>
      <w:tblPr>
        <w:tblStyle w:val="11"/>
        <w:tblpPr w:leftFromText="180" w:rightFromText="180" w:vertAnchor="text" w:tblpY="693"/>
        <w:tblW w:w="9340" w:type="dxa"/>
        <w:tblInd w:w="0" w:type="dxa"/>
        <w:tblLayout w:type="autofit"/>
        <w:tblCellMar>
          <w:top w:w="0" w:type="dxa"/>
          <w:left w:w="108" w:type="dxa"/>
          <w:bottom w:w="0" w:type="dxa"/>
          <w:right w:w="108" w:type="dxa"/>
        </w:tblCellMar>
      </w:tblPr>
      <w:tblGrid>
        <w:gridCol w:w="1080"/>
        <w:gridCol w:w="3440"/>
        <w:gridCol w:w="1700"/>
        <w:gridCol w:w="3120"/>
      </w:tblGrid>
      <w:tr>
        <w:tblPrEx>
          <w:tblCellMar>
            <w:top w:w="0" w:type="dxa"/>
            <w:left w:w="108" w:type="dxa"/>
            <w:bottom w:w="0" w:type="dxa"/>
            <w:right w:w="108" w:type="dxa"/>
          </w:tblCellMar>
        </w:tblPrEx>
        <w:trPr>
          <w:trHeight w:val="375" w:hRule="atLeast"/>
        </w:trPr>
        <w:tc>
          <w:tcPr>
            <w:tcW w:w="1080" w:type="dxa"/>
            <w:tcBorders>
              <w:top w:val="single" w:color="auto" w:sz="8" w:space="0"/>
              <w:left w:val="single" w:color="auto" w:sz="8" w:space="0"/>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项目</w:t>
            </w:r>
          </w:p>
        </w:tc>
        <w:tc>
          <w:tcPr>
            <w:tcW w:w="3440" w:type="dxa"/>
            <w:tcBorders>
              <w:top w:val="single" w:color="auto" w:sz="8" w:space="0"/>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关键控制点</w:t>
            </w:r>
          </w:p>
        </w:tc>
        <w:tc>
          <w:tcPr>
            <w:tcW w:w="1700" w:type="dxa"/>
            <w:tcBorders>
              <w:top w:val="single" w:color="auto" w:sz="8" w:space="0"/>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衡量内容</w:t>
            </w:r>
          </w:p>
        </w:tc>
        <w:tc>
          <w:tcPr>
            <w:tcW w:w="3120" w:type="dxa"/>
            <w:tcBorders>
              <w:top w:val="single" w:color="auto" w:sz="8" w:space="0"/>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目标</w:t>
            </w:r>
          </w:p>
        </w:tc>
      </w:tr>
      <w:tr>
        <w:tblPrEx>
          <w:tblCellMar>
            <w:top w:w="0" w:type="dxa"/>
            <w:left w:w="108" w:type="dxa"/>
            <w:bottom w:w="0" w:type="dxa"/>
            <w:right w:w="108" w:type="dxa"/>
          </w:tblCellMar>
        </w:tblPrEx>
        <w:trPr>
          <w:trHeight w:val="705" w:hRule="atLeast"/>
        </w:trPr>
        <w:tc>
          <w:tcPr>
            <w:tcW w:w="1080" w:type="dxa"/>
            <w:vMerge w:val="restart"/>
            <w:tcBorders>
              <w:top w:val="nil"/>
              <w:left w:val="single" w:color="auto" w:sz="8" w:space="0"/>
              <w:bottom w:val="single" w:color="000000"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服务响应时间</w:t>
            </w:r>
          </w:p>
        </w:tc>
        <w:tc>
          <w:tcPr>
            <w:tcW w:w="3440" w:type="dxa"/>
            <w:tcBorders>
              <w:top w:val="nil"/>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现场响应能力</w:t>
            </w:r>
          </w:p>
        </w:tc>
        <w:tc>
          <w:tcPr>
            <w:tcW w:w="1700" w:type="dxa"/>
            <w:tcBorders>
              <w:top w:val="nil"/>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工作时间</w:t>
            </w:r>
          </w:p>
        </w:tc>
        <w:tc>
          <w:tcPr>
            <w:tcW w:w="3120" w:type="dxa"/>
            <w:tcBorders>
              <w:top w:val="nil"/>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7x24</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（0:00AM--23：59PM）</w:t>
            </w:r>
          </w:p>
        </w:tc>
      </w:tr>
      <w:tr>
        <w:tblPrEx>
          <w:tblCellMar>
            <w:top w:w="0" w:type="dxa"/>
            <w:left w:w="108" w:type="dxa"/>
            <w:bottom w:w="0" w:type="dxa"/>
            <w:right w:w="108" w:type="dxa"/>
          </w:tblCellMar>
        </w:tblPrEx>
        <w:trPr>
          <w:trHeight w:val="705" w:hRule="atLeast"/>
        </w:trPr>
        <w:tc>
          <w:tcPr>
            <w:tcW w:w="1080" w:type="dxa"/>
            <w:vMerge w:val="continue"/>
            <w:tcBorders>
              <w:top w:val="nil"/>
              <w:left w:val="single" w:color="auto" w:sz="8" w:space="0"/>
              <w:bottom w:val="single" w:color="000000" w:sz="8" w:space="0"/>
              <w:right w:val="single" w:color="auto" w:sz="8" w:space="0"/>
            </w:tcBorders>
            <w:vAlign w:val="center"/>
          </w:tcPr>
          <w:p>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000000"/>
                <w:sz w:val="24"/>
                <w:szCs w:val="24"/>
              </w:rPr>
            </w:pPr>
          </w:p>
        </w:tc>
        <w:tc>
          <w:tcPr>
            <w:tcW w:w="3440" w:type="dxa"/>
            <w:tcBorders>
              <w:top w:val="nil"/>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紧急故障（网络中断、影响重大项目申报）</w:t>
            </w:r>
          </w:p>
        </w:tc>
        <w:tc>
          <w:tcPr>
            <w:tcW w:w="1700" w:type="dxa"/>
            <w:tcBorders>
              <w:top w:val="nil"/>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响应时间</w:t>
            </w:r>
          </w:p>
        </w:tc>
        <w:tc>
          <w:tcPr>
            <w:tcW w:w="3120" w:type="dxa"/>
            <w:tcBorders>
              <w:top w:val="nil"/>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&lt;=15分钟</w:t>
            </w:r>
          </w:p>
        </w:tc>
      </w:tr>
      <w:tr>
        <w:tblPrEx>
          <w:tblCellMar>
            <w:top w:w="0" w:type="dxa"/>
            <w:left w:w="108" w:type="dxa"/>
            <w:bottom w:w="0" w:type="dxa"/>
            <w:right w:w="108" w:type="dxa"/>
          </w:tblCellMar>
        </w:tblPrEx>
        <w:trPr>
          <w:trHeight w:val="360" w:hRule="atLeast"/>
        </w:trPr>
        <w:tc>
          <w:tcPr>
            <w:tcW w:w="1080" w:type="dxa"/>
            <w:vMerge w:val="continue"/>
            <w:tcBorders>
              <w:top w:val="nil"/>
              <w:left w:val="single" w:color="auto" w:sz="8" w:space="0"/>
              <w:bottom w:val="single" w:color="000000" w:sz="8" w:space="0"/>
              <w:right w:val="single" w:color="auto" w:sz="8" w:space="0"/>
            </w:tcBorders>
            <w:vAlign w:val="center"/>
          </w:tcPr>
          <w:p>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000000"/>
                <w:sz w:val="24"/>
                <w:szCs w:val="24"/>
              </w:rPr>
            </w:pPr>
          </w:p>
        </w:tc>
        <w:tc>
          <w:tcPr>
            <w:tcW w:w="3440" w:type="dxa"/>
            <w:tcBorders>
              <w:top w:val="nil"/>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严重故障（网络性能下降）</w:t>
            </w:r>
          </w:p>
        </w:tc>
        <w:tc>
          <w:tcPr>
            <w:tcW w:w="1700" w:type="dxa"/>
            <w:tcBorders>
              <w:top w:val="nil"/>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响应时间</w:t>
            </w:r>
          </w:p>
        </w:tc>
        <w:tc>
          <w:tcPr>
            <w:tcW w:w="3120" w:type="dxa"/>
            <w:tcBorders>
              <w:top w:val="nil"/>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&lt;=0.5小时</w:t>
            </w:r>
          </w:p>
        </w:tc>
      </w:tr>
      <w:tr>
        <w:tblPrEx>
          <w:tblCellMar>
            <w:top w:w="0" w:type="dxa"/>
            <w:left w:w="108" w:type="dxa"/>
            <w:bottom w:w="0" w:type="dxa"/>
            <w:right w:w="108" w:type="dxa"/>
          </w:tblCellMar>
        </w:tblPrEx>
        <w:trPr>
          <w:trHeight w:val="705" w:hRule="atLeast"/>
        </w:trPr>
        <w:tc>
          <w:tcPr>
            <w:tcW w:w="1080" w:type="dxa"/>
            <w:vMerge w:val="continue"/>
            <w:tcBorders>
              <w:top w:val="nil"/>
              <w:left w:val="single" w:color="auto" w:sz="8" w:space="0"/>
              <w:bottom w:val="single" w:color="000000" w:sz="8" w:space="0"/>
              <w:right w:val="single" w:color="auto" w:sz="8" w:space="0"/>
            </w:tcBorders>
            <w:vAlign w:val="center"/>
          </w:tcPr>
          <w:p>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000000"/>
                <w:sz w:val="24"/>
                <w:szCs w:val="24"/>
              </w:rPr>
            </w:pPr>
          </w:p>
        </w:tc>
        <w:tc>
          <w:tcPr>
            <w:tcW w:w="3440" w:type="dxa"/>
            <w:tcBorders>
              <w:top w:val="nil"/>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一般故障（访问外部网站异常）</w:t>
            </w:r>
          </w:p>
        </w:tc>
        <w:tc>
          <w:tcPr>
            <w:tcW w:w="1700" w:type="dxa"/>
            <w:tcBorders>
              <w:top w:val="nil"/>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响应时间</w:t>
            </w:r>
          </w:p>
        </w:tc>
        <w:tc>
          <w:tcPr>
            <w:tcW w:w="3120" w:type="dxa"/>
            <w:tcBorders>
              <w:top w:val="nil"/>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&lt;=1小时</w:t>
            </w:r>
          </w:p>
        </w:tc>
      </w:tr>
      <w:tr>
        <w:tblPrEx>
          <w:tblCellMar>
            <w:top w:w="0" w:type="dxa"/>
            <w:left w:w="108" w:type="dxa"/>
            <w:bottom w:w="0" w:type="dxa"/>
            <w:right w:w="108" w:type="dxa"/>
          </w:tblCellMar>
        </w:tblPrEx>
        <w:trPr>
          <w:trHeight w:val="705" w:hRule="atLeast"/>
        </w:trPr>
        <w:tc>
          <w:tcPr>
            <w:tcW w:w="1080" w:type="dxa"/>
            <w:vMerge w:val="restart"/>
            <w:tcBorders>
              <w:top w:val="nil"/>
              <w:left w:val="single" w:color="auto" w:sz="8" w:space="0"/>
              <w:bottom w:val="single" w:color="000000"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主点</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服务周期</w:t>
            </w:r>
          </w:p>
        </w:tc>
        <w:tc>
          <w:tcPr>
            <w:tcW w:w="3440" w:type="dxa"/>
            <w:tcBorders>
              <w:top w:val="nil"/>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网络故障恢复</w:t>
            </w:r>
          </w:p>
        </w:tc>
        <w:tc>
          <w:tcPr>
            <w:tcW w:w="1700" w:type="dxa"/>
            <w:tcBorders>
              <w:top w:val="nil"/>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工作时间</w:t>
            </w:r>
          </w:p>
        </w:tc>
        <w:tc>
          <w:tcPr>
            <w:tcW w:w="3120" w:type="dxa"/>
            <w:tcBorders>
              <w:top w:val="nil"/>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7x24</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（0:00AM--23：59PM）</w:t>
            </w:r>
          </w:p>
        </w:tc>
      </w:tr>
      <w:tr>
        <w:tblPrEx>
          <w:tblCellMar>
            <w:top w:w="0" w:type="dxa"/>
            <w:left w:w="108" w:type="dxa"/>
            <w:bottom w:w="0" w:type="dxa"/>
            <w:right w:w="108" w:type="dxa"/>
          </w:tblCellMar>
        </w:tblPrEx>
        <w:trPr>
          <w:trHeight w:val="705" w:hRule="atLeast"/>
        </w:trPr>
        <w:tc>
          <w:tcPr>
            <w:tcW w:w="1080" w:type="dxa"/>
            <w:vMerge w:val="continue"/>
            <w:tcBorders>
              <w:top w:val="nil"/>
              <w:left w:val="single" w:color="auto" w:sz="8" w:space="0"/>
              <w:bottom w:val="single" w:color="000000" w:sz="8" w:space="0"/>
              <w:right w:val="single" w:color="auto" w:sz="8" w:space="0"/>
            </w:tcBorders>
            <w:vAlign w:val="center"/>
          </w:tcPr>
          <w:p>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000000"/>
                <w:sz w:val="24"/>
                <w:szCs w:val="24"/>
              </w:rPr>
            </w:pPr>
          </w:p>
        </w:tc>
        <w:tc>
          <w:tcPr>
            <w:tcW w:w="3440" w:type="dxa"/>
            <w:tcBorders>
              <w:top w:val="nil"/>
              <w:left w:val="nil"/>
              <w:bottom w:val="nil"/>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紧急故障（网络中断、影响重大项目申报）</w:t>
            </w:r>
          </w:p>
        </w:tc>
        <w:tc>
          <w:tcPr>
            <w:tcW w:w="1700" w:type="dxa"/>
            <w:tcBorders>
              <w:top w:val="nil"/>
              <w:left w:val="nil"/>
              <w:bottom w:val="nil"/>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故障恢复周期</w:t>
            </w:r>
          </w:p>
        </w:tc>
        <w:tc>
          <w:tcPr>
            <w:tcW w:w="3120" w:type="dxa"/>
            <w:tcBorders>
              <w:top w:val="nil"/>
              <w:left w:val="nil"/>
              <w:bottom w:val="nil"/>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&lt;=4小时</w:t>
            </w:r>
          </w:p>
        </w:tc>
      </w:tr>
      <w:tr>
        <w:tblPrEx>
          <w:tblCellMar>
            <w:top w:w="0" w:type="dxa"/>
            <w:left w:w="108" w:type="dxa"/>
            <w:bottom w:w="0" w:type="dxa"/>
            <w:right w:w="108" w:type="dxa"/>
          </w:tblCellMar>
        </w:tblPrEx>
        <w:trPr>
          <w:trHeight w:val="360" w:hRule="atLeast"/>
        </w:trPr>
        <w:tc>
          <w:tcPr>
            <w:tcW w:w="1080" w:type="dxa"/>
            <w:vMerge w:val="continue"/>
            <w:tcBorders>
              <w:top w:val="nil"/>
              <w:left w:val="single" w:color="auto" w:sz="8" w:space="0"/>
              <w:bottom w:val="single" w:color="000000" w:sz="8" w:space="0"/>
              <w:right w:val="single" w:color="auto" w:sz="8" w:space="0"/>
            </w:tcBorders>
            <w:vAlign w:val="center"/>
          </w:tcPr>
          <w:p>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000000"/>
                <w:sz w:val="24"/>
                <w:szCs w:val="24"/>
              </w:rPr>
            </w:pPr>
          </w:p>
        </w:tc>
        <w:tc>
          <w:tcPr>
            <w:tcW w:w="3440" w:type="dxa"/>
            <w:tcBorders>
              <w:top w:val="single" w:color="auto" w:sz="8" w:space="0"/>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严重故障（网络性能下降）</w:t>
            </w:r>
          </w:p>
        </w:tc>
        <w:tc>
          <w:tcPr>
            <w:tcW w:w="1700" w:type="dxa"/>
            <w:tcBorders>
              <w:top w:val="single" w:color="auto" w:sz="8" w:space="0"/>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故障恢复周期</w:t>
            </w:r>
          </w:p>
        </w:tc>
        <w:tc>
          <w:tcPr>
            <w:tcW w:w="3120" w:type="dxa"/>
            <w:tcBorders>
              <w:top w:val="single" w:color="auto" w:sz="8" w:space="0"/>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&lt;=6小时</w:t>
            </w:r>
          </w:p>
        </w:tc>
      </w:tr>
      <w:tr>
        <w:tblPrEx>
          <w:tblCellMar>
            <w:top w:w="0" w:type="dxa"/>
            <w:left w:w="108" w:type="dxa"/>
            <w:bottom w:w="0" w:type="dxa"/>
            <w:right w:w="108" w:type="dxa"/>
          </w:tblCellMar>
        </w:tblPrEx>
        <w:trPr>
          <w:trHeight w:val="705" w:hRule="atLeast"/>
        </w:trPr>
        <w:tc>
          <w:tcPr>
            <w:tcW w:w="1080" w:type="dxa"/>
            <w:vMerge w:val="continue"/>
            <w:tcBorders>
              <w:top w:val="nil"/>
              <w:left w:val="single" w:color="auto" w:sz="8" w:space="0"/>
              <w:bottom w:val="single" w:color="000000" w:sz="8" w:space="0"/>
              <w:right w:val="single" w:color="auto" w:sz="8" w:space="0"/>
            </w:tcBorders>
            <w:vAlign w:val="center"/>
          </w:tcPr>
          <w:p>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000000"/>
                <w:sz w:val="24"/>
                <w:szCs w:val="24"/>
              </w:rPr>
            </w:pPr>
          </w:p>
        </w:tc>
        <w:tc>
          <w:tcPr>
            <w:tcW w:w="3440" w:type="dxa"/>
            <w:tcBorders>
              <w:top w:val="nil"/>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一般故障（访问外部网站异常）</w:t>
            </w:r>
          </w:p>
        </w:tc>
        <w:tc>
          <w:tcPr>
            <w:tcW w:w="1700" w:type="dxa"/>
            <w:tcBorders>
              <w:top w:val="nil"/>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故障恢复周期</w:t>
            </w:r>
          </w:p>
        </w:tc>
        <w:tc>
          <w:tcPr>
            <w:tcW w:w="3120" w:type="dxa"/>
            <w:tcBorders>
              <w:top w:val="nil"/>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&lt;=6小时</w:t>
            </w:r>
          </w:p>
        </w:tc>
      </w:tr>
      <w:tr>
        <w:tblPrEx>
          <w:tblCellMar>
            <w:top w:w="0" w:type="dxa"/>
            <w:left w:w="108" w:type="dxa"/>
            <w:bottom w:w="0" w:type="dxa"/>
            <w:right w:w="108" w:type="dxa"/>
          </w:tblCellMar>
        </w:tblPrEx>
        <w:trPr>
          <w:trHeight w:val="705" w:hRule="atLeast"/>
        </w:trPr>
        <w:tc>
          <w:tcPr>
            <w:tcW w:w="1080" w:type="dxa"/>
            <w:vMerge w:val="restart"/>
            <w:tcBorders>
              <w:top w:val="nil"/>
              <w:left w:val="single" w:color="auto" w:sz="8" w:space="0"/>
              <w:bottom w:val="single" w:color="000000"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分点</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服务周期</w:t>
            </w:r>
          </w:p>
        </w:tc>
        <w:tc>
          <w:tcPr>
            <w:tcW w:w="3440" w:type="dxa"/>
            <w:vMerge w:val="restart"/>
            <w:tcBorders>
              <w:top w:val="nil"/>
              <w:left w:val="single" w:color="auto" w:sz="8" w:space="0"/>
              <w:bottom w:val="single" w:color="000000"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故障恢复</w:t>
            </w:r>
          </w:p>
        </w:tc>
        <w:tc>
          <w:tcPr>
            <w:tcW w:w="1700" w:type="dxa"/>
            <w:tcBorders>
              <w:top w:val="nil"/>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工作时间</w:t>
            </w:r>
          </w:p>
        </w:tc>
        <w:tc>
          <w:tcPr>
            <w:tcW w:w="3120" w:type="dxa"/>
            <w:tcBorders>
              <w:top w:val="nil"/>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7x24</w:t>
            </w:r>
            <w:r>
              <w:rPr>
                <w:rFonts w:hint="eastAsia" w:ascii="宋体" w:hAnsi="宋体" w:eastAsia="宋体" w:cs="宋体"/>
                <w:color w:val="000000"/>
                <w:sz w:val="24"/>
                <w:szCs w:val="24"/>
              </w:rPr>
              <w:br w:type="textWrapping"/>
            </w:r>
            <w:r>
              <w:rPr>
                <w:rFonts w:hint="eastAsia" w:ascii="宋体" w:hAnsi="宋体" w:eastAsia="宋体" w:cs="宋体"/>
                <w:color w:val="000000"/>
                <w:sz w:val="24"/>
                <w:szCs w:val="24"/>
              </w:rPr>
              <w:t>（0:00AM--23：59PM）</w:t>
            </w:r>
          </w:p>
        </w:tc>
      </w:tr>
      <w:tr>
        <w:tblPrEx>
          <w:tblCellMar>
            <w:top w:w="0" w:type="dxa"/>
            <w:left w:w="108" w:type="dxa"/>
            <w:bottom w:w="0" w:type="dxa"/>
            <w:right w:w="108" w:type="dxa"/>
          </w:tblCellMar>
        </w:tblPrEx>
        <w:trPr>
          <w:trHeight w:val="360" w:hRule="atLeast"/>
        </w:trPr>
        <w:tc>
          <w:tcPr>
            <w:tcW w:w="1080" w:type="dxa"/>
            <w:vMerge w:val="continue"/>
            <w:tcBorders>
              <w:top w:val="nil"/>
              <w:left w:val="single" w:color="auto" w:sz="8" w:space="0"/>
              <w:bottom w:val="single" w:color="000000" w:sz="8" w:space="0"/>
              <w:right w:val="single" w:color="auto" w:sz="8" w:space="0"/>
            </w:tcBorders>
            <w:vAlign w:val="center"/>
          </w:tcPr>
          <w:p>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000000"/>
                <w:sz w:val="24"/>
                <w:szCs w:val="24"/>
              </w:rPr>
            </w:pPr>
          </w:p>
        </w:tc>
        <w:tc>
          <w:tcPr>
            <w:tcW w:w="3440" w:type="dxa"/>
            <w:vMerge w:val="continue"/>
            <w:tcBorders>
              <w:top w:val="nil"/>
              <w:left w:val="single" w:color="auto" w:sz="8" w:space="0"/>
              <w:bottom w:val="single" w:color="000000" w:sz="8" w:space="0"/>
              <w:right w:val="single" w:color="auto" w:sz="8" w:space="0"/>
            </w:tcBorders>
            <w:vAlign w:val="center"/>
          </w:tcPr>
          <w:p>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000000"/>
                <w:sz w:val="24"/>
                <w:szCs w:val="24"/>
              </w:rPr>
            </w:pPr>
          </w:p>
        </w:tc>
        <w:tc>
          <w:tcPr>
            <w:tcW w:w="1700" w:type="dxa"/>
            <w:tcBorders>
              <w:top w:val="nil"/>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故障恢复周期</w:t>
            </w:r>
          </w:p>
        </w:tc>
        <w:tc>
          <w:tcPr>
            <w:tcW w:w="3120" w:type="dxa"/>
            <w:tcBorders>
              <w:top w:val="nil"/>
              <w:left w:val="nil"/>
              <w:bottom w:val="single" w:color="auto" w:sz="8" w:space="0"/>
              <w:right w:val="single" w:color="auto" w:sz="8" w:space="0"/>
            </w:tcBorders>
            <w:shd w:val="clear" w:color="auto" w:fill="auto"/>
            <w:vAlign w:val="center"/>
          </w:tcPr>
          <w:p>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&lt;=24小时</w:t>
            </w:r>
          </w:p>
        </w:tc>
      </w:tr>
    </w:tbl>
    <w:p>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1、售后服务要求：</w:t>
      </w:r>
    </w:p>
    <w:p>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2、交货期：签订合同后</w:t>
      </w:r>
      <w:r>
        <w:rPr>
          <w:rFonts w:hint="eastAsia" w:ascii="宋体" w:hAnsi="宋体" w:eastAsia="宋体" w:cs="宋体"/>
          <w:color w:val="0000FF"/>
          <w:sz w:val="24"/>
          <w:szCs w:val="24"/>
          <w:u w:val="single"/>
        </w:rPr>
        <w:t xml:space="preserve"> </w:t>
      </w:r>
      <w:r>
        <w:rPr>
          <w:rFonts w:hint="eastAsia" w:ascii="宋体" w:hAnsi="宋体" w:cs="宋体"/>
          <w:color w:val="0000FF"/>
          <w:sz w:val="24"/>
          <w:szCs w:val="24"/>
          <w:u w:val="single"/>
          <w:lang w:val="en-US" w:eastAsia="zh-CN"/>
        </w:rPr>
        <w:t>1</w:t>
      </w:r>
      <w:r>
        <w:rPr>
          <w:rFonts w:hint="eastAsia" w:ascii="宋体" w:hAnsi="宋体" w:eastAsia="宋体" w:cs="宋体"/>
          <w:color w:val="0000FF"/>
          <w:sz w:val="24"/>
          <w:szCs w:val="24"/>
          <w:u w:val="single"/>
          <w:lang w:val="en-US" w:eastAsia="zh-CN"/>
        </w:rPr>
        <w:t>50</w:t>
      </w:r>
      <w:r>
        <w:rPr>
          <w:rFonts w:hint="eastAsia" w:ascii="宋体" w:hAnsi="宋体" w:eastAsia="宋体" w:cs="宋体"/>
          <w:color w:val="0000FF"/>
          <w:sz w:val="24"/>
          <w:szCs w:val="24"/>
          <w:u w:val="single"/>
        </w:rPr>
        <w:t xml:space="preserve"> </w:t>
      </w:r>
      <w:r>
        <w:rPr>
          <w:rFonts w:hint="eastAsia" w:ascii="宋体" w:hAnsi="宋体" w:eastAsia="宋体" w:cs="宋体"/>
          <w:sz w:val="24"/>
          <w:szCs w:val="24"/>
        </w:rPr>
        <w:t>天内，完成实施导入和保证系统正常工作；交货地点：广东省人民医院或指定地点</w:t>
      </w:r>
    </w:p>
    <w:p>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3、付款方式：</w:t>
      </w:r>
    </w:p>
    <w:p>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甲方将按如下方式向乙方支付合同费用：</w:t>
      </w:r>
    </w:p>
    <w:p>
      <w:pPr>
        <w:pageBreakBefore w:val="0"/>
        <w:widowControl w:val="0"/>
        <w:numPr>
          <w:ilvl w:val="0"/>
          <w:numId w:val="13"/>
        </w:numPr>
        <w:kinsoku/>
        <w:wordWrap/>
        <w:overflowPunct/>
        <w:topLinePunct w:val="0"/>
        <w:autoSpaceDE/>
        <w:autoSpaceDN/>
        <w:bidi w:val="0"/>
        <w:adjustRightInd/>
        <w:snapToGrid/>
        <w:spacing w:before="156" w:line="360" w:lineRule="auto"/>
        <w:ind w:left="420" w:firstLine="482" w:firstLineChars="200"/>
        <w:textAlignment w:val="auto"/>
        <w:rPr>
          <w:rFonts w:hint="eastAsia" w:ascii="宋体" w:hAnsi="宋体" w:eastAsia="宋体" w:cs="宋体"/>
          <w:sz w:val="24"/>
          <w:szCs w:val="24"/>
        </w:rPr>
      </w:pPr>
      <w:r>
        <w:rPr>
          <w:rFonts w:hint="eastAsia" w:ascii="宋体" w:hAnsi="宋体" w:eastAsia="宋体" w:cs="宋体"/>
          <w:b/>
          <w:sz w:val="24"/>
          <w:szCs w:val="24"/>
          <w:u w:val="single"/>
        </w:rPr>
        <w:t>合同签订后</w:t>
      </w:r>
      <w:r>
        <w:rPr>
          <w:rFonts w:hint="eastAsia" w:ascii="宋体" w:hAnsi="宋体" w:eastAsia="宋体" w:cs="宋体"/>
          <w:sz w:val="24"/>
          <w:szCs w:val="24"/>
        </w:rPr>
        <w:t>，甲方在收到乙方开具相应金额正式发票后，向乙方支付合同总金额的30%</w:t>
      </w:r>
      <w:r>
        <w:rPr>
          <w:rFonts w:hint="eastAsia" w:ascii="宋体" w:hAnsi="宋体" w:eastAsia="宋体" w:cs="宋体"/>
          <w:sz w:val="24"/>
          <w:szCs w:val="24"/>
          <w:lang w:eastAsia="zh-CN"/>
        </w:rPr>
        <w:t>。</w:t>
      </w:r>
    </w:p>
    <w:p>
      <w:pPr>
        <w:pageBreakBefore w:val="0"/>
        <w:widowControl w:val="0"/>
        <w:numPr>
          <w:ilvl w:val="0"/>
          <w:numId w:val="13"/>
        </w:numPr>
        <w:kinsoku/>
        <w:wordWrap/>
        <w:overflowPunct/>
        <w:topLinePunct w:val="0"/>
        <w:autoSpaceDE/>
        <w:autoSpaceDN/>
        <w:bidi w:val="0"/>
        <w:adjustRightInd/>
        <w:snapToGrid/>
        <w:spacing w:before="156" w:line="360" w:lineRule="auto"/>
        <w:ind w:left="420" w:firstLine="482" w:firstLineChars="200"/>
        <w:textAlignment w:val="auto"/>
        <w:rPr>
          <w:rFonts w:hint="eastAsia" w:ascii="宋体" w:hAnsi="宋体" w:eastAsia="宋体" w:cs="宋体"/>
          <w:sz w:val="24"/>
          <w:szCs w:val="24"/>
        </w:rPr>
      </w:pPr>
      <w:r>
        <w:rPr>
          <w:rFonts w:hint="eastAsia" w:ascii="宋体" w:hAnsi="宋体" w:eastAsia="宋体" w:cs="宋体"/>
          <w:b/>
          <w:sz w:val="24"/>
          <w:szCs w:val="24"/>
          <w:u w:val="single"/>
        </w:rPr>
        <w:t>软件验收通过后</w:t>
      </w:r>
      <w:r>
        <w:rPr>
          <w:rFonts w:hint="eastAsia" w:ascii="宋体" w:hAnsi="宋体" w:eastAsia="宋体" w:cs="宋体"/>
          <w:sz w:val="24"/>
          <w:szCs w:val="24"/>
        </w:rPr>
        <w:t>，甲方在收到乙方开具相应金额正式发票后，向乙方支付合同总金额的65%。</w:t>
      </w:r>
    </w:p>
    <w:p>
      <w:pPr>
        <w:pageBreakBefore w:val="0"/>
        <w:widowControl w:val="0"/>
        <w:numPr>
          <w:ilvl w:val="0"/>
          <w:numId w:val="13"/>
        </w:numPr>
        <w:kinsoku/>
        <w:wordWrap/>
        <w:overflowPunct/>
        <w:topLinePunct w:val="0"/>
        <w:autoSpaceDE/>
        <w:autoSpaceDN/>
        <w:bidi w:val="0"/>
        <w:adjustRightInd/>
        <w:snapToGrid/>
        <w:spacing w:before="156" w:line="360" w:lineRule="auto"/>
        <w:ind w:left="420" w:firstLine="482" w:firstLineChars="200"/>
        <w:textAlignment w:val="auto"/>
        <w:rPr>
          <w:rFonts w:hint="eastAsia" w:ascii="宋体" w:hAnsi="宋体" w:eastAsia="宋体" w:cs="宋体"/>
          <w:sz w:val="24"/>
          <w:szCs w:val="24"/>
        </w:rPr>
      </w:pPr>
      <w:r>
        <w:rPr>
          <w:rFonts w:hint="eastAsia" w:ascii="宋体" w:hAnsi="宋体" w:eastAsia="宋体" w:cs="宋体"/>
          <w:b/>
          <w:sz w:val="24"/>
          <w:szCs w:val="24"/>
          <w:u w:val="single"/>
        </w:rPr>
        <w:t>免费维护期结束后</w:t>
      </w:r>
      <w:r>
        <w:rPr>
          <w:rFonts w:hint="eastAsia" w:ascii="宋体" w:hAnsi="宋体" w:eastAsia="宋体" w:cs="宋体"/>
          <w:sz w:val="24"/>
          <w:szCs w:val="24"/>
        </w:rPr>
        <w:t>，由甲方对乙方在服务期内应完成任务进行确认并通过后1个月内，甲方向乙方支付最后一笔尾款；甲方在收到乙方开具相应金额正式发票后，向乙方支付合同总金额的5%。</w:t>
      </w:r>
    </w:p>
    <w:p>
      <w:pPr>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保密要求：中标人遵守国家的经济、技术工作保密规定和人的保密工作条例，对标的技术实施期间在甲方了解的各种情况、获取的全部信息资料严格保密，不得泄露。对人有特殊保密要求的资料或要求特定人员接触的情况，如果中标人不具备相关条件，则提出具体的技术要求，委托人办理。</w:t>
      </w:r>
    </w:p>
    <w:p>
      <w:pPr>
        <w:pStyle w:val="2"/>
        <w:rPr>
          <w:rFonts w:hint="eastAsia" w:ascii="宋体" w:hAnsi="宋体" w:eastAsia="宋体" w:cs="宋体"/>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方正小标宋简体">
    <w:altName w:val="微软雅黑"/>
    <w:panose1 w:val="02010601030101010101"/>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Segoe UI Symbol">
    <w:panose1 w:val="020B0502040204020203"/>
    <w:charset w:val="00"/>
    <w:family w:val="swiss"/>
    <w:pitch w:val="default"/>
    <w:sig w:usb0="8000006F" w:usb1="1200FBEF" w:usb2="0064C000" w:usb3="00000002" w:csb0="00000001" w:csb1="4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CF0D8A"/>
    <w:multiLevelType w:val="multilevel"/>
    <w:tmpl w:val="C3CF0D8A"/>
    <w:lvl w:ilvl="0" w:tentative="0">
      <w:start w:val="1"/>
      <w:numFmt w:val="decimal"/>
      <w:pStyle w:val="3"/>
      <w:lvlText w:val="%1."/>
      <w:lvlJc w:val="left"/>
      <w:pPr>
        <w:ind w:left="432" w:hanging="432"/>
      </w:pPr>
      <w:rPr>
        <w:rFonts w:hint="default"/>
      </w:rPr>
    </w:lvl>
    <w:lvl w:ilvl="1" w:tentative="0">
      <w:start w:val="1"/>
      <w:numFmt w:val="decimal"/>
      <w:lvlText w:val="%1.%2."/>
      <w:lvlJc w:val="left"/>
      <w:pPr>
        <w:ind w:left="575" w:hanging="575"/>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abstractNum w:abstractNumId="1">
    <w:nsid w:val="DAA341B8"/>
    <w:multiLevelType w:val="singleLevel"/>
    <w:tmpl w:val="DAA341B8"/>
    <w:lvl w:ilvl="0" w:tentative="0">
      <w:start w:val="2"/>
      <w:numFmt w:val="chineseCounting"/>
      <w:suff w:val="nothing"/>
      <w:lvlText w:val="%1、"/>
      <w:lvlJc w:val="left"/>
      <w:rPr>
        <w:rFonts w:hint="eastAsia"/>
      </w:rPr>
    </w:lvl>
  </w:abstractNum>
  <w:abstractNum w:abstractNumId="2">
    <w:nsid w:val="FDC57DC9"/>
    <w:multiLevelType w:val="multilevel"/>
    <w:tmpl w:val="FDC57DC9"/>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
    <w:nsid w:val="006A13A0"/>
    <w:multiLevelType w:val="multilevel"/>
    <w:tmpl w:val="006A13A0"/>
    <w:lvl w:ilvl="0" w:tentative="0">
      <w:start w:val="1"/>
      <w:numFmt w:val="chineseCountingThousand"/>
      <w:lvlText w:val="(%1)"/>
      <w:lvlJc w:val="left"/>
      <w:pPr>
        <w:ind w:left="780" w:hanging="360"/>
      </w:pPr>
      <w:rPr>
        <w:rFonts w:hint="default"/>
      </w:rPr>
    </w:lvl>
    <w:lvl w:ilvl="1" w:tentative="0">
      <w:start w:val="8"/>
      <w:numFmt w:val="japaneseCounting"/>
      <w:lvlText w:val="%2、"/>
      <w:lvlJc w:val="left"/>
      <w:pPr>
        <w:tabs>
          <w:tab w:val="left" w:pos="1560"/>
        </w:tabs>
        <w:ind w:left="1560" w:hanging="720"/>
      </w:pPr>
      <w:rPr>
        <w:rFonts w:hint="default"/>
      </w:r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0D0939AC"/>
    <w:multiLevelType w:val="multilevel"/>
    <w:tmpl w:val="0D0939AC"/>
    <w:lvl w:ilvl="0" w:tentative="0">
      <w:start w:val="1"/>
      <w:numFmt w:val="chineseCountingThousand"/>
      <w:lvlText w:val="(%1)"/>
      <w:lvlJc w:val="left"/>
      <w:pPr>
        <w:ind w:left="846" w:hanging="420"/>
      </w:pPr>
    </w:lvl>
    <w:lvl w:ilvl="1" w:tentative="0">
      <w:start w:val="1"/>
      <w:numFmt w:val="lowerLetter"/>
      <w:lvlText w:val="%2)"/>
      <w:lvlJc w:val="left"/>
      <w:pPr>
        <w:ind w:left="1266" w:hanging="420"/>
      </w:pPr>
    </w:lvl>
    <w:lvl w:ilvl="2" w:tentative="0">
      <w:start w:val="1"/>
      <w:numFmt w:val="chineseCountingThousand"/>
      <w:lvlText w:val="(%3)"/>
      <w:lvlJc w:val="left"/>
      <w:pPr>
        <w:ind w:left="1686" w:hanging="420"/>
      </w:p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abstractNum w:abstractNumId="5">
    <w:nsid w:val="1E3460C4"/>
    <w:multiLevelType w:val="multilevel"/>
    <w:tmpl w:val="1E3460C4"/>
    <w:lvl w:ilvl="0" w:tentative="0">
      <w:start w:val="1"/>
      <w:numFmt w:val="decimal"/>
      <w:lvlText w:val="%1."/>
      <w:lvlJc w:val="left"/>
      <w:pPr>
        <w:ind w:left="779" w:hanging="420"/>
      </w:pPr>
    </w:lvl>
    <w:lvl w:ilvl="1" w:tentative="0">
      <w:start w:val="1"/>
      <w:numFmt w:val="lowerLetter"/>
      <w:lvlText w:val="%2)"/>
      <w:lvlJc w:val="left"/>
      <w:pPr>
        <w:ind w:left="1199" w:hanging="420"/>
      </w:pPr>
    </w:lvl>
    <w:lvl w:ilvl="2" w:tentative="0">
      <w:start w:val="1"/>
      <w:numFmt w:val="lowerRoman"/>
      <w:lvlText w:val="%3."/>
      <w:lvlJc w:val="right"/>
      <w:pPr>
        <w:ind w:left="1619" w:hanging="420"/>
      </w:pPr>
    </w:lvl>
    <w:lvl w:ilvl="3" w:tentative="0">
      <w:start w:val="1"/>
      <w:numFmt w:val="decimal"/>
      <w:lvlText w:val="%4."/>
      <w:lvlJc w:val="left"/>
      <w:pPr>
        <w:ind w:left="2039" w:hanging="420"/>
      </w:pPr>
    </w:lvl>
    <w:lvl w:ilvl="4" w:tentative="0">
      <w:start w:val="1"/>
      <w:numFmt w:val="lowerLetter"/>
      <w:lvlText w:val="%5)"/>
      <w:lvlJc w:val="left"/>
      <w:pPr>
        <w:ind w:left="2459" w:hanging="420"/>
      </w:pPr>
    </w:lvl>
    <w:lvl w:ilvl="5" w:tentative="0">
      <w:start w:val="1"/>
      <w:numFmt w:val="lowerRoman"/>
      <w:lvlText w:val="%6."/>
      <w:lvlJc w:val="right"/>
      <w:pPr>
        <w:ind w:left="2879" w:hanging="420"/>
      </w:pPr>
    </w:lvl>
    <w:lvl w:ilvl="6" w:tentative="0">
      <w:start w:val="1"/>
      <w:numFmt w:val="decimal"/>
      <w:lvlText w:val="%7."/>
      <w:lvlJc w:val="left"/>
      <w:pPr>
        <w:ind w:left="3299" w:hanging="420"/>
      </w:pPr>
    </w:lvl>
    <w:lvl w:ilvl="7" w:tentative="0">
      <w:start w:val="1"/>
      <w:numFmt w:val="lowerLetter"/>
      <w:lvlText w:val="%8)"/>
      <w:lvlJc w:val="left"/>
      <w:pPr>
        <w:ind w:left="3719" w:hanging="420"/>
      </w:pPr>
    </w:lvl>
    <w:lvl w:ilvl="8" w:tentative="0">
      <w:start w:val="1"/>
      <w:numFmt w:val="lowerRoman"/>
      <w:lvlText w:val="%9."/>
      <w:lvlJc w:val="right"/>
      <w:pPr>
        <w:ind w:left="4139" w:hanging="420"/>
      </w:pPr>
    </w:lvl>
  </w:abstractNum>
  <w:abstractNum w:abstractNumId="6">
    <w:nsid w:val="3E1A3311"/>
    <w:multiLevelType w:val="multilevel"/>
    <w:tmpl w:val="3E1A3311"/>
    <w:lvl w:ilvl="0" w:tentative="0">
      <w:start w:val="1"/>
      <w:numFmt w:val="chineseCountingThousand"/>
      <w:lvlText w:val="(%1)"/>
      <w:lvlJc w:val="left"/>
      <w:pPr>
        <w:ind w:left="846" w:hanging="420"/>
      </w:pPr>
    </w:lvl>
    <w:lvl w:ilvl="1" w:tentative="0">
      <w:start w:val="1"/>
      <w:numFmt w:val="lowerLetter"/>
      <w:lvlText w:val="%2)"/>
      <w:lvlJc w:val="left"/>
      <w:pPr>
        <w:ind w:left="1266" w:hanging="420"/>
      </w:pPr>
    </w:lvl>
    <w:lvl w:ilvl="2" w:tentative="0">
      <w:start w:val="1"/>
      <w:numFmt w:val="chineseCountingThousand"/>
      <w:lvlText w:val="(%3)"/>
      <w:lvlJc w:val="left"/>
      <w:pPr>
        <w:ind w:left="1686" w:hanging="420"/>
      </w:pPr>
      <w:rPr>
        <w:b w:val="0"/>
      </w:r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abstractNum w:abstractNumId="7">
    <w:nsid w:val="41D12F3B"/>
    <w:multiLevelType w:val="multilevel"/>
    <w:tmpl w:val="41D12F3B"/>
    <w:lvl w:ilvl="0" w:tentative="0">
      <w:start w:val="1"/>
      <w:numFmt w:val="chineseCountingThousand"/>
      <w:lvlText w:val="(%1)"/>
      <w:lvlJc w:val="left"/>
      <w:pPr>
        <w:ind w:left="780" w:hanging="360"/>
      </w:pPr>
      <w:rPr>
        <w:rFonts w:hint="eastAsia" w:ascii="微软雅黑" w:hAnsi="微软雅黑" w:eastAsia="微软雅黑" w:cs="微软雅黑"/>
      </w:rPr>
    </w:lvl>
    <w:lvl w:ilvl="1" w:tentative="0">
      <w:start w:val="8"/>
      <w:numFmt w:val="japaneseCounting"/>
      <w:lvlText w:val="%2、"/>
      <w:lvlJc w:val="left"/>
      <w:pPr>
        <w:tabs>
          <w:tab w:val="left" w:pos="1560"/>
        </w:tabs>
        <w:ind w:left="1560" w:hanging="720"/>
      </w:pPr>
      <w:rPr>
        <w:rFonts w:hint="default"/>
      </w:r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8">
    <w:nsid w:val="5100438B"/>
    <w:multiLevelType w:val="multilevel"/>
    <w:tmpl w:val="5100438B"/>
    <w:lvl w:ilvl="0" w:tentative="0">
      <w:start w:val="1"/>
      <w:numFmt w:val="chineseCountingThousand"/>
      <w:lvlText w:val="(%1)"/>
      <w:lvlJc w:val="left"/>
      <w:pPr>
        <w:tabs>
          <w:tab w:val="left" w:pos="780"/>
        </w:tabs>
        <w:ind w:left="780" w:hanging="360"/>
      </w:pPr>
      <w:rPr>
        <w:rFonts w:hint="default"/>
      </w:rPr>
    </w:lvl>
    <w:lvl w:ilvl="1" w:tentative="0">
      <w:start w:val="1"/>
      <w:numFmt w:val="decimal"/>
      <w:lvlText w:val="%2)"/>
      <w:lvlJc w:val="left"/>
      <w:pPr>
        <w:tabs>
          <w:tab w:val="left" w:pos="1260"/>
        </w:tabs>
        <w:ind w:left="1260" w:hanging="420"/>
      </w:pPr>
      <w:rPr>
        <w:rFonts w:hint="default"/>
      </w:rPr>
    </w:lvl>
    <w:lvl w:ilvl="2" w:tentative="0">
      <w:start w:val="1"/>
      <w:numFmt w:val="lowerRoman"/>
      <w:lvlText w:val="%3."/>
      <w:lvlJc w:val="right"/>
      <w:pPr>
        <w:tabs>
          <w:tab w:val="left" w:pos="1680"/>
        </w:tabs>
        <w:ind w:left="1680" w:hanging="420"/>
      </w:pPr>
    </w:lvl>
    <w:lvl w:ilvl="3" w:tentative="0">
      <w:start w:val="1"/>
      <w:numFmt w:val="decimal"/>
      <w:lvlText w:val="%4."/>
      <w:lvlJc w:val="left"/>
      <w:pPr>
        <w:tabs>
          <w:tab w:val="left" w:pos="2100"/>
        </w:tabs>
        <w:ind w:left="2100" w:hanging="420"/>
      </w:pPr>
    </w:lvl>
    <w:lvl w:ilvl="4" w:tentative="0">
      <w:start w:val="1"/>
      <w:numFmt w:val="lowerLetter"/>
      <w:lvlText w:val="%5)"/>
      <w:lvlJc w:val="left"/>
      <w:pPr>
        <w:tabs>
          <w:tab w:val="left" w:pos="2520"/>
        </w:tabs>
        <w:ind w:left="2520" w:hanging="420"/>
      </w:pPr>
    </w:lvl>
    <w:lvl w:ilvl="5" w:tentative="0">
      <w:start w:val="1"/>
      <w:numFmt w:val="lowerRoman"/>
      <w:lvlText w:val="%6."/>
      <w:lvlJc w:val="right"/>
      <w:pPr>
        <w:tabs>
          <w:tab w:val="left" w:pos="2940"/>
        </w:tabs>
        <w:ind w:left="2940" w:hanging="420"/>
      </w:pPr>
    </w:lvl>
    <w:lvl w:ilvl="6" w:tentative="0">
      <w:start w:val="1"/>
      <w:numFmt w:val="decimal"/>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abstractNum w:abstractNumId="9">
    <w:nsid w:val="5A27A6DE"/>
    <w:multiLevelType w:val="singleLevel"/>
    <w:tmpl w:val="5A27A6DE"/>
    <w:lvl w:ilvl="0" w:tentative="0">
      <w:start w:val="1"/>
      <w:numFmt w:val="decimal"/>
      <w:suff w:val="nothing"/>
      <w:lvlText w:val="%1、"/>
      <w:lvlJc w:val="left"/>
    </w:lvl>
  </w:abstractNum>
  <w:abstractNum w:abstractNumId="10">
    <w:nsid w:val="5B8324B2"/>
    <w:multiLevelType w:val="singleLevel"/>
    <w:tmpl w:val="5B8324B2"/>
    <w:lvl w:ilvl="0" w:tentative="0">
      <w:start w:val="1"/>
      <w:numFmt w:val="bullet"/>
      <w:lvlText w:val=""/>
      <w:lvlJc w:val="left"/>
      <w:pPr>
        <w:tabs>
          <w:tab w:val="left" w:pos="840"/>
        </w:tabs>
        <w:ind w:left="1260" w:hanging="420"/>
      </w:pPr>
      <w:rPr>
        <w:rFonts w:hint="default" w:ascii="Wingdings" w:hAnsi="Wingdings"/>
      </w:rPr>
    </w:lvl>
  </w:abstractNum>
  <w:abstractNum w:abstractNumId="11">
    <w:nsid w:val="7CC3072B"/>
    <w:multiLevelType w:val="multilevel"/>
    <w:tmpl w:val="7CC3072B"/>
    <w:lvl w:ilvl="0" w:tentative="0">
      <w:start w:val="1"/>
      <w:numFmt w:val="chineseCountingThousand"/>
      <w:lvlText w:val="(%1)"/>
      <w:lvlJc w:val="left"/>
      <w:pPr>
        <w:ind w:left="780" w:hanging="360"/>
      </w:pPr>
      <w:rPr>
        <w:rFonts w:hint="default"/>
      </w:rPr>
    </w:lvl>
    <w:lvl w:ilvl="1" w:tentative="0">
      <w:start w:val="8"/>
      <w:numFmt w:val="japaneseCounting"/>
      <w:lvlText w:val="%2、"/>
      <w:lvlJc w:val="left"/>
      <w:pPr>
        <w:tabs>
          <w:tab w:val="left" w:pos="1560"/>
        </w:tabs>
        <w:ind w:left="1560" w:hanging="720"/>
      </w:pPr>
      <w:rPr>
        <w:rFonts w:hint="default"/>
      </w:r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2">
    <w:nsid w:val="7E380C4D"/>
    <w:multiLevelType w:val="singleLevel"/>
    <w:tmpl w:val="7E380C4D"/>
    <w:lvl w:ilvl="0" w:tentative="0">
      <w:start w:val="1"/>
      <w:numFmt w:val="bullet"/>
      <w:lvlText w:val=""/>
      <w:lvlJc w:val="left"/>
      <w:pPr>
        <w:tabs>
          <w:tab w:val="left" w:pos="840"/>
        </w:tabs>
        <w:ind w:left="1260" w:hanging="420"/>
      </w:pPr>
      <w:rPr>
        <w:rFonts w:hint="default" w:ascii="Wingdings" w:hAnsi="Wingdings"/>
      </w:rPr>
    </w:lvl>
  </w:abstractNum>
  <w:num w:numId="1">
    <w:abstractNumId w:val="0"/>
  </w:num>
  <w:num w:numId="2">
    <w:abstractNumId w:val="1"/>
  </w:num>
  <w:num w:numId="3">
    <w:abstractNumId w:val="2"/>
  </w:num>
  <w:num w:numId="4">
    <w:abstractNumId w:val="5"/>
  </w:num>
  <w:num w:numId="5">
    <w:abstractNumId w:val="12"/>
  </w:num>
  <w:num w:numId="6">
    <w:abstractNumId w:val="10"/>
  </w:num>
  <w:num w:numId="7">
    <w:abstractNumId w:val="9"/>
  </w:num>
  <w:num w:numId="8">
    <w:abstractNumId w:val="8"/>
  </w:num>
  <w:num w:numId="9">
    <w:abstractNumId w:val="7"/>
  </w:num>
  <w:num w:numId="10">
    <w:abstractNumId w:val="3"/>
  </w:num>
  <w:num w:numId="11">
    <w:abstractNumId w:val="4"/>
  </w:num>
  <w:num w:numId="12">
    <w:abstractNumId w:val="6"/>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Y3NWFkNzJiYTU4OGM5OTE2MjhjYzE1Y2Q3OTJkOTMifQ=="/>
  </w:docVars>
  <w:rsids>
    <w:rsidRoot w:val="27BB71DF"/>
    <w:rsid w:val="00027D7F"/>
    <w:rsid w:val="00116413"/>
    <w:rsid w:val="0016320D"/>
    <w:rsid w:val="001D4D33"/>
    <w:rsid w:val="00280681"/>
    <w:rsid w:val="002A05DF"/>
    <w:rsid w:val="00322928"/>
    <w:rsid w:val="00524D20"/>
    <w:rsid w:val="00601473"/>
    <w:rsid w:val="006020A0"/>
    <w:rsid w:val="00623469"/>
    <w:rsid w:val="00662FE2"/>
    <w:rsid w:val="007762E5"/>
    <w:rsid w:val="007969D8"/>
    <w:rsid w:val="00903DCE"/>
    <w:rsid w:val="00A15C57"/>
    <w:rsid w:val="00A90593"/>
    <w:rsid w:val="00AD0737"/>
    <w:rsid w:val="00F0264F"/>
    <w:rsid w:val="00FC0507"/>
    <w:rsid w:val="00FD3EFC"/>
    <w:rsid w:val="029C4C09"/>
    <w:rsid w:val="02A641F0"/>
    <w:rsid w:val="02F84417"/>
    <w:rsid w:val="03664F61"/>
    <w:rsid w:val="03C16290"/>
    <w:rsid w:val="04C767C3"/>
    <w:rsid w:val="05833D2F"/>
    <w:rsid w:val="072F66C1"/>
    <w:rsid w:val="07676543"/>
    <w:rsid w:val="08A94275"/>
    <w:rsid w:val="0ACE22D5"/>
    <w:rsid w:val="0B8C24BB"/>
    <w:rsid w:val="0C47762A"/>
    <w:rsid w:val="0D765770"/>
    <w:rsid w:val="0FD73E75"/>
    <w:rsid w:val="10EB1B6D"/>
    <w:rsid w:val="11FA6640"/>
    <w:rsid w:val="15A90D9F"/>
    <w:rsid w:val="18D32961"/>
    <w:rsid w:val="1A5C6199"/>
    <w:rsid w:val="1B4D0515"/>
    <w:rsid w:val="1CF27F94"/>
    <w:rsid w:val="1E7D3868"/>
    <w:rsid w:val="1FF50063"/>
    <w:rsid w:val="21D11108"/>
    <w:rsid w:val="24C532FB"/>
    <w:rsid w:val="27BB71DF"/>
    <w:rsid w:val="280E6669"/>
    <w:rsid w:val="2AD53270"/>
    <w:rsid w:val="2C3C363C"/>
    <w:rsid w:val="2D092567"/>
    <w:rsid w:val="30D85D44"/>
    <w:rsid w:val="34AB37F8"/>
    <w:rsid w:val="38B90269"/>
    <w:rsid w:val="3CB3033C"/>
    <w:rsid w:val="3DF87B37"/>
    <w:rsid w:val="42527782"/>
    <w:rsid w:val="45CC4E61"/>
    <w:rsid w:val="482B3035"/>
    <w:rsid w:val="48AB0378"/>
    <w:rsid w:val="48EA1DF9"/>
    <w:rsid w:val="4B2A49FB"/>
    <w:rsid w:val="4C247417"/>
    <w:rsid w:val="4D806FF1"/>
    <w:rsid w:val="4ED24027"/>
    <w:rsid w:val="507431EB"/>
    <w:rsid w:val="58F43901"/>
    <w:rsid w:val="595F1CF9"/>
    <w:rsid w:val="59B652B7"/>
    <w:rsid w:val="59CF6619"/>
    <w:rsid w:val="68D93E08"/>
    <w:rsid w:val="696A3FE7"/>
    <w:rsid w:val="69833E85"/>
    <w:rsid w:val="6D5F050B"/>
    <w:rsid w:val="6F7A0237"/>
    <w:rsid w:val="70361528"/>
    <w:rsid w:val="7862526E"/>
    <w:rsid w:val="7ABA4BF4"/>
    <w:rsid w:val="7F164C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keepLines/>
      <w:numPr>
        <w:ilvl w:val="0"/>
        <w:numId w:val="1"/>
      </w:numPr>
      <w:spacing w:before="340" w:after="330" w:line="578" w:lineRule="auto"/>
      <w:outlineLvl w:val="0"/>
    </w:pPr>
    <w:rPr>
      <w:b/>
      <w:bCs/>
      <w:kern w:val="44"/>
      <w:sz w:val="44"/>
      <w:szCs w:val="44"/>
    </w:rPr>
  </w:style>
  <w:style w:type="paragraph" w:styleId="4">
    <w:name w:val="heading 2"/>
    <w:basedOn w:val="1"/>
    <w:next w:val="1"/>
    <w:link w:val="19"/>
    <w:qFormat/>
    <w:uiPriority w:val="0"/>
    <w:pPr>
      <w:keepNext/>
      <w:keepLines/>
      <w:spacing w:before="260" w:after="260" w:line="416" w:lineRule="auto"/>
      <w:outlineLvl w:val="1"/>
    </w:pPr>
    <w:rPr>
      <w:rFonts w:ascii="Arial" w:hAnsi="Arial" w:eastAsia="黑体"/>
      <w:b/>
      <w:bCs/>
      <w:sz w:val="32"/>
      <w:szCs w:val="32"/>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customStyle="1" w:styleId="2">
    <w:name w:val="_Style 3"/>
    <w:qFormat/>
    <w:uiPriority w:val="1"/>
    <w:pPr>
      <w:widowControl w:val="0"/>
      <w:jc w:val="both"/>
    </w:pPr>
    <w:rPr>
      <w:rFonts w:ascii="Calibri" w:hAnsi="Calibri" w:eastAsia="宋体" w:cs="宋体"/>
      <w:kern w:val="2"/>
      <w:sz w:val="21"/>
      <w:szCs w:val="22"/>
      <w:lang w:val="en-US" w:eastAsia="zh-CN" w:bidi="ar-SA"/>
    </w:rPr>
  </w:style>
  <w:style w:type="paragraph" w:styleId="5">
    <w:name w:val="Normal Indent"/>
    <w:basedOn w:val="1"/>
    <w:qFormat/>
    <w:uiPriority w:val="0"/>
    <w:pPr>
      <w:ind w:firstLine="420"/>
    </w:pPr>
  </w:style>
  <w:style w:type="paragraph" w:styleId="6">
    <w:name w:val="Body Text Indent"/>
    <w:basedOn w:val="1"/>
    <w:qFormat/>
    <w:uiPriority w:val="0"/>
    <w:pPr>
      <w:ind w:firstLine="570"/>
    </w:pPr>
    <w:rPr>
      <w:rFonts w:ascii="宋体" w:hAnsi="宋体"/>
      <w:sz w:val="28"/>
      <w:szCs w:val="20"/>
    </w:rPr>
  </w:style>
  <w:style w:type="paragraph" w:styleId="7">
    <w:name w:val="Balloon Text"/>
    <w:basedOn w:val="1"/>
    <w:link w:val="22"/>
    <w:qFormat/>
    <w:uiPriority w:val="0"/>
    <w:rPr>
      <w:sz w:val="18"/>
      <w:szCs w:val="18"/>
    </w:rPr>
  </w:style>
  <w:style w:type="paragraph" w:styleId="8">
    <w:name w:val="footer"/>
    <w:basedOn w:val="1"/>
    <w:link w:val="16"/>
    <w:qFormat/>
    <w:uiPriority w:val="0"/>
    <w:pPr>
      <w:tabs>
        <w:tab w:val="center" w:pos="4153"/>
        <w:tab w:val="right" w:pos="8306"/>
      </w:tabs>
      <w:snapToGrid w:val="0"/>
      <w:jc w:val="left"/>
    </w:pPr>
    <w:rPr>
      <w:sz w:val="18"/>
      <w:szCs w:val="18"/>
    </w:rPr>
  </w:style>
  <w:style w:type="paragraph" w:styleId="9">
    <w:name w:val="header"/>
    <w:basedOn w:val="1"/>
    <w:link w:val="15"/>
    <w:qFormat/>
    <w:uiPriority w:val="0"/>
    <w:pPr>
      <w:pBdr>
        <w:bottom w:val="single" w:color="auto" w:sz="6" w:space="1"/>
      </w:pBdr>
      <w:tabs>
        <w:tab w:val="center" w:pos="4153"/>
        <w:tab w:val="right" w:pos="8306"/>
      </w:tabs>
      <w:snapToGrid w:val="0"/>
      <w:jc w:val="center"/>
    </w:pPr>
    <w:rPr>
      <w:sz w:val="18"/>
      <w:szCs w:val="18"/>
    </w:rPr>
  </w:style>
  <w:style w:type="paragraph" w:styleId="10">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table" w:styleId="12">
    <w:name w:val="Table Grid"/>
    <w:basedOn w:val="11"/>
    <w:qFormat/>
    <w:uiPriority w:val="59"/>
    <w:rPr>
      <w:rFonts w:asciiTheme="minorHAnsi" w:hAnsiTheme="minorHAnsi" w:eastAsiaTheme="minorEastAsia" w:cstheme="minorBidi"/>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customStyle="1" w:styleId="14">
    <w:name w:val="Table Paragraph"/>
    <w:basedOn w:val="1"/>
    <w:qFormat/>
    <w:uiPriority w:val="1"/>
    <w:rPr>
      <w:rFonts w:ascii="宋体" w:hAnsi="宋体" w:cs="宋体"/>
      <w:lang w:val="zh-CN" w:bidi="zh-CN"/>
    </w:rPr>
  </w:style>
  <w:style w:type="character" w:customStyle="1" w:styleId="15">
    <w:name w:val="页眉 字符"/>
    <w:basedOn w:val="13"/>
    <w:link w:val="9"/>
    <w:qFormat/>
    <w:uiPriority w:val="0"/>
    <w:rPr>
      <w:kern w:val="2"/>
      <w:sz w:val="18"/>
      <w:szCs w:val="18"/>
    </w:rPr>
  </w:style>
  <w:style w:type="character" w:customStyle="1" w:styleId="16">
    <w:name w:val="页脚 字符"/>
    <w:basedOn w:val="13"/>
    <w:link w:val="8"/>
    <w:qFormat/>
    <w:uiPriority w:val="0"/>
    <w:rPr>
      <w:kern w:val="2"/>
      <w:sz w:val="18"/>
      <w:szCs w:val="18"/>
    </w:rPr>
  </w:style>
  <w:style w:type="paragraph" w:customStyle="1" w:styleId="17">
    <w:name w:val="列出段落1"/>
    <w:basedOn w:val="1"/>
    <w:qFormat/>
    <w:uiPriority w:val="34"/>
    <w:pPr>
      <w:ind w:firstLine="420" w:firstLineChars="200"/>
    </w:pPr>
    <w:rPr>
      <w:rFonts w:asciiTheme="minorHAnsi" w:hAnsiTheme="minorHAnsi" w:eastAsiaTheme="minorEastAsia" w:cstheme="minorBidi"/>
      <w:szCs w:val="22"/>
    </w:rPr>
  </w:style>
  <w:style w:type="character" w:customStyle="1" w:styleId="18">
    <w:name w:val="标题 2 Char"/>
    <w:basedOn w:val="13"/>
    <w:semiHidden/>
    <w:qFormat/>
    <w:uiPriority w:val="0"/>
    <w:rPr>
      <w:rFonts w:asciiTheme="majorHAnsi" w:hAnsiTheme="majorHAnsi" w:eastAsiaTheme="majorEastAsia" w:cstheme="majorBidi"/>
      <w:b/>
      <w:bCs/>
      <w:kern w:val="2"/>
      <w:sz w:val="32"/>
      <w:szCs w:val="32"/>
    </w:rPr>
  </w:style>
  <w:style w:type="character" w:customStyle="1" w:styleId="19">
    <w:name w:val="标题 2 字符"/>
    <w:link w:val="4"/>
    <w:qFormat/>
    <w:locked/>
    <w:uiPriority w:val="0"/>
    <w:rPr>
      <w:rFonts w:ascii="Arial" w:hAnsi="Arial" w:eastAsia="黑体"/>
      <w:b/>
      <w:bCs/>
      <w:kern w:val="2"/>
      <w:sz w:val="32"/>
      <w:szCs w:val="32"/>
    </w:rPr>
  </w:style>
  <w:style w:type="character" w:customStyle="1" w:styleId="20">
    <w:name w:val="列出段落 字符"/>
    <w:link w:val="21"/>
    <w:qFormat/>
    <w:uiPriority w:val="34"/>
    <w:rPr>
      <w:kern w:val="2"/>
      <w:sz w:val="21"/>
    </w:rPr>
  </w:style>
  <w:style w:type="paragraph" w:styleId="21">
    <w:name w:val="List Paragraph"/>
    <w:basedOn w:val="1"/>
    <w:link w:val="20"/>
    <w:qFormat/>
    <w:uiPriority w:val="34"/>
    <w:pPr>
      <w:ind w:firstLine="420" w:firstLineChars="200"/>
    </w:pPr>
    <w:rPr>
      <w:szCs w:val="20"/>
    </w:rPr>
  </w:style>
  <w:style w:type="character" w:customStyle="1" w:styleId="22">
    <w:name w:val="批注框文本 字符"/>
    <w:basedOn w:val="13"/>
    <w:link w:val="7"/>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35</Pages>
  <Words>25334</Words>
  <Characters>26672</Characters>
  <Lines>5</Lines>
  <Paragraphs>1</Paragraphs>
  <TotalTime>18</TotalTime>
  <ScaleCrop>false</ScaleCrop>
  <LinksUpToDate>false</LinksUpToDate>
  <CharactersWithSpaces>26716</CharactersWithSpaces>
  <Application>WPS Office_11.1.0.12302_F1E327BC-269C-435d-A152-05C5408002CA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2020-03-19T05:34:00Z</dcterms:created>
  <dc:creator>Mad  rabbit</dc:creator>
  <cp:lastModifiedBy>DMY</cp:lastModifiedBy>
  <cp:lastPrinted>2020-03-19T07:07:00Z</cp:lastPrinted>
  <dcterms:modified xsi:type="dcterms:W3CDTF">2022-08-20T03:02:32Z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2052-11.1.0.12302</vt:lpwstr>
  </property>
  <property fmtid="{D5CDD505-2E9C-101B-9397-08002B2CF9AE}" pid="3" name="ICV">
    <vt:lpwstr>062486A7CE1244879BD36E6FDE5A624F</vt:lpwstr>
  </property>
</Properties>
</file>