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rPr>
          <w:rFonts w:hint="eastAsia" w:ascii="宋体" w:hAnsi="宋体" w:eastAsia="宋体" w:cs="宋体"/>
          <w:b/>
          <w:bCs w:val="0"/>
          <w:sz w:val="24"/>
          <w:szCs w:val="24"/>
        </w:rPr>
      </w:pPr>
      <w:bookmarkStart w:id="0" w:name="_GoBack"/>
      <w:bookmarkEnd w:id="0"/>
      <w:r>
        <w:rPr>
          <w:b/>
          <w:bCs w:val="0"/>
        </w:rPr>
        <w:t>★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因</w:t>
      </w:r>
      <w:r>
        <w:rPr>
          <w:rFonts w:hint="eastAsia" w:ascii="宋体" w:hAnsi="宋体" w:eastAsia="宋体" w:cs="宋体"/>
          <w:b/>
          <w:bCs w:val="0"/>
          <w:sz w:val="24"/>
          <w:szCs w:val="24"/>
          <w:lang w:val="en-US" w:eastAsia="zh-CN"/>
        </w:rPr>
        <w:t>磋商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文件中的格式为自动生成格式，与实际报价需求不符。为保证</w:t>
      </w:r>
      <w:r>
        <w:rPr>
          <w:rFonts w:hint="eastAsia" w:ascii="宋体" w:hAnsi="宋体" w:eastAsia="宋体" w:cs="宋体"/>
          <w:b/>
          <w:bCs w:val="0"/>
          <w:sz w:val="24"/>
          <w:szCs w:val="24"/>
          <w:lang w:val="en-US" w:eastAsia="zh-CN"/>
        </w:rPr>
        <w:t>响应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报价</w:t>
      </w:r>
      <w:r>
        <w:rPr>
          <w:rFonts w:hint="eastAsia" w:ascii="宋体" w:hAnsi="宋体" w:eastAsia="宋体" w:cs="宋体"/>
          <w:b/>
          <w:bCs w:val="0"/>
          <w:sz w:val="24"/>
          <w:szCs w:val="24"/>
          <w:lang w:eastAsia="zh-CN"/>
        </w:rPr>
        <w:t>、</w:t>
      </w:r>
      <w:r>
        <w:rPr>
          <w:rFonts w:hint="eastAsia" w:ascii="宋体" w:hAnsi="宋体" w:eastAsia="宋体" w:cs="宋体"/>
          <w:b/>
          <w:bCs w:val="0"/>
          <w:sz w:val="24"/>
          <w:szCs w:val="24"/>
          <w:lang w:val="en-US" w:eastAsia="zh-CN"/>
        </w:rPr>
        <w:t>工时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清晰合理，现</w:t>
      </w:r>
      <w:r>
        <w:rPr>
          <w:rFonts w:hint="eastAsia" w:ascii="宋体" w:hAnsi="宋体" w:eastAsia="宋体" w:cs="宋体"/>
          <w:b/>
          <w:bCs w:val="0"/>
          <w:sz w:val="24"/>
          <w:szCs w:val="24"/>
          <w:lang w:val="en-US" w:eastAsia="zh-CN"/>
        </w:rPr>
        <w:t>请各响应供应商的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《分项报价表》以此格式为准。</w:t>
      </w:r>
    </w:p>
    <w:p>
      <w:pPr>
        <w:pStyle w:val="2"/>
        <w:rPr>
          <w:rFonts w:hint="eastAsia" w:ascii="宋体" w:hAnsi="宋体" w:eastAsia="宋体" w:cs="宋体"/>
          <w:b/>
          <w:bCs w:val="0"/>
          <w:sz w:val="24"/>
          <w:szCs w:val="24"/>
        </w:rPr>
      </w:pPr>
    </w:p>
    <w:p>
      <w:pPr>
        <w:pStyle w:val="2"/>
        <w:jc w:val="center"/>
        <w:rPr>
          <w:rFonts w:hint="eastAsia" w:ascii="宋体" w:hAnsi="宋体" w:eastAsia="宋体" w:cs="宋体"/>
          <w:bCs/>
          <w:spacing w:val="9"/>
          <w:kern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Cs/>
          <w:spacing w:val="9"/>
          <w:kern w:val="0"/>
          <w:sz w:val="24"/>
          <w:szCs w:val="24"/>
          <w:highlight w:val="none"/>
        </w:rPr>
        <w:t>分项报价表</w:t>
      </w:r>
    </w:p>
    <w:p>
      <w:pPr>
        <w:overflowPunct w:val="0"/>
        <w:spacing w:line="360" w:lineRule="auto"/>
        <w:ind w:right="25" w:firstLine="501" w:firstLineChars="209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采购项目编号：</w:t>
      </w:r>
    </w:p>
    <w:p>
      <w:pPr>
        <w:overflowPunct w:val="0"/>
        <w:spacing w:line="360" w:lineRule="auto"/>
        <w:ind w:right="25" w:firstLine="501" w:firstLineChars="209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项目名称：</w:t>
      </w:r>
    </w:p>
    <w:p>
      <w:pPr>
        <w:overflowPunct w:val="0"/>
        <w:spacing w:line="360" w:lineRule="auto"/>
        <w:ind w:right="25" w:firstLine="501" w:firstLineChars="209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响应供应商名称：</w:t>
      </w:r>
    </w:p>
    <w:p>
      <w:pPr>
        <w:rPr>
          <w:rFonts w:hint="eastAsia" w:ascii="宋体" w:hAnsi="宋体" w:eastAsia="宋体" w:cs="宋体"/>
          <w:sz w:val="24"/>
          <w:szCs w:val="24"/>
          <w:highlight w:val="none"/>
        </w:rPr>
      </w:pPr>
    </w:p>
    <w:p>
      <w:pPr>
        <w:spacing w:line="167" w:lineRule="exact"/>
        <w:rPr>
          <w:rFonts w:hint="eastAsia" w:ascii="宋体" w:hAnsi="宋体" w:eastAsia="宋体" w:cs="宋体"/>
          <w:sz w:val="24"/>
          <w:szCs w:val="24"/>
          <w:highlight w:val="none"/>
        </w:rPr>
      </w:pPr>
    </w:p>
    <w:tbl>
      <w:tblPr>
        <w:tblStyle w:val="5"/>
        <w:tblW w:w="8416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47"/>
        <w:gridCol w:w="2064"/>
        <w:gridCol w:w="2460"/>
        <w:gridCol w:w="1709"/>
        <w:gridCol w:w="133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  <w:jc w:val="center"/>
        </w:trPr>
        <w:tc>
          <w:tcPr>
            <w:tcW w:w="847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3"/>
                <w:sz w:val="24"/>
                <w:szCs w:val="24"/>
                <w:highlight w:val="none"/>
                <w:lang w:eastAsia="zh-CN"/>
              </w:rPr>
              <w:t>采购包</w:t>
            </w:r>
          </w:p>
        </w:tc>
        <w:tc>
          <w:tcPr>
            <w:tcW w:w="2064" w:type="dxa"/>
            <w:shd w:val="clear" w:color="auto" w:fill="F5F5F5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服务内容</w:t>
            </w:r>
          </w:p>
        </w:tc>
        <w:tc>
          <w:tcPr>
            <w:tcW w:w="2460" w:type="dxa"/>
            <w:shd w:val="clear" w:color="auto" w:fill="F5F5F5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  <w:lang w:val="en-US" w:eastAsia="zh-CN"/>
              </w:rPr>
              <w:t>响应</w:t>
            </w:r>
            <w:r>
              <w:rPr>
                <w:rFonts w:hint="eastAsia"/>
                <w:sz w:val="24"/>
              </w:rPr>
              <w:t>总价（元）</w:t>
            </w:r>
          </w:p>
        </w:tc>
        <w:tc>
          <w:tcPr>
            <w:tcW w:w="1709" w:type="dxa"/>
            <w:shd w:val="clear" w:color="auto" w:fill="F5F5F5"/>
            <w:vAlign w:val="center"/>
          </w:tcPr>
          <w:p>
            <w:pPr>
              <w:jc w:val="center"/>
              <w:rPr>
                <w:rFonts w:hint="eastAsia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服务工时</w:t>
            </w:r>
          </w:p>
          <w:p>
            <w:pPr>
              <w:jc w:val="center"/>
              <w:rPr>
                <w:rFonts w:hint="eastAsia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（小时/</w:t>
            </w:r>
            <w:r>
              <w:rPr>
                <w:rFonts w:hint="eastAsia" w:eastAsia="宋体"/>
                <w:sz w:val="24"/>
                <w:lang w:val="en-US" w:eastAsia="zh-CN"/>
              </w:rPr>
              <w:t>年</w:t>
            </w:r>
            <w:r>
              <w:rPr>
                <w:rFonts w:hint="eastAsia"/>
                <w:sz w:val="24"/>
                <w:lang w:val="en-US" w:eastAsia="zh-CN"/>
              </w:rPr>
              <w:t>）</w:t>
            </w:r>
          </w:p>
        </w:tc>
        <w:tc>
          <w:tcPr>
            <w:tcW w:w="1336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2" w:hRule="atLeast"/>
          <w:jc w:val="center"/>
        </w:trPr>
        <w:tc>
          <w:tcPr>
            <w:tcW w:w="847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sz w:val="24"/>
              </w:rPr>
              <w:t>包</w:t>
            </w:r>
            <w:r>
              <w:rPr>
                <w:rFonts w:hint="eastAsia" w:eastAsia="宋体"/>
                <w:sz w:val="24"/>
                <w:lang w:val="en-US" w:eastAsia="zh-CN"/>
              </w:rPr>
              <w:t>1</w:t>
            </w:r>
          </w:p>
        </w:tc>
        <w:tc>
          <w:tcPr>
            <w:tcW w:w="2064" w:type="dxa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荔湾</w:t>
            </w:r>
            <w:r>
              <w:rPr>
                <w:sz w:val="24"/>
              </w:rPr>
              <w:t>区街道社工服务站评估统筹、标准修订、培训、宣传总结、监督观察、稽查以及中期、末期评估</w:t>
            </w:r>
          </w:p>
        </w:tc>
        <w:tc>
          <w:tcPr>
            <w:tcW w:w="2460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  <w:r>
              <w:rPr>
                <w:rFonts w:hint="eastAsia"/>
                <w:sz w:val="24"/>
              </w:rPr>
              <w:t>90</w:t>
            </w:r>
            <w:r>
              <w:rPr>
                <w:sz w:val="24"/>
              </w:rPr>
              <w:t>800.00元</w:t>
            </w:r>
          </w:p>
          <w:p>
            <w:pPr>
              <w:jc w:val="center"/>
              <w:rPr>
                <w:rFonts w:hint="eastAsia"/>
                <w:sz w:val="24"/>
                <w:lang w:val="en-US"/>
              </w:rPr>
            </w:pPr>
            <w:r>
              <w:rPr>
                <w:sz w:val="24"/>
              </w:rPr>
              <w:t>（以区实际社工服务站评估经费总额×8</w:t>
            </w:r>
            <w:r>
              <w:rPr>
                <w:rFonts w:hint="eastAsia"/>
                <w:sz w:val="24"/>
              </w:rPr>
              <w:t>5</w:t>
            </w:r>
            <w:r>
              <w:rPr>
                <w:sz w:val="24"/>
              </w:rPr>
              <w:t>%结算）</w:t>
            </w:r>
          </w:p>
        </w:tc>
        <w:tc>
          <w:tcPr>
            <w:tcW w:w="1709" w:type="dxa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1336" w:type="dxa"/>
            <w:vAlign w:val="center"/>
          </w:tcPr>
          <w:p>
            <w:pP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2" w:hRule="atLeast"/>
          <w:jc w:val="center"/>
        </w:trPr>
        <w:tc>
          <w:tcPr>
            <w:tcW w:w="847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sz w:val="24"/>
              </w:rPr>
              <w:t>包</w:t>
            </w:r>
            <w:r>
              <w:rPr>
                <w:rFonts w:hint="eastAsia" w:eastAsia="宋体"/>
                <w:sz w:val="24"/>
                <w:lang w:val="en-US" w:eastAsia="zh-CN"/>
              </w:rPr>
              <w:t>2</w:t>
            </w:r>
          </w:p>
        </w:tc>
        <w:tc>
          <w:tcPr>
            <w:tcW w:w="2064" w:type="dxa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荔湾</w:t>
            </w:r>
            <w:r>
              <w:rPr>
                <w:sz w:val="24"/>
              </w:rPr>
              <w:t>区街道社工服务站财务评估</w:t>
            </w:r>
          </w:p>
        </w:tc>
        <w:tc>
          <w:tcPr>
            <w:tcW w:w="2460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1572</w:t>
            </w:r>
            <w:r>
              <w:rPr>
                <w:sz w:val="24"/>
              </w:rPr>
              <w:t>00.00元</w:t>
            </w:r>
          </w:p>
          <w:p>
            <w:pPr>
              <w:jc w:val="center"/>
              <w:rPr>
                <w:rFonts w:hint="eastAsia"/>
                <w:sz w:val="24"/>
                <w:lang w:val="en-US" w:eastAsia="zh-CN"/>
              </w:rPr>
            </w:pPr>
            <w:r>
              <w:rPr>
                <w:sz w:val="24"/>
              </w:rPr>
              <w:t>（以区实际社工服务站评估经费总额×</w:t>
            </w:r>
            <w:r>
              <w:rPr>
                <w:rFonts w:hint="eastAsia"/>
                <w:sz w:val="24"/>
              </w:rPr>
              <w:t>15</w:t>
            </w:r>
            <w:r>
              <w:rPr>
                <w:sz w:val="24"/>
              </w:rPr>
              <w:t>%结算）</w:t>
            </w:r>
          </w:p>
        </w:tc>
        <w:tc>
          <w:tcPr>
            <w:tcW w:w="1709" w:type="dxa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1336" w:type="dxa"/>
            <w:vAlign w:val="center"/>
          </w:tcPr>
          <w:p>
            <w:pP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</w:p>
        </w:tc>
      </w:tr>
    </w:tbl>
    <w:p>
      <w:p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>
      <w:p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备注：</w:t>
      </w:r>
    </w:p>
    <w:p>
      <w:pPr>
        <w:numPr>
          <w:ilvl w:val="0"/>
          <w:numId w:val="1"/>
        </w:num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本项目采购预算金额为固定费用，不得修改，否则按无效投标处理。</w:t>
      </w:r>
    </w:p>
    <w:p>
      <w:pPr>
        <w:numPr>
          <w:ilvl w:val="0"/>
          <w:numId w:val="1"/>
        </w:num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供应商须在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响应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文件中明确服务总工时，工时必须固定唯一且在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采购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文件规定的范围之内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,否则视为无效投标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pStyle w:val="2"/>
        <w:rPr>
          <w:rFonts w:hint="default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4.如供应商需对响应服务工时进行细分的，可再另制工时分项表，格式自拟。</w:t>
      </w:r>
    </w:p>
    <w:p>
      <w:pPr>
        <w:overflowPunct w:val="0"/>
        <w:spacing w:line="360" w:lineRule="auto"/>
        <w:ind w:right="25" w:firstLine="7320" w:firstLineChars="3050"/>
        <w:rPr>
          <w:rFonts w:hint="eastAsia" w:ascii="宋体" w:hAnsi="宋体" w:eastAsia="宋体" w:cs="宋体"/>
          <w:sz w:val="24"/>
          <w:szCs w:val="24"/>
          <w:highlight w:val="none"/>
        </w:rPr>
      </w:pPr>
    </w:p>
    <w:p>
      <w:pPr>
        <w:overflowPunct w:val="0"/>
        <w:spacing w:line="360" w:lineRule="auto"/>
        <w:ind w:right="25" w:firstLine="4560" w:firstLineChars="1900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投标人签章：__________________</w:t>
      </w:r>
    </w:p>
    <w:p>
      <w:pPr>
        <w:overflowPunct w:val="0"/>
        <w:spacing w:line="360" w:lineRule="auto"/>
        <w:ind w:right="25" w:firstLine="4560" w:firstLineChars="1900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日期：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 xml:space="preserve">     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年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月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日</w:t>
      </w:r>
    </w:p>
    <w:p>
      <w:pPr>
        <w:rPr>
          <w:rFonts w:hint="eastAsia" w:ascii="宋体" w:hAnsi="宋体" w:eastAsia="宋体" w:cs="宋体"/>
          <w:sz w:val="24"/>
          <w:szCs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B6D18A1"/>
    <w:multiLevelType w:val="singleLevel"/>
    <w:tmpl w:val="0B6D18A1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M5Y2I3YzNkMzM0MzllYmFlNGUzYTdiM2QzMzI4ZmIifQ=="/>
  </w:docVars>
  <w:rsids>
    <w:rsidRoot w:val="5E854E25"/>
    <w:rsid w:val="02DA7CED"/>
    <w:rsid w:val="16771367"/>
    <w:rsid w:val="17136475"/>
    <w:rsid w:val="26464692"/>
    <w:rsid w:val="266C3F58"/>
    <w:rsid w:val="2E220504"/>
    <w:rsid w:val="332701EB"/>
    <w:rsid w:val="35DF2600"/>
    <w:rsid w:val="382F19F4"/>
    <w:rsid w:val="42D622F6"/>
    <w:rsid w:val="47956559"/>
    <w:rsid w:val="4BBD625E"/>
    <w:rsid w:val="4DA10979"/>
    <w:rsid w:val="5E854E25"/>
    <w:rsid w:val="6A001E3A"/>
    <w:rsid w:val="70AE175A"/>
    <w:rsid w:val="71351A80"/>
    <w:rsid w:val="76FE7E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line="480" w:lineRule="atLeast"/>
    </w:pPr>
    <w:rPr>
      <w:rFonts w:ascii="楷体_GB2312" w:eastAsia="楷体_GB2312"/>
      <w:b/>
      <w:kern w:val="2"/>
      <w:sz w:val="30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352</Words>
  <Characters>392</Characters>
  <Lines>0</Lines>
  <Paragraphs>0</Paragraphs>
  <TotalTime>2</TotalTime>
  <ScaleCrop>false</ScaleCrop>
  <LinksUpToDate>false</LinksUpToDate>
  <CharactersWithSpaces>401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2022-02-10T07:36:00Z</dcterms:created>
  <dc:creator>123</dc:creator>
  <cp:lastModifiedBy>LW</cp:lastModifiedBy>
  <dcterms:modified xsi:type="dcterms:W3CDTF">2022-12-01T09:42:57Z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AFBB9B4F5A374C98B6EFB82E330EE131</vt:lpwstr>
  </property>
</Properties>
</file>