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rPr>
          <w:rFonts w:ascii="宋体" w:hAnsi="宋体" w:cs="宋体"/>
          <w:bCs/>
          <w:color w:val="auto"/>
          <w:sz w:val="28"/>
          <w:szCs w:val="28"/>
        </w:rPr>
      </w:pPr>
      <w:r>
        <w:rPr>
          <w:rFonts w:hint="eastAsia" w:ascii="宋体" w:hAnsi="宋体" w:cs="宋体"/>
          <w:bCs/>
          <w:color w:val="auto"/>
          <w:sz w:val="28"/>
          <w:szCs w:val="28"/>
        </w:rPr>
        <w:t xml:space="preserve">阳江市人民医院院区升级改造信息化基础设施与管控平台项目    </w:t>
      </w:r>
      <w:bookmarkStart w:id="13" w:name="_GoBack"/>
      <w:bookmarkEnd w:id="13"/>
      <w:r>
        <w:rPr>
          <w:rFonts w:hint="eastAsia" w:ascii="宋体" w:hAnsi="宋体" w:cs="宋体"/>
          <w:bCs/>
          <w:color w:val="auto"/>
          <w:sz w:val="28"/>
          <w:szCs w:val="28"/>
        </w:rPr>
        <w:t>需求书</w:t>
      </w:r>
    </w:p>
    <w:p>
      <w:pPr>
        <w:pStyle w:val="2"/>
        <w:rPr>
          <w:color w:val="auto"/>
        </w:rPr>
      </w:pPr>
    </w:p>
    <w:p>
      <w:pPr>
        <w:ind w:firstLine="0" w:firstLineChars="0"/>
        <w:jc w:val="center"/>
        <w:rPr>
          <w:rFonts w:ascii="宋体" w:hAnsi="宋体" w:cs="宋体"/>
          <w:bCs/>
          <w:color w:val="auto"/>
          <w:sz w:val="28"/>
          <w:szCs w:val="28"/>
        </w:rPr>
      </w:pPr>
      <w:r>
        <w:rPr>
          <w:rFonts w:hint="eastAsia" w:ascii="宋体" w:hAnsi="宋体" w:cs="宋体"/>
          <w:bCs/>
          <w:color w:val="auto"/>
          <w:sz w:val="28"/>
          <w:szCs w:val="28"/>
        </w:rPr>
        <w:t>第一部分 商务要求</w:t>
      </w:r>
    </w:p>
    <w:p>
      <w:pPr>
        <w:autoSpaceDE w:val="0"/>
        <w:autoSpaceDN w:val="0"/>
        <w:ind w:firstLine="0" w:firstLineChars="0"/>
        <w:rPr>
          <w:rFonts w:ascii="宋体" w:hAnsi="宋体" w:cs="宋体"/>
          <w:color w:val="auto"/>
          <w:lang w:val="zh-CN"/>
        </w:rPr>
      </w:pPr>
      <w:r>
        <w:rPr>
          <w:rFonts w:hint="eastAsia" w:ascii="宋体" w:hAnsi="宋体" w:cs="宋体"/>
          <w:color w:val="auto"/>
        </w:rPr>
        <w:t>一、项目内容</w:t>
      </w:r>
      <w:r>
        <w:rPr>
          <w:rFonts w:hint="eastAsia" w:ascii="宋体" w:hAnsi="宋体" w:cs="宋体"/>
          <w:color w:val="auto"/>
          <w:lang w:val="zh-CN"/>
        </w:rPr>
        <w:t>：</w:t>
      </w:r>
    </w:p>
    <w:tbl>
      <w:tblPr>
        <w:tblStyle w:val="21"/>
        <w:tblW w:w="9228" w:type="dxa"/>
        <w:jc w:val="center"/>
        <w:tblLayout w:type="fixed"/>
        <w:tblCellMar>
          <w:top w:w="0" w:type="dxa"/>
          <w:left w:w="10" w:type="dxa"/>
          <w:bottom w:w="0" w:type="dxa"/>
          <w:right w:w="10" w:type="dxa"/>
        </w:tblCellMar>
      </w:tblPr>
      <w:tblGrid>
        <w:gridCol w:w="696"/>
        <w:gridCol w:w="2530"/>
        <w:gridCol w:w="730"/>
        <w:gridCol w:w="2923"/>
        <w:gridCol w:w="2349"/>
      </w:tblGrid>
      <w:tr>
        <w:tblPrEx>
          <w:tblCellMar>
            <w:top w:w="0" w:type="dxa"/>
            <w:left w:w="10" w:type="dxa"/>
            <w:bottom w:w="0" w:type="dxa"/>
            <w:right w:w="10" w:type="dxa"/>
          </w:tblCellMar>
        </w:tblPrEx>
        <w:trPr>
          <w:trHeight w:val="509" w:hRule="exact"/>
          <w:jc w:val="center"/>
        </w:trPr>
        <w:tc>
          <w:tcPr>
            <w:tcW w:w="696" w:type="dxa"/>
            <w:tcBorders>
              <w:top w:val="single" w:color="auto" w:sz="4" w:space="0"/>
              <w:left w:val="single" w:color="auto" w:sz="4" w:space="0"/>
            </w:tcBorders>
            <w:shd w:val="clear" w:color="auto" w:fill="FFFFFF"/>
            <w:vAlign w:val="center"/>
          </w:tcPr>
          <w:p>
            <w:pPr>
              <w:pStyle w:val="38"/>
              <w:spacing w:line="360" w:lineRule="auto"/>
              <w:ind w:firstLine="0"/>
              <w:rPr>
                <w:color w:val="auto"/>
              </w:rPr>
            </w:pPr>
            <w:r>
              <w:rPr>
                <w:color w:val="auto"/>
              </w:rPr>
              <w:t>序号</w:t>
            </w:r>
          </w:p>
        </w:tc>
        <w:tc>
          <w:tcPr>
            <w:tcW w:w="2530" w:type="dxa"/>
            <w:tcBorders>
              <w:top w:val="single" w:color="auto" w:sz="4" w:space="0"/>
              <w:left w:val="single" w:color="auto" w:sz="4" w:space="0"/>
            </w:tcBorders>
            <w:shd w:val="clear" w:color="auto" w:fill="FFFFFF"/>
            <w:vAlign w:val="center"/>
          </w:tcPr>
          <w:p>
            <w:pPr>
              <w:pStyle w:val="38"/>
              <w:spacing w:line="360" w:lineRule="auto"/>
              <w:ind w:firstLine="0"/>
              <w:rPr>
                <w:color w:val="auto"/>
              </w:rPr>
            </w:pPr>
            <w:r>
              <w:rPr>
                <w:color w:val="auto"/>
              </w:rPr>
              <w:t>采购内容</w:t>
            </w:r>
          </w:p>
        </w:tc>
        <w:tc>
          <w:tcPr>
            <w:tcW w:w="730" w:type="dxa"/>
            <w:tcBorders>
              <w:top w:val="single" w:color="auto" w:sz="4" w:space="0"/>
              <w:left w:val="single" w:color="auto" w:sz="4" w:space="0"/>
            </w:tcBorders>
            <w:shd w:val="clear" w:color="auto" w:fill="FFFFFF"/>
            <w:vAlign w:val="center"/>
          </w:tcPr>
          <w:p>
            <w:pPr>
              <w:pStyle w:val="38"/>
              <w:spacing w:line="360" w:lineRule="auto"/>
              <w:ind w:firstLine="0"/>
              <w:rPr>
                <w:color w:val="auto"/>
              </w:rPr>
            </w:pPr>
            <w:r>
              <w:rPr>
                <w:color w:val="auto"/>
              </w:rPr>
              <w:t>数量</w:t>
            </w:r>
          </w:p>
        </w:tc>
        <w:tc>
          <w:tcPr>
            <w:tcW w:w="2923" w:type="dxa"/>
            <w:tcBorders>
              <w:top w:val="single" w:color="auto" w:sz="4" w:space="0"/>
              <w:left w:val="single" w:color="auto" w:sz="4" w:space="0"/>
            </w:tcBorders>
            <w:shd w:val="clear" w:color="auto" w:fill="FFFFFF"/>
            <w:vAlign w:val="center"/>
          </w:tcPr>
          <w:p>
            <w:pPr>
              <w:pStyle w:val="38"/>
              <w:spacing w:line="360" w:lineRule="auto"/>
              <w:ind w:firstLine="0"/>
              <w:rPr>
                <w:color w:val="auto"/>
              </w:rPr>
            </w:pPr>
            <w:r>
              <w:rPr>
                <w:color w:val="auto"/>
              </w:rPr>
              <w:t>交货期</w:t>
            </w:r>
          </w:p>
        </w:tc>
        <w:tc>
          <w:tcPr>
            <w:tcW w:w="2349" w:type="dxa"/>
            <w:tcBorders>
              <w:top w:val="single" w:color="auto" w:sz="4" w:space="0"/>
              <w:left w:val="single" w:color="auto" w:sz="4" w:space="0"/>
              <w:right w:val="single" w:color="auto" w:sz="4" w:space="0"/>
            </w:tcBorders>
            <w:shd w:val="clear" w:color="auto" w:fill="FFFFFF"/>
            <w:vAlign w:val="center"/>
          </w:tcPr>
          <w:p>
            <w:pPr>
              <w:pStyle w:val="38"/>
              <w:spacing w:line="360" w:lineRule="auto"/>
              <w:ind w:firstLine="0"/>
              <w:rPr>
                <w:color w:val="auto"/>
              </w:rPr>
            </w:pPr>
            <w:r>
              <w:rPr>
                <w:color w:val="auto"/>
              </w:rPr>
              <w:t>最高限价</w:t>
            </w:r>
          </w:p>
        </w:tc>
      </w:tr>
      <w:tr>
        <w:tblPrEx>
          <w:tblCellMar>
            <w:top w:w="0" w:type="dxa"/>
            <w:left w:w="10" w:type="dxa"/>
            <w:bottom w:w="0" w:type="dxa"/>
            <w:right w:w="10" w:type="dxa"/>
          </w:tblCellMar>
        </w:tblPrEx>
        <w:trPr>
          <w:trHeight w:val="1813" w:hRule="exact"/>
          <w:jc w:val="center"/>
        </w:trPr>
        <w:tc>
          <w:tcPr>
            <w:tcW w:w="696" w:type="dxa"/>
            <w:tcBorders>
              <w:top w:val="single" w:color="auto" w:sz="4" w:space="0"/>
              <w:left w:val="single" w:color="auto" w:sz="4" w:space="0"/>
              <w:bottom w:val="single" w:color="auto" w:sz="4" w:space="0"/>
            </w:tcBorders>
            <w:shd w:val="clear" w:color="auto" w:fill="FFFFFF"/>
            <w:vAlign w:val="center"/>
          </w:tcPr>
          <w:p>
            <w:pPr>
              <w:pStyle w:val="38"/>
              <w:spacing w:line="360" w:lineRule="auto"/>
              <w:ind w:firstLine="0"/>
              <w:rPr>
                <w:color w:val="auto"/>
                <w:sz w:val="24"/>
                <w:szCs w:val="24"/>
              </w:rPr>
            </w:pPr>
            <w:r>
              <w:rPr>
                <w:color w:val="auto"/>
                <w:sz w:val="24"/>
                <w:szCs w:val="24"/>
              </w:rPr>
              <w:t>1</w:t>
            </w:r>
          </w:p>
        </w:tc>
        <w:tc>
          <w:tcPr>
            <w:tcW w:w="2530" w:type="dxa"/>
            <w:tcBorders>
              <w:top w:val="single" w:color="auto" w:sz="4" w:space="0"/>
              <w:left w:val="single" w:color="auto" w:sz="4" w:space="0"/>
              <w:bottom w:val="single" w:color="auto" w:sz="4" w:space="0"/>
            </w:tcBorders>
            <w:shd w:val="clear" w:color="auto" w:fill="FFFFFF"/>
            <w:vAlign w:val="center"/>
          </w:tcPr>
          <w:p>
            <w:pPr>
              <w:pStyle w:val="38"/>
              <w:spacing w:line="360" w:lineRule="auto"/>
              <w:ind w:firstLine="0"/>
              <w:rPr>
                <w:color w:val="auto"/>
              </w:rPr>
            </w:pPr>
            <w:r>
              <w:rPr>
                <w:rFonts w:hint="eastAsia"/>
                <w:color w:val="auto"/>
              </w:rPr>
              <w:t>阳江市人民医院院区升级改造信息化基础设施与管控平台项目</w:t>
            </w:r>
          </w:p>
        </w:tc>
        <w:tc>
          <w:tcPr>
            <w:tcW w:w="730" w:type="dxa"/>
            <w:tcBorders>
              <w:top w:val="single" w:color="auto" w:sz="4" w:space="0"/>
              <w:left w:val="single" w:color="auto" w:sz="4" w:space="0"/>
              <w:bottom w:val="single" w:color="auto" w:sz="4" w:space="0"/>
            </w:tcBorders>
            <w:shd w:val="clear" w:color="auto" w:fill="FFFFFF"/>
            <w:vAlign w:val="center"/>
          </w:tcPr>
          <w:p>
            <w:pPr>
              <w:pStyle w:val="38"/>
              <w:spacing w:line="360" w:lineRule="auto"/>
              <w:ind w:firstLine="0"/>
              <w:rPr>
                <w:color w:val="auto"/>
              </w:rPr>
            </w:pPr>
            <w:r>
              <w:rPr>
                <w:color w:val="auto"/>
                <w:sz w:val="24"/>
                <w:szCs w:val="24"/>
              </w:rPr>
              <w:t>1</w:t>
            </w:r>
            <w:r>
              <w:rPr>
                <w:color w:val="auto"/>
              </w:rPr>
              <w:t>项</w:t>
            </w:r>
          </w:p>
        </w:tc>
        <w:tc>
          <w:tcPr>
            <w:tcW w:w="2923" w:type="dxa"/>
            <w:tcBorders>
              <w:top w:val="single" w:color="auto" w:sz="4" w:space="0"/>
              <w:left w:val="single" w:color="auto" w:sz="4" w:space="0"/>
              <w:bottom w:val="single" w:color="auto" w:sz="4" w:space="0"/>
            </w:tcBorders>
            <w:shd w:val="clear" w:color="auto" w:fill="FFFFFF"/>
            <w:vAlign w:val="center"/>
          </w:tcPr>
          <w:p>
            <w:pPr>
              <w:ind w:firstLine="0" w:firstLineChars="0"/>
              <w:jc w:val="left"/>
              <w:rPr>
                <w:color w:val="auto"/>
              </w:rPr>
            </w:pPr>
            <w:r>
              <w:rPr>
                <w:rFonts w:ascii="仿宋" w:hAnsi="仿宋" w:eastAsia="仿宋"/>
                <w:color w:val="auto"/>
              </w:rPr>
              <w:t>自采购合同签订后且</w:t>
            </w:r>
            <w:r>
              <w:rPr>
                <w:rFonts w:hint="eastAsia" w:ascii="仿宋" w:hAnsi="仿宋" w:eastAsia="仿宋"/>
                <w:color w:val="auto"/>
              </w:rPr>
              <w:t>满足</w:t>
            </w:r>
            <w:r>
              <w:rPr>
                <w:rFonts w:ascii="仿宋" w:hAnsi="仿宋" w:eastAsia="仿宋"/>
                <w:color w:val="auto"/>
              </w:rPr>
              <w:t>进场施工条件之日起</w:t>
            </w:r>
            <w:r>
              <w:rPr>
                <w:rFonts w:hint="eastAsia" w:ascii="仿宋" w:hAnsi="仿宋" w:eastAsia="仿宋"/>
                <w:color w:val="auto"/>
              </w:rPr>
              <w:t>180</w:t>
            </w:r>
            <w:r>
              <w:rPr>
                <w:rFonts w:ascii="仿宋" w:hAnsi="仿宋" w:eastAsia="仿宋"/>
                <w:color w:val="auto"/>
              </w:rPr>
              <w:t>个日历日内完工（包括供货、安装调试、培训）。</w:t>
            </w:r>
          </w:p>
          <w:p>
            <w:pPr>
              <w:pStyle w:val="38"/>
              <w:spacing w:line="360" w:lineRule="auto"/>
              <w:ind w:firstLine="480"/>
              <w:rPr>
                <w:color w:val="auto"/>
              </w:rPr>
            </w:pPr>
          </w:p>
        </w:tc>
        <w:tc>
          <w:tcPr>
            <w:tcW w:w="234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spacing w:after="180" w:line="360" w:lineRule="auto"/>
              <w:ind w:firstLine="0"/>
              <w:rPr>
                <w:color w:val="auto"/>
              </w:rPr>
            </w:pPr>
            <w:r>
              <w:rPr>
                <w:color w:val="auto"/>
                <w:sz w:val="24"/>
                <w:szCs w:val="24"/>
              </w:rPr>
              <w:t>人民币</w:t>
            </w:r>
            <w:r>
              <w:rPr>
                <w:rFonts w:hint="eastAsia"/>
                <w:color w:val="auto"/>
                <w:sz w:val="24"/>
                <w:szCs w:val="24"/>
              </w:rPr>
              <w:t>12796652.8</w:t>
            </w:r>
            <w:r>
              <w:rPr>
                <w:color w:val="auto"/>
                <w:sz w:val="24"/>
                <w:szCs w:val="24"/>
              </w:rPr>
              <w:t>元</w:t>
            </w:r>
          </w:p>
        </w:tc>
      </w:tr>
    </w:tbl>
    <w:p>
      <w:pPr>
        <w:autoSpaceDE w:val="0"/>
        <w:autoSpaceDN w:val="0"/>
        <w:ind w:firstLine="120" w:firstLineChars="50"/>
        <w:rPr>
          <w:rFonts w:ascii="宋体" w:hAnsi="宋体" w:cs="宋体"/>
          <w:color w:val="auto"/>
          <w:szCs w:val="21"/>
        </w:rPr>
      </w:pPr>
      <w:r>
        <w:rPr>
          <w:rFonts w:hint="eastAsia" w:ascii="宋体" w:hAnsi="宋体" w:cs="宋体"/>
          <w:color w:val="auto"/>
          <w:szCs w:val="21"/>
        </w:rPr>
        <w:t>二、投标人要求：</w:t>
      </w:r>
    </w:p>
    <w:p>
      <w:pPr>
        <w:ind w:firstLine="0" w:firstLineChars="0"/>
        <w:rPr>
          <w:rFonts w:ascii="宋体" w:hAnsi="宋体" w:cs="宋体"/>
          <w:color w:val="auto"/>
        </w:rPr>
      </w:pPr>
      <w:r>
        <w:rPr>
          <w:rFonts w:hint="eastAsia" w:ascii="宋体" w:hAnsi="宋体" w:cs="宋体"/>
          <w:color w:val="auto"/>
        </w:rPr>
        <w:t>（1）投标人应具备《中华人民共和国政府采购法》第二十二条规定的条件；</w:t>
      </w:r>
    </w:p>
    <w:p>
      <w:pPr>
        <w:ind w:firstLine="0" w:firstLineChars="0"/>
        <w:rPr>
          <w:rFonts w:ascii="宋体" w:hAnsi="宋体" w:cs="宋体"/>
          <w:color w:val="auto"/>
        </w:rPr>
      </w:pPr>
      <w:r>
        <w:rPr>
          <w:rFonts w:hint="eastAsia" w:ascii="宋体" w:hAnsi="宋体" w:cs="宋体"/>
          <w:color w:val="auto"/>
        </w:rPr>
        <w:t>（2）单位负责人为同一人或者存在直接控股、管理关系的不同供应商，不得同时参加本采购项目投标。为采购项目提供整体设计、规范编制或者项目管理、监理、检测等服务的供应商，不得再参加该采购项目的其他采购活动；</w:t>
      </w:r>
    </w:p>
    <w:p>
      <w:pPr>
        <w:pStyle w:val="2"/>
        <w:spacing w:line="360" w:lineRule="auto"/>
        <w:rPr>
          <w:rFonts w:ascii="宋体" w:hAnsi="宋体" w:cs="宋体"/>
          <w:color w:val="auto"/>
          <w:kern w:val="2"/>
          <w:sz w:val="24"/>
          <w:szCs w:val="24"/>
        </w:rPr>
      </w:pPr>
      <w:r>
        <w:rPr>
          <w:rFonts w:hint="eastAsia" w:ascii="宋体" w:hAnsi="宋体" w:cs="宋体"/>
          <w:color w:val="auto"/>
          <w:kern w:val="2"/>
          <w:sz w:val="24"/>
          <w:szCs w:val="24"/>
        </w:rPr>
        <w:t>（3）投标人</w:t>
      </w:r>
      <w:r>
        <w:rPr>
          <w:rFonts w:hint="eastAsia" w:ascii="宋体" w:hAnsi="宋体" w:cs="宋体"/>
          <w:color w:val="auto"/>
          <w:sz w:val="24"/>
          <w:szCs w:val="24"/>
          <w:shd w:val="clear" w:color="auto" w:fill="FFFFFF"/>
        </w:rPr>
        <w:t>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w:t>
      </w:r>
      <w:r>
        <w:rPr>
          <w:rFonts w:hint="eastAsia" w:ascii="宋体" w:hAnsi="宋体" w:cs="宋体"/>
          <w:color w:val="auto"/>
          <w:sz w:val="24"/>
          <w:szCs w:val="24"/>
        </w:rPr>
        <w:t>；</w:t>
      </w:r>
    </w:p>
    <w:p>
      <w:pPr>
        <w:pStyle w:val="2"/>
        <w:spacing w:line="360" w:lineRule="auto"/>
        <w:rPr>
          <w:rFonts w:ascii="宋体" w:hAnsi="宋体" w:cs="宋体"/>
          <w:color w:val="auto"/>
          <w:kern w:val="2"/>
          <w:sz w:val="24"/>
          <w:szCs w:val="24"/>
        </w:rPr>
      </w:pPr>
      <w:r>
        <w:rPr>
          <w:rFonts w:ascii="宋体" w:hAnsi="宋体" w:cs="宋体"/>
          <w:color w:val="auto"/>
          <w:kern w:val="2"/>
          <w:sz w:val="24"/>
          <w:szCs w:val="24"/>
        </w:rPr>
        <w:t>(</w:t>
      </w:r>
      <w:r>
        <w:rPr>
          <w:rFonts w:hint="eastAsia" w:ascii="宋体" w:hAnsi="宋体" w:cs="宋体"/>
          <w:color w:val="auto"/>
          <w:kern w:val="2"/>
          <w:sz w:val="24"/>
          <w:szCs w:val="24"/>
        </w:rPr>
        <w:t>4</w:t>
      </w:r>
      <w:r>
        <w:rPr>
          <w:rFonts w:ascii="宋体" w:hAnsi="宋体" w:cs="宋体"/>
          <w:color w:val="auto"/>
          <w:kern w:val="2"/>
          <w:sz w:val="24"/>
          <w:szCs w:val="24"/>
        </w:rPr>
        <w:t>)</w:t>
      </w:r>
      <w:r>
        <w:rPr>
          <w:rFonts w:hint="eastAsia" w:ascii="宋体" w:hAnsi="宋体" w:cs="宋体"/>
          <w:color w:val="auto"/>
          <w:kern w:val="2"/>
          <w:sz w:val="24"/>
          <w:szCs w:val="24"/>
        </w:rPr>
        <w:t xml:space="preserve"> 本项目不接受联合体投标.</w:t>
      </w:r>
    </w:p>
    <w:p>
      <w:pPr>
        <w:autoSpaceDE w:val="0"/>
        <w:autoSpaceDN w:val="0"/>
        <w:ind w:firstLine="120" w:firstLineChars="50"/>
        <w:rPr>
          <w:rFonts w:ascii="宋体" w:hAnsi="宋体" w:cs="宋体"/>
          <w:color w:val="auto"/>
          <w:kern w:val="0"/>
        </w:rPr>
      </w:pPr>
      <w:r>
        <w:rPr>
          <w:rFonts w:hint="eastAsia" w:ascii="宋体" w:hAnsi="宋体" w:cs="宋体"/>
          <w:color w:val="auto"/>
          <w:szCs w:val="21"/>
        </w:rPr>
        <w:t>三、</w:t>
      </w:r>
      <w:r>
        <w:rPr>
          <w:rFonts w:hint="eastAsia" w:ascii="宋体" w:hAnsi="宋体" w:cs="宋体"/>
          <w:color w:val="auto"/>
          <w:kern w:val="0"/>
        </w:rPr>
        <w:t>报价要求：</w:t>
      </w:r>
    </w:p>
    <w:p>
      <w:pPr>
        <w:ind w:firstLine="0" w:firstLineChars="0"/>
        <w:rPr>
          <w:rFonts w:ascii="宋体" w:hAnsi="宋体" w:cs="宋体"/>
          <w:color w:val="auto"/>
        </w:rPr>
      </w:pPr>
      <w:r>
        <w:rPr>
          <w:rFonts w:hint="eastAsia" w:ascii="宋体" w:hAnsi="宋体" w:cs="宋体"/>
          <w:color w:val="auto"/>
        </w:rPr>
        <w:t>（1）</w:t>
      </w:r>
      <w:r>
        <w:rPr>
          <w:rFonts w:hint="eastAsia" w:ascii="宋体" w:hAnsi="宋体" w:cs="宋体"/>
          <w:color w:val="auto"/>
          <w:szCs w:val="21"/>
        </w:rPr>
        <w:t>货物</w:t>
      </w:r>
      <w:r>
        <w:rPr>
          <w:rFonts w:hint="eastAsia" w:ascii="宋体" w:hAnsi="宋体" w:cs="宋体"/>
          <w:color w:val="auto"/>
        </w:rPr>
        <w:t xml:space="preserve">为合法生产的符合国家有关标准要求的货物，并满足规定的规格、参数、质量、价格、有效期、售后服务等要求。 </w:t>
      </w:r>
    </w:p>
    <w:p>
      <w:pPr>
        <w:ind w:firstLine="0" w:firstLineChars="0"/>
        <w:rPr>
          <w:rFonts w:ascii="宋体" w:hAnsi="宋体" w:cs="宋体"/>
          <w:color w:val="auto"/>
        </w:rPr>
      </w:pPr>
      <w:r>
        <w:rPr>
          <w:rFonts w:hint="eastAsia" w:ascii="宋体" w:hAnsi="宋体" w:cs="宋体"/>
          <w:color w:val="auto"/>
        </w:rPr>
        <w:t>（2）报价为产品设备送达采购方指定地点、经采购人验收合格并交付使用所有可能发生的费用，包括设备制造、运输、采购保管、安装、调试、免费期质保、税收以及售后服务等费用，并提供税务发票，采购人不再另行支付任何其他费用，如有特殊情况应予以说明。</w:t>
      </w:r>
    </w:p>
    <w:p>
      <w:pPr>
        <w:ind w:firstLine="0" w:firstLineChars="0"/>
        <w:rPr>
          <w:rFonts w:ascii="宋体" w:hAnsi="宋体" w:cs="宋体"/>
          <w:color w:val="auto"/>
          <w:kern w:val="0"/>
        </w:rPr>
      </w:pPr>
      <w:r>
        <w:rPr>
          <w:rFonts w:hint="eastAsia" w:ascii="宋体" w:hAnsi="宋体" w:cs="宋体"/>
          <w:color w:val="auto"/>
          <w:kern w:val="0"/>
        </w:rPr>
        <w:t>四、售后服务要求</w:t>
      </w:r>
    </w:p>
    <w:p>
      <w:pPr>
        <w:ind w:firstLine="480"/>
        <w:rPr>
          <w:color w:val="auto"/>
          <w:szCs w:val="21"/>
        </w:rPr>
      </w:pPr>
      <w:r>
        <w:rPr>
          <w:rFonts w:hint="eastAsia" w:ascii="宋体" w:hAnsi="宋体" w:cs="宋体"/>
          <w:color w:val="auto"/>
        </w:rPr>
        <w:t>（1）</w:t>
      </w:r>
      <w:r>
        <w:rPr>
          <w:rFonts w:hint="eastAsia"/>
          <w:color w:val="auto"/>
          <w:szCs w:val="21"/>
        </w:rPr>
        <w:t>项目包含1年质保期，质保期从验收合格之日计算。设备提供三年保修期。保修期从验收合格之日计算，保修期内所有非人为故意损坏的故障维修均由设备原厂家提供保修，保修期内出现的故障在一个月内不能修复的，在接到采购人通知后免费更换同型号的设备，完工期与投标文件的承诺相同。</w:t>
      </w:r>
    </w:p>
    <w:p>
      <w:pPr>
        <w:ind w:firstLine="480"/>
        <w:rPr>
          <w:color w:val="auto"/>
          <w:szCs w:val="21"/>
        </w:rPr>
      </w:pPr>
      <w:r>
        <w:rPr>
          <w:rFonts w:hint="eastAsia" w:ascii="宋体" w:hAnsi="宋体" w:cs="宋体"/>
          <w:color w:val="auto"/>
        </w:rPr>
        <w:t>（</w:t>
      </w:r>
      <w:r>
        <w:rPr>
          <w:rFonts w:ascii="宋体" w:hAnsi="宋体" w:cs="宋体"/>
          <w:color w:val="auto"/>
        </w:rPr>
        <w:t>2</w:t>
      </w:r>
      <w:r>
        <w:rPr>
          <w:rFonts w:hint="eastAsia" w:ascii="宋体" w:hAnsi="宋体" w:cs="宋体"/>
          <w:color w:val="auto"/>
        </w:rPr>
        <w:t>）</w:t>
      </w:r>
      <w:r>
        <w:rPr>
          <w:rFonts w:hint="eastAsia"/>
          <w:color w:val="auto"/>
          <w:szCs w:val="21"/>
        </w:rPr>
        <w:t>需安装调试的设备，投标人负责组织协调相关技术部门落实。设备到货后完成安装、调试及用户操作人员的现场操作、维护培训，培训人数2人以上，达到用户操作人员熟练操作为止。</w:t>
      </w:r>
    </w:p>
    <w:p>
      <w:pPr>
        <w:ind w:firstLine="480"/>
        <w:rPr>
          <w:color w:val="auto"/>
          <w:szCs w:val="21"/>
        </w:rPr>
      </w:pPr>
      <w:r>
        <w:rPr>
          <w:rFonts w:hint="eastAsia" w:ascii="宋体" w:hAnsi="宋体" w:cs="宋体"/>
          <w:color w:val="auto"/>
        </w:rPr>
        <w:t>（</w:t>
      </w:r>
      <w:r>
        <w:rPr>
          <w:rFonts w:ascii="宋体" w:hAnsi="宋体" w:cs="宋体"/>
          <w:color w:val="auto"/>
        </w:rPr>
        <w:t>3</w:t>
      </w:r>
      <w:r>
        <w:rPr>
          <w:rFonts w:hint="eastAsia" w:ascii="宋体" w:hAnsi="宋体" w:cs="宋体"/>
          <w:color w:val="auto"/>
        </w:rPr>
        <w:t>）</w:t>
      </w:r>
      <w:r>
        <w:rPr>
          <w:rFonts w:hint="eastAsia"/>
          <w:color w:val="auto"/>
          <w:szCs w:val="21"/>
        </w:rPr>
        <w:t>投标人应列出所投设备在日常使用中的常见故障（提供设备常见故障及排除方法列表），并承诺指派专业技术人员对使用单位的维保人员进行相关培训，培训的内容应为《常见故障及排除方法列表》中所列的所有内容，并保证达到用户操作人员熟练操作为止。</w:t>
      </w:r>
    </w:p>
    <w:p>
      <w:pPr>
        <w:ind w:firstLine="480"/>
        <w:rPr>
          <w:rFonts w:ascii="宋体" w:hAnsi="宋体" w:cs="宋体"/>
          <w:color w:val="auto"/>
        </w:rPr>
      </w:pPr>
      <w:r>
        <w:rPr>
          <w:rFonts w:hint="eastAsia" w:ascii="宋体" w:hAnsi="宋体" w:cs="宋体"/>
          <w:color w:val="auto"/>
        </w:rPr>
        <w:t>（</w:t>
      </w:r>
      <w:r>
        <w:rPr>
          <w:rFonts w:ascii="宋体" w:hAnsi="宋体" w:cs="宋体"/>
          <w:color w:val="auto"/>
        </w:rPr>
        <w:t>4</w:t>
      </w:r>
      <w:r>
        <w:rPr>
          <w:rFonts w:hint="eastAsia" w:ascii="宋体" w:hAnsi="宋体" w:cs="宋体"/>
          <w:color w:val="auto"/>
        </w:rPr>
        <w:t>）</w:t>
      </w:r>
      <w:r>
        <w:rPr>
          <w:rFonts w:hint="eastAsia"/>
          <w:color w:val="auto"/>
          <w:szCs w:val="21"/>
        </w:rPr>
        <w:t>投标人接到采购人提出的维修或技术支持要求，必须30分钟内响应，如2小时内不能通过相关手段解决问题，必须4小时内到达用户现场处理问题，如到达用户现场24小时内未能解决问题，必须提供相关的备件替换保证采购人正常使用，直至解决问题为止。</w:t>
      </w:r>
    </w:p>
    <w:p>
      <w:pPr>
        <w:ind w:firstLine="0" w:firstLineChars="0"/>
        <w:rPr>
          <w:rFonts w:ascii="宋体" w:hAnsi="宋体" w:cs="宋体"/>
          <w:color w:val="auto"/>
          <w:kern w:val="0"/>
        </w:rPr>
      </w:pPr>
      <w:r>
        <w:rPr>
          <w:rFonts w:hint="eastAsia" w:ascii="宋体" w:hAnsi="宋体" w:cs="宋体"/>
          <w:color w:val="auto"/>
          <w:kern w:val="0"/>
        </w:rPr>
        <w:t>五、验收：</w:t>
      </w:r>
    </w:p>
    <w:p>
      <w:pPr>
        <w:widowControl/>
        <w:ind w:firstLine="480"/>
        <w:jc w:val="left"/>
        <w:rPr>
          <w:rFonts w:ascii="宋体" w:hAnsi="宋体" w:cs="宋体"/>
          <w:color w:val="auto"/>
        </w:rPr>
      </w:pPr>
      <w:r>
        <w:rPr>
          <w:rFonts w:hint="eastAsia" w:ascii="宋体" w:hAnsi="宋体" w:cs="宋体"/>
          <w:color w:val="auto"/>
          <w:kern w:val="0"/>
          <w:lang w:bidi="ar"/>
        </w:rPr>
        <w:t xml:space="preserve">验收工作由本项目验收工作小组负责，验收工作小组由采购人指定人员组成。本项目完成具备验收条件后，由中标人提出验收申请，验收工作小组在 7 个工作日内组织统一验收： </w:t>
      </w:r>
    </w:p>
    <w:p>
      <w:pPr>
        <w:ind w:firstLine="480"/>
        <w:rPr>
          <w:rFonts w:ascii="宋体" w:hAnsi="宋体" w:cs="宋体"/>
          <w:color w:val="auto"/>
        </w:rPr>
      </w:pPr>
      <w:r>
        <w:rPr>
          <w:rFonts w:hint="eastAsia" w:ascii="宋体" w:hAnsi="宋体" w:cs="宋体"/>
          <w:color w:val="auto"/>
        </w:rPr>
        <w:t>1.中标人提供的所有系统设备和服务，其质量、技术等特征必须符合国家、行业现行的标准及用户需求。</w:t>
      </w:r>
    </w:p>
    <w:p>
      <w:pPr>
        <w:ind w:firstLine="480"/>
        <w:rPr>
          <w:rFonts w:ascii="宋体" w:hAnsi="宋体" w:cs="宋体"/>
          <w:color w:val="auto"/>
        </w:rPr>
      </w:pPr>
      <w:bookmarkStart w:id="0" w:name="_Toc21106"/>
      <w:r>
        <w:rPr>
          <w:rFonts w:hint="eastAsia" w:ascii="宋体" w:hAnsi="宋体" w:cs="宋体"/>
          <w:color w:val="auto"/>
        </w:rPr>
        <w:t>2.所有设备必须有相应的详细中文说明书。</w:t>
      </w:r>
      <w:bookmarkEnd w:id="0"/>
    </w:p>
    <w:p>
      <w:pPr>
        <w:ind w:firstLine="480"/>
        <w:rPr>
          <w:rFonts w:ascii="宋体" w:hAnsi="宋体" w:cs="宋体"/>
          <w:color w:val="auto"/>
        </w:rPr>
      </w:pPr>
      <w:r>
        <w:rPr>
          <w:rFonts w:hint="eastAsia" w:ascii="宋体" w:hAnsi="宋体" w:cs="宋体"/>
          <w:color w:val="auto"/>
        </w:rPr>
        <w:t>3.采购人有权拒绝接受任何不合格的设备和服务，由此产生的费用及相关后果均由中标人自行承担。</w:t>
      </w:r>
    </w:p>
    <w:p>
      <w:pPr>
        <w:ind w:firstLine="480"/>
        <w:rPr>
          <w:rFonts w:ascii="宋体" w:hAnsi="宋体" w:cs="宋体"/>
          <w:color w:val="auto"/>
        </w:rPr>
      </w:pPr>
      <w:r>
        <w:rPr>
          <w:rFonts w:hint="eastAsia" w:ascii="宋体" w:hAnsi="宋体" w:cs="宋体"/>
          <w:color w:val="auto"/>
        </w:rPr>
        <w:t>4.中标人应保证，在提供本项目的系统设备、服务或其任何一部分不会产生因第三方依法享有的专利权、商标权或其他知识产权而产生纠纷；如果中标人不拥有相应的知识产权，则须在报价中包括合法获取该知识产权的相关费用，并在响应文件中附有相关证明文件，如因第三方提出其专利权、商标权或其他知识产权的侵权之诉，则一切法律责任由中标人承担。</w:t>
      </w:r>
    </w:p>
    <w:p>
      <w:pPr>
        <w:ind w:firstLine="480"/>
        <w:rPr>
          <w:rFonts w:ascii="宋体" w:hAnsi="宋体" w:cs="宋体"/>
          <w:color w:val="auto"/>
        </w:rPr>
      </w:pPr>
      <w:r>
        <w:rPr>
          <w:rFonts w:hint="eastAsia" w:ascii="宋体" w:hAnsi="宋体" w:cs="宋体"/>
          <w:color w:val="auto"/>
        </w:rPr>
        <w:t>5.验收按国家有关的规定、规范进行。验收时如发现所交付的系统设备有短装、次品、损坏或其它不符合本项目规定之情形者，采购人应做出详尽的现场记录，或由采购人和中标人双方签署备忘录。此现场记录或备忘录可用作补充、缺失和更换损坏部件的有效证据，由此产生的有关费用由中标人承担。</w:t>
      </w:r>
    </w:p>
    <w:p>
      <w:pPr>
        <w:ind w:firstLine="480"/>
        <w:rPr>
          <w:rFonts w:ascii="宋体" w:hAnsi="宋体" w:cs="宋体"/>
          <w:color w:val="auto"/>
          <w:kern w:val="0"/>
          <w:lang w:bidi="ar"/>
        </w:rPr>
      </w:pPr>
      <w:r>
        <w:rPr>
          <w:rFonts w:hint="eastAsia" w:ascii="宋体" w:hAnsi="宋体" w:cs="宋体"/>
          <w:color w:val="auto"/>
        </w:rPr>
        <w:t>6.使用验收（1）使用单位对系统设备使用、运行情况作说明，提供验收报告；（2）由采购人相关业务部门组织进行功能性检测并签署验收单。</w:t>
      </w:r>
    </w:p>
    <w:p>
      <w:pPr>
        <w:pStyle w:val="2"/>
        <w:rPr>
          <w:rFonts w:ascii="宋体" w:hAnsi="宋体" w:cs="宋体"/>
          <w:color w:val="auto"/>
          <w:sz w:val="24"/>
          <w:szCs w:val="24"/>
          <w:lang w:bidi="ar"/>
        </w:rPr>
      </w:pPr>
    </w:p>
    <w:p>
      <w:pPr>
        <w:pStyle w:val="2"/>
        <w:rPr>
          <w:rFonts w:ascii="宋体" w:hAnsi="宋体" w:cs="宋体"/>
          <w:color w:val="auto"/>
          <w:sz w:val="24"/>
          <w:szCs w:val="24"/>
          <w:lang w:bidi="ar"/>
        </w:rPr>
      </w:pPr>
      <w:r>
        <w:rPr>
          <w:rFonts w:hint="eastAsia" w:ascii="宋体" w:hAnsi="宋体" w:cs="宋体"/>
          <w:color w:val="auto"/>
          <w:sz w:val="24"/>
          <w:szCs w:val="24"/>
          <w:lang w:bidi="ar"/>
        </w:rPr>
        <w:t>六、付款方式</w:t>
      </w:r>
    </w:p>
    <w:p>
      <w:pPr>
        <w:ind w:firstLine="440"/>
        <w:rPr>
          <w:rFonts w:ascii="宋体" w:hAnsi="宋体" w:cs="宋体"/>
          <w:color w:val="auto"/>
          <w:sz w:val="22"/>
          <w:szCs w:val="22"/>
        </w:rPr>
      </w:pPr>
      <w:r>
        <w:rPr>
          <w:rFonts w:hint="eastAsia" w:ascii="宋体" w:hAnsi="宋体" w:cs="宋体"/>
          <w:color w:val="auto"/>
          <w:sz w:val="22"/>
          <w:szCs w:val="22"/>
        </w:rPr>
        <w:t>1.预付款：签订合同之日起7个工作日内，支付合同总价的30%；</w:t>
      </w:r>
    </w:p>
    <w:p>
      <w:pPr>
        <w:ind w:firstLine="440"/>
        <w:rPr>
          <w:rFonts w:ascii="宋体" w:hAnsi="宋体" w:cs="宋体"/>
          <w:color w:val="auto"/>
          <w:sz w:val="22"/>
          <w:szCs w:val="22"/>
        </w:rPr>
      </w:pPr>
      <w:r>
        <w:rPr>
          <w:rFonts w:hint="eastAsia" w:ascii="宋体" w:hAnsi="宋体" w:cs="宋体"/>
          <w:color w:val="auto"/>
          <w:sz w:val="22"/>
          <w:szCs w:val="22"/>
        </w:rPr>
        <w:t>2</w:t>
      </w:r>
      <w:r>
        <w:rPr>
          <w:rFonts w:ascii="宋体" w:hAnsi="宋体" w:cs="宋体"/>
          <w:color w:val="auto"/>
          <w:sz w:val="22"/>
          <w:szCs w:val="22"/>
        </w:rPr>
        <w:t>.</w:t>
      </w:r>
      <w:r>
        <w:rPr>
          <w:rFonts w:hint="eastAsia" w:ascii="宋体" w:hAnsi="宋体" w:cs="宋体"/>
          <w:color w:val="auto"/>
          <w:sz w:val="22"/>
          <w:szCs w:val="22"/>
        </w:rPr>
        <w:t>设备到货款：安装设备到达施工现场，提交全部核验材料后15个工作日内支付合同总价的30%；</w:t>
      </w:r>
    </w:p>
    <w:p>
      <w:pPr>
        <w:ind w:firstLine="440"/>
        <w:rPr>
          <w:rFonts w:ascii="宋体" w:hAnsi="宋体" w:cs="宋体"/>
          <w:color w:val="auto"/>
          <w:sz w:val="22"/>
          <w:szCs w:val="22"/>
        </w:rPr>
      </w:pPr>
      <w:r>
        <w:rPr>
          <w:rFonts w:ascii="宋体" w:hAnsi="宋体" w:cs="宋体"/>
          <w:color w:val="auto"/>
          <w:sz w:val="22"/>
          <w:szCs w:val="22"/>
        </w:rPr>
        <w:t>3</w:t>
      </w:r>
      <w:r>
        <w:rPr>
          <w:rFonts w:hint="eastAsia" w:ascii="宋体" w:hAnsi="宋体" w:cs="宋体"/>
          <w:color w:val="auto"/>
          <w:sz w:val="22"/>
          <w:szCs w:val="22"/>
        </w:rPr>
        <w:t>.验收款：设备安装调试结束，提交全部报告材料，调试完成并验收合格后15个工作日内支付合同总价的40%；</w:t>
      </w:r>
    </w:p>
    <w:p>
      <w:pPr>
        <w:ind w:firstLine="440"/>
        <w:rPr>
          <w:color w:val="auto"/>
        </w:rPr>
      </w:pPr>
      <w:r>
        <w:rPr>
          <w:rFonts w:hint="eastAsia" w:ascii="宋体" w:hAnsi="宋体" w:cs="宋体"/>
          <w:color w:val="auto"/>
          <w:sz w:val="22"/>
          <w:szCs w:val="22"/>
        </w:rPr>
        <w:t>4.中标人凭以下有效文件与采购人结算：（1）中标通知书；（2）合同；（3）中标人开具的正式发票；（4）验收报告（加盖采购人公章）。（申请预付款时无需提供）</w:t>
      </w:r>
      <w:r>
        <w:rPr>
          <w:rFonts w:hint="eastAsia"/>
          <w:color w:val="auto"/>
        </w:rPr>
        <w:br w:type="page"/>
      </w:r>
    </w:p>
    <w:p>
      <w:pPr>
        <w:pStyle w:val="12"/>
        <w:ind w:left="480" w:firstLine="420"/>
        <w:rPr>
          <w:color w:val="auto"/>
        </w:rPr>
      </w:pPr>
    </w:p>
    <w:p>
      <w:pPr>
        <w:ind w:firstLine="0" w:firstLineChars="0"/>
        <w:jc w:val="center"/>
        <w:rPr>
          <w:color w:val="auto"/>
        </w:rPr>
      </w:pPr>
      <w:r>
        <w:rPr>
          <w:rFonts w:hint="eastAsia" w:ascii="宋体" w:hAnsi="宋体" w:cs="宋体"/>
          <w:bCs/>
          <w:color w:val="auto"/>
          <w:sz w:val="28"/>
          <w:szCs w:val="28"/>
        </w:rPr>
        <w:t>第二部分 技术要求</w:t>
      </w:r>
    </w:p>
    <w:p>
      <w:pPr>
        <w:pStyle w:val="33"/>
        <w:rPr>
          <w:color w:val="auto"/>
        </w:rPr>
      </w:pPr>
      <w:r>
        <w:rPr>
          <w:rFonts w:hint="eastAsia"/>
          <w:color w:val="auto"/>
        </w:rPr>
        <w:t>一、项目概况：</w:t>
      </w:r>
    </w:p>
    <w:p>
      <w:pPr>
        <w:pStyle w:val="33"/>
        <w:ind w:firstLine="480" w:firstLineChars="200"/>
        <w:rPr>
          <w:color w:val="auto"/>
          <w:lang w:val="zh-CN"/>
        </w:rPr>
      </w:pPr>
      <w:r>
        <w:rPr>
          <w:rFonts w:hint="eastAsia" w:ascii="宋体" w:hAnsi="宋体" w:cs="宋体"/>
          <w:color w:val="auto"/>
        </w:rPr>
        <w:t>1.</w:t>
      </w:r>
      <w:r>
        <w:rPr>
          <w:rFonts w:hint="eastAsia"/>
          <w:color w:val="auto"/>
          <w:lang w:val="zh-CN"/>
        </w:rPr>
        <w:t>项目名称</w:t>
      </w:r>
    </w:p>
    <w:p>
      <w:pPr>
        <w:pStyle w:val="40"/>
        <w:spacing w:line="360" w:lineRule="auto"/>
        <w:ind w:firstLine="480"/>
        <w:rPr>
          <w:color w:val="auto"/>
        </w:rPr>
      </w:pPr>
      <w:r>
        <w:rPr>
          <w:rFonts w:hint="eastAsia"/>
          <w:color w:val="auto"/>
        </w:rPr>
        <w:t>阳江市人民医院院区升级改造信息化基础设施与管控平台项目</w:t>
      </w:r>
    </w:p>
    <w:p>
      <w:pPr>
        <w:pStyle w:val="40"/>
        <w:ind w:firstLine="480" w:firstLineChars="200"/>
        <w:rPr>
          <w:color w:val="auto"/>
        </w:rPr>
      </w:pPr>
      <w:r>
        <w:rPr>
          <w:rFonts w:hint="eastAsia"/>
          <w:color w:val="auto"/>
          <w:sz w:val="24"/>
          <w:szCs w:val="24"/>
          <w:lang w:eastAsia="zh-CN"/>
        </w:rPr>
        <w:t>2.</w:t>
      </w:r>
      <w:r>
        <w:rPr>
          <w:rFonts w:hint="eastAsia"/>
          <w:color w:val="auto"/>
        </w:rPr>
        <w:t>采购单位</w:t>
      </w:r>
    </w:p>
    <w:p>
      <w:pPr>
        <w:tabs>
          <w:tab w:val="left" w:pos="1410"/>
          <w:tab w:val="center" w:pos="4156"/>
        </w:tabs>
        <w:autoSpaceDE w:val="0"/>
        <w:autoSpaceDN w:val="0"/>
        <w:adjustRightInd w:val="0"/>
        <w:ind w:firstLine="480"/>
        <w:rPr>
          <w:rFonts w:ascii="宋体" w:hAnsi="宋体" w:cs="宋体"/>
          <w:color w:val="auto"/>
          <w:lang w:val="zh-CN"/>
        </w:rPr>
      </w:pPr>
      <w:r>
        <w:rPr>
          <w:rFonts w:hint="eastAsia" w:ascii="宋体" w:hAnsi="宋体" w:cs="宋体"/>
          <w:color w:val="auto"/>
          <w:lang w:val="zh-CN"/>
        </w:rPr>
        <w:t>阳江市人民医院</w:t>
      </w:r>
      <w:r>
        <w:rPr>
          <w:rFonts w:hint="eastAsia" w:ascii="宋体" w:hAnsi="宋体" w:cs="宋体"/>
          <w:color w:val="auto"/>
          <w:lang w:val="zh-CN"/>
        </w:rPr>
        <w:tab/>
      </w:r>
    </w:p>
    <w:p>
      <w:pPr>
        <w:pStyle w:val="40"/>
        <w:ind w:firstLine="480" w:firstLineChars="200"/>
        <w:rPr>
          <w:color w:val="auto"/>
        </w:rPr>
      </w:pPr>
      <w:r>
        <w:rPr>
          <w:rFonts w:hint="eastAsia"/>
          <w:color w:val="auto"/>
          <w:sz w:val="24"/>
          <w:szCs w:val="24"/>
          <w:lang w:eastAsia="zh-CN"/>
        </w:rPr>
        <w:t>3.</w:t>
      </w:r>
      <w:r>
        <w:rPr>
          <w:rFonts w:hint="eastAsia"/>
          <w:color w:val="auto"/>
        </w:rPr>
        <w:t>项目地点</w:t>
      </w:r>
    </w:p>
    <w:p>
      <w:pPr>
        <w:tabs>
          <w:tab w:val="left" w:pos="1410"/>
        </w:tabs>
        <w:autoSpaceDE w:val="0"/>
        <w:autoSpaceDN w:val="0"/>
        <w:adjustRightInd w:val="0"/>
        <w:ind w:firstLine="480"/>
        <w:rPr>
          <w:rFonts w:ascii="宋体" w:hAnsi="宋体" w:cs="宋体"/>
          <w:color w:val="auto"/>
          <w:lang w:val="zh-CN"/>
        </w:rPr>
      </w:pPr>
      <w:r>
        <w:rPr>
          <w:rFonts w:hint="eastAsia" w:ascii="宋体" w:hAnsi="宋体" w:cs="宋体"/>
          <w:color w:val="auto"/>
        </w:rPr>
        <w:t xml:space="preserve"> </w:t>
      </w:r>
      <w:r>
        <w:rPr>
          <w:rFonts w:ascii="Arial" w:hAnsi="Arial" w:cs="Arial"/>
          <w:color w:val="auto"/>
          <w:shd w:val="clear" w:color="auto" w:fill="FFFFFF"/>
        </w:rPr>
        <w:t>广东省阳江市江城区东山路42号</w:t>
      </w:r>
    </w:p>
    <w:p>
      <w:pPr>
        <w:pStyle w:val="40"/>
        <w:ind w:firstLine="550" w:firstLineChars="250"/>
        <w:rPr>
          <w:color w:val="auto"/>
        </w:rPr>
      </w:pPr>
      <w:r>
        <w:rPr>
          <w:color w:val="auto"/>
        </w:rPr>
        <w:t>4</w:t>
      </w:r>
      <w:r>
        <w:rPr>
          <w:rFonts w:hint="eastAsia"/>
          <w:color w:val="auto"/>
          <w:sz w:val="24"/>
          <w:szCs w:val="24"/>
          <w:lang w:eastAsia="zh-CN"/>
        </w:rPr>
        <w:t>.</w:t>
      </w:r>
      <w:r>
        <w:rPr>
          <w:rFonts w:hint="eastAsia"/>
          <w:color w:val="auto"/>
        </w:rPr>
        <w:t>项目实施范围</w:t>
      </w:r>
    </w:p>
    <w:p>
      <w:pPr>
        <w:tabs>
          <w:tab w:val="left" w:pos="1410"/>
        </w:tabs>
        <w:autoSpaceDE w:val="0"/>
        <w:autoSpaceDN w:val="0"/>
        <w:adjustRightInd w:val="0"/>
        <w:ind w:firstLine="480"/>
        <w:jc w:val="left"/>
        <w:rPr>
          <w:rFonts w:ascii="宋体" w:hAnsi="宋体" w:cs="宋体"/>
          <w:color w:val="auto"/>
        </w:rPr>
      </w:pPr>
      <w:r>
        <w:rPr>
          <w:rFonts w:hint="eastAsia" w:ascii="宋体" w:hAnsi="宋体" w:cs="宋体"/>
          <w:color w:val="auto"/>
        </w:rPr>
        <w:t>阳江市人民医院院区升级改造信息化基础设施与管控平台项目对旧住院楼以及感染楼进行改造。项目位于阳江市人民医院地块西南角，原为住院楼，因使用年限较久，需重新改造，以满足新的规范及使用要求。</w:t>
      </w:r>
    </w:p>
    <w:p>
      <w:pPr>
        <w:tabs>
          <w:tab w:val="left" w:pos="1410"/>
        </w:tabs>
        <w:autoSpaceDE w:val="0"/>
        <w:autoSpaceDN w:val="0"/>
        <w:adjustRightInd w:val="0"/>
        <w:ind w:firstLine="480"/>
        <w:jc w:val="left"/>
        <w:rPr>
          <w:rFonts w:ascii="宋体" w:hAnsi="宋体" w:cs="宋体"/>
          <w:color w:val="auto"/>
        </w:rPr>
      </w:pPr>
      <w:r>
        <w:rPr>
          <w:rFonts w:hint="eastAsia" w:ascii="宋体" w:hAnsi="宋体" w:cs="宋体"/>
          <w:color w:val="auto"/>
        </w:rPr>
        <w:t>旧住院楼建筑高度51.1米（首层层高4.2米，建筑面积2241.9㎡；二层层高3.5米，建筑面积2292.1㎡；三层层高3.5米，建筑面积1392.4㎡；四层至十一层的每层层高3.3米，每层建筑面积1418.1㎡；十二层层高3.3米，建筑面积1392.4㎡；十三层层高4.2米，建筑面积1436.7㎡）。床位数606张。</w:t>
      </w:r>
    </w:p>
    <w:p>
      <w:pPr>
        <w:tabs>
          <w:tab w:val="left" w:pos="1410"/>
        </w:tabs>
        <w:autoSpaceDE w:val="0"/>
        <w:autoSpaceDN w:val="0"/>
        <w:adjustRightInd w:val="0"/>
        <w:ind w:firstLine="480"/>
        <w:jc w:val="left"/>
        <w:rPr>
          <w:rFonts w:ascii="宋体" w:hAnsi="宋体" w:cs="宋体"/>
          <w:color w:val="auto"/>
        </w:rPr>
      </w:pPr>
      <w:r>
        <w:rPr>
          <w:rFonts w:hint="eastAsia" w:ascii="宋体" w:hAnsi="宋体" w:cs="宋体"/>
          <w:color w:val="auto"/>
        </w:rPr>
        <w:t>感染楼建筑高度16.8米（首层层高3.6米，建筑面积1,723.8㎡；二层至五层的每层层高3.3米，每层建筑面积1,723.8㎡）。床位数217张</w:t>
      </w:r>
      <w:r>
        <w:rPr>
          <w:rFonts w:hint="eastAsia" w:ascii="宋体" w:hAnsi="宋体" w:cs="宋体"/>
          <w:color w:val="auto"/>
          <w:lang w:val="zh-CN"/>
        </w:rPr>
        <w:t>。</w:t>
      </w:r>
      <w:bookmarkStart w:id="1" w:name="_Toc12075"/>
    </w:p>
    <w:p>
      <w:pPr>
        <w:tabs>
          <w:tab w:val="left" w:pos="1410"/>
        </w:tabs>
        <w:autoSpaceDE w:val="0"/>
        <w:autoSpaceDN w:val="0"/>
        <w:adjustRightInd w:val="0"/>
        <w:ind w:firstLine="480"/>
        <w:jc w:val="left"/>
        <w:rPr>
          <w:rFonts w:ascii="宋体" w:hAnsi="宋体" w:cs="宋体"/>
          <w:color w:val="auto"/>
        </w:rPr>
      </w:pPr>
      <w:r>
        <w:rPr>
          <w:rStyle w:val="32"/>
          <w:rFonts w:hint="eastAsia" w:ascii="宋体" w:hAnsi="宋体" w:cs="宋体"/>
          <w:color w:val="auto"/>
        </w:rPr>
        <w:t>二、项目内容</w:t>
      </w:r>
    </w:p>
    <w:p>
      <w:pPr>
        <w:snapToGrid w:val="0"/>
        <w:ind w:firstLine="480"/>
        <w:rPr>
          <w:rFonts w:ascii="宋体" w:hAnsi="宋体" w:cs="宋体"/>
          <w:color w:val="auto"/>
        </w:rPr>
      </w:pPr>
      <w:r>
        <w:rPr>
          <w:rFonts w:hint="eastAsia" w:ascii="宋体" w:hAnsi="宋体" w:cs="宋体"/>
          <w:color w:val="auto"/>
        </w:rPr>
        <w:t>本</w:t>
      </w:r>
      <w:r>
        <w:rPr>
          <w:rStyle w:val="32"/>
          <w:rFonts w:hint="eastAsia" w:ascii="宋体" w:hAnsi="宋体" w:cs="宋体"/>
          <w:color w:val="auto"/>
        </w:rPr>
        <w:t>项目</w:t>
      </w:r>
      <w:r>
        <w:rPr>
          <w:rFonts w:hint="eastAsia" w:ascii="宋体" w:hAnsi="宋体" w:cs="宋体"/>
          <w:color w:val="auto"/>
        </w:rPr>
        <w:t>内容（包括但不限于）：具体为“采购需求书”及设计图纸范围内和货物及材料量清单所含的全部内容。包括：图纸深化、各设备材料运输、装卸及其现场存储安装、调试、验收、维护、技术培训、技术服务与支持、维护保养等售后服务。</w:t>
      </w:r>
    </w:p>
    <w:p>
      <w:pPr>
        <w:snapToGrid w:val="0"/>
        <w:ind w:firstLine="0" w:firstLineChars="0"/>
        <w:rPr>
          <w:rFonts w:ascii="宋体" w:hAnsi="宋体" w:cs="宋体"/>
          <w:color w:val="auto"/>
        </w:rPr>
      </w:pPr>
      <w:r>
        <w:rPr>
          <w:rFonts w:hint="eastAsia" w:ascii="宋体" w:hAnsi="宋体" w:cs="宋体"/>
          <w:color w:val="auto"/>
        </w:rPr>
        <w:t>具体内容如下：</w:t>
      </w:r>
    </w:p>
    <w:tbl>
      <w:tblPr>
        <w:tblStyle w:val="21"/>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9"/>
        <w:gridCol w:w="2519"/>
        <w:gridCol w:w="47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restart"/>
            <w:vAlign w:val="center"/>
          </w:tcPr>
          <w:p>
            <w:pPr>
              <w:pStyle w:val="42"/>
              <w:ind w:firstLine="420"/>
              <w:rPr>
                <w:color w:val="auto"/>
                <w:kern w:val="2"/>
                <w:sz w:val="21"/>
                <w:szCs w:val="21"/>
              </w:rPr>
            </w:pPr>
            <w:r>
              <w:rPr>
                <w:rFonts w:hint="eastAsia"/>
                <w:color w:val="auto"/>
                <w:kern w:val="2"/>
                <w:sz w:val="21"/>
                <w:szCs w:val="21"/>
              </w:rPr>
              <w:t>1</w:t>
            </w:r>
          </w:p>
        </w:tc>
        <w:tc>
          <w:tcPr>
            <w:tcW w:w="2519" w:type="dxa"/>
            <w:vMerge w:val="restart"/>
            <w:vAlign w:val="center"/>
          </w:tcPr>
          <w:p>
            <w:pPr>
              <w:pStyle w:val="42"/>
              <w:ind w:firstLine="420"/>
              <w:rPr>
                <w:color w:val="auto"/>
                <w:kern w:val="2"/>
                <w:sz w:val="21"/>
                <w:szCs w:val="21"/>
              </w:rPr>
            </w:pPr>
            <w:r>
              <w:rPr>
                <w:rFonts w:hint="eastAsia"/>
                <w:color w:val="auto"/>
                <w:kern w:val="2"/>
                <w:sz w:val="21"/>
                <w:szCs w:val="21"/>
              </w:rPr>
              <w:t>信息设施系统</w:t>
            </w:r>
          </w:p>
        </w:tc>
        <w:tc>
          <w:tcPr>
            <w:tcW w:w="4778" w:type="dxa"/>
            <w:vAlign w:val="center"/>
          </w:tcPr>
          <w:p>
            <w:pPr>
              <w:pStyle w:val="42"/>
              <w:ind w:firstLine="0" w:firstLineChars="0"/>
              <w:rPr>
                <w:color w:val="auto"/>
                <w:kern w:val="2"/>
                <w:sz w:val="21"/>
                <w:szCs w:val="21"/>
              </w:rPr>
            </w:pPr>
            <w:r>
              <w:rPr>
                <w:rFonts w:hint="eastAsia"/>
                <w:color w:val="auto"/>
                <w:kern w:val="2"/>
                <w:sz w:val="21"/>
                <w:szCs w:val="21"/>
              </w:rPr>
              <w:t>综合布线系统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rPr>
              <w:t>计算机网络系统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rPr>
              <w:t>病区护理大屏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rPr>
              <w:t>机房</w:t>
            </w:r>
            <w:r>
              <w:rPr>
                <w:rFonts w:hint="eastAsia"/>
                <w:color w:val="auto"/>
                <w:kern w:val="2"/>
                <w:sz w:val="21"/>
                <w:szCs w:val="21"/>
                <w:lang w:val="en-US"/>
              </w:rPr>
              <w:t>建设</w:t>
            </w:r>
            <w:r>
              <w:rPr>
                <w:rFonts w:hint="eastAsia"/>
                <w:color w:val="auto"/>
                <w:kern w:val="2"/>
                <w:sz w:val="21"/>
                <w:szCs w:val="21"/>
              </w:rPr>
              <w:t>（包含弱电系统配电、防雷与接地）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lang w:val="en-US"/>
              </w:rPr>
              <w:t>时钟系统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Align w:val="center"/>
          </w:tcPr>
          <w:p>
            <w:pPr>
              <w:pStyle w:val="42"/>
              <w:ind w:firstLine="420"/>
              <w:rPr>
                <w:color w:val="auto"/>
                <w:kern w:val="2"/>
                <w:sz w:val="21"/>
                <w:szCs w:val="21"/>
              </w:rPr>
            </w:pPr>
            <w:r>
              <w:rPr>
                <w:rFonts w:hint="eastAsia"/>
                <w:color w:val="auto"/>
                <w:kern w:val="2"/>
                <w:sz w:val="21"/>
                <w:szCs w:val="21"/>
              </w:rPr>
              <w:t>2</w:t>
            </w:r>
          </w:p>
        </w:tc>
        <w:tc>
          <w:tcPr>
            <w:tcW w:w="2519" w:type="dxa"/>
            <w:vAlign w:val="center"/>
          </w:tcPr>
          <w:p>
            <w:pPr>
              <w:pStyle w:val="42"/>
              <w:ind w:firstLine="420"/>
              <w:rPr>
                <w:color w:val="auto"/>
                <w:kern w:val="2"/>
                <w:sz w:val="21"/>
                <w:szCs w:val="21"/>
              </w:rPr>
            </w:pPr>
            <w:r>
              <w:rPr>
                <w:rFonts w:hint="eastAsia"/>
                <w:color w:val="auto"/>
                <w:kern w:val="2"/>
                <w:sz w:val="21"/>
                <w:szCs w:val="21"/>
              </w:rPr>
              <w:t>安全防范系统</w:t>
            </w:r>
          </w:p>
        </w:tc>
        <w:tc>
          <w:tcPr>
            <w:tcW w:w="4778" w:type="dxa"/>
            <w:vAlign w:val="center"/>
          </w:tcPr>
          <w:p>
            <w:pPr>
              <w:pStyle w:val="42"/>
              <w:ind w:firstLine="0" w:firstLineChars="0"/>
              <w:rPr>
                <w:color w:val="auto"/>
                <w:kern w:val="2"/>
                <w:sz w:val="21"/>
                <w:szCs w:val="21"/>
              </w:rPr>
            </w:pPr>
            <w:r>
              <w:rPr>
                <w:rFonts w:hint="eastAsia"/>
                <w:color w:val="auto"/>
                <w:kern w:val="2"/>
                <w:sz w:val="21"/>
                <w:szCs w:val="21"/>
              </w:rPr>
              <w:t>视频监控系统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restart"/>
            <w:vAlign w:val="center"/>
          </w:tcPr>
          <w:p>
            <w:pPr>
              <w:pStyle w:val="42"/>
              <w:ind w:firstLine="420"/>
              <w:rPr>
                <w:color w:val="auto"/>
                <w:kern w:val="2"/>
                <w:sz w:val="21"/>
                <w:szCs w:val="21"/>
              </w:rPr>
            </w:pPr>
            <w:r>
              <w:rPr>
                <w:rFonts w:hint="eastAsia"/>
                <w:color w:val="auto"/>
                <w:kern w:val="2"/>
                <w:sz w:val="21"/>
                <w:szCs w:val="21"/>
              </w:rPr>
              <w:t>3</w:t>
            </w:r>
          </w:p>
        </w:tc>
        <w:tc>
          <w:tcPr>
            <w:tcW w:w="2519" w:type="dxa"/>
            <w:vMerge w:val="restart"/>
            <w:vAlign w:val="center"/>
          </w:tcPr>
          <w:p>
            <w:pPr>
              <w:pStyle w:val="42"/>
              <w:ind w:firstLine="420"/>
              <w:rPr>
                <w:color w:val="auto"/>
                <w:kern w:val="2"/>
                <w:sz w:val="21"/>
                <w:szCs w:val="21"/>
              </w:rPr>
            </w:pPr>
            <w:r>
              <w:rPr>
                <w:rFonts w:hint="eastAsia"/>
                <w:color w:val="auto"/>
                <w:kern w:val="2"/>
                <w:sz w:val="21"/>
                <w:szCs w:val="21"/>
              </w:rPr>
              <w:t>综合运营系统</w:t>
            </w:r>
          </w:p>
        </w:tc>
        <w:tc>
          <w:tcPr>
            <w:tcW w:w="4778" w:type="dxa"/>
            <w:vAlign w:val="center"/>
          </w:tcPr>
          <w:p>
            <w:pPr>
              <w:pStyle w:val="42"/>
              <w:ind w:firstLine="0" w:firstLineChars="0"/>
              <w:rPr>
                <w:color w:val="auto"/>
                <w:kern w:val="2"/>
                <w:sz w:val="21"/>
                <w:szCs w:val="21"/>
              </w:rPr>
            </w:pPr>
            <w:r>
              <w:rPr>
                <w:rFonts w:hint="eastAsia"/>
                <w:color w:val="auto"/>
                <w:kern w:val="2"/>
                <w:sz w:val="21"/>
                <w:szCs w:val="21"/>
              </w:rPr>
              <w:t>信息发布及IPTV系统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rPr>
              <w:t>建筑设备监控系统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9" w:type="dxa"/>
            <w:vMerge w:val="continue"/>
            <w:vAlign w:val="center"/>
          </w:tcPr>
          <w:p>
            <w:pPr>
              <w:pStyle w:val="42"/>
              <w:ind w:firstLine="420"/>
              <w:rPr>
                <w:color w:val="auto"/>
                <w:kern w:val="2"/>
                <w:sz w:val="21"/>
                <w:szCs w:val="21"/>
              </w:rPr>
            </w:pPr>
          </w:p>
        </w:tc>
        <w:tc>
          <w:tcPr>
            <w:tcW w:w="2519" w:type="dxa"/>
            <w:vMerge w:val="continue"/>
            <w:vAlign w:val="center"/>
          </w:tcPr>
          <w:p>
            <w:pPr>
              <w:pStyle w:val="42"/>
              <w:ind w:firstLine="420"/>
              <w:rPr>
                <w:color w:val="auto"/>
                <w:kern w:val="2"/>
                <w:sz w:val="21"/>
                <w:szCs w:val="21"/>
              </w:rPr>
            </w:pPr>
          </w:p>
        </w:tc>
        <w:tc>
          <w:tcPr>
            <w:tcW w:w="4778" w:type="dxa"/>
            <w:vAlign w:val="center"/>
          </w:tcPr>
          <w:p>
            <w:pPr>
              <w:pStyle w:val="42"/>
              <w:ind w:firstLine="0" w:firstLineChars="0"/>
              <w:rPr>
                <w:color w:val="auto"/>
                <w:kern w:val="2"/>
                <w:sz w:val="21"/>
                <w:szCs w:val="21"/>
              </w:rPr>
            </w:pPr>
            <w:r>
              <w:rPr>
                <w:rFonts w:hint="eastAsia"/>
                <w:color w:val="auto"/>
                <w:kern w:val="2"/>
                <w:sz w:val="21"/>
                <w:szCs w:val="21"/>
              </w:rPr>
              <w:t>BIM智慧运维平台</w:t>
            </w:r>
          </w:p>
        </w:tc>
      </w:tr>
    </w:tbl>
    <w:p>
      <w:pPr>
        <w:pStyle w:val="42"/>
        <w:ind w:firstLine="480"/>
        <w:rPr>
          <w:color w:val="auto"/>
        </w:rPr>
      </w:pPr>
      <w:r>
        <w:rPr>
          <w:rFonts w:hint="eastAsia"/>
          <w:color w:val="auto"/>
        </w:rPr>
        <w:t>三、系统配套原则</w:t>
      </w:r>
      <w:bookmarkEnd w:id="1"/>
    </w:p>
    <w:p>
      <w:pPr>
        <w:ind w:right="-6" w:firstLine="480"/>
        <w:rPr>
          <w:rFonts w:ascii="宋体" w:hAnsi="宋体" w:cs="宋体"/>
          <w:color w:val="auto"/>
          <w:lang w:val="zh-CN"/>
        </w:rPr>
      </w:pPr>
      <w:r>
        <w:rPr>
          <w:rFonts w:hint="eastAsia" w:ascii="宋体" w:hAnsi="宋体" w:cs="宋体"/>
          <w:color w:val="auto"/>
        </w:rPr>
        <w:t>1、</w:t>
      </w:r>
      <w:r>
        <w:rPr>
          <w:rFonts w:hint="eastAsia" w:ascii="宋体" w:hAnsi="宋体" w:cs="宋体"/>
          <w:color w:val="auto"/>
          <w:lang w:val="zh-CN"/>
        </w:rPr>
        <w:t>友好性原则</w:t>
      </w:r>
    </w:p>
    <w:p>
      <w:pPr>
        <w:ind w:right="-6" w:firstLine="480"/>
        <w:rPr>
          <w:rFonts w:ascii="宋体" w:hAnsi="宋体" w:cs="宋体"/>
          <w:color w:val="auto"/>
        </w:rPr>
      </w:pPr>
      <w:r>
        <w:rPr>
          <w:rFonts w:hint="eastAsia" w:ascii="宋体" w:hAnsi="宋体" w:cs="宋体"/>
          <w:color w:val="auto"/>
          <w:lang w:val="zh-CN"/>
        </w:rPr>
        <w:t>系统设计方案应采用较为</w:t>
      </w:r>
      <w:r>
        <w:rPr>
          <w:rFonts w:hint="eastAsia" w:ascii="宋体" w:hAnsi="宋体" w:cs="宋体"/>
          <w:color w:val="auto"/>
        </w:rPr>
        <w:t>科学</w:t>
      </w:r>
      <w:r>
        <w:rPr>
          <w:rFonts w:hint="eastAsia" w:ascii="宋体" w:hAnsi="宋体" w:cs="宋体"/>
          <w:color w:val="auto"/>
          <w:lang w:val="zh-CN"/>
        </w:rPr>
        <w:t>的硬件设备，能够使用户友好的自动化使用；使系统能集成化，保障各部分的有机结合，高效率动作。系统中所采用的设备应代表现阶段的主流产品，确保方案所涉及的内容具有长期的时效性；</w:t>
      </w:r>
    </w:p>
    <w:p>
      <w:pPr>
        <w:ind w:right="-6" w:firstLine="480"/>
        <w:rPr>
          <w:rFonts w:ascii="宋体" w:hAnsi="宋体" w:cs="宋体"/>
          <w:color w:val="auto"/>
          <w:lang w:val="zh-CN"/>
        </w:rPr>
      </w:pPr>
      <w:r>
        <w:rPr>
          <w:rFonts w:hint="eastAsia" w:ascii="宋体" w:hAnsi="宋体" w:cs="宋体"/>
          <w:color w:val="auto"/>
        </w:rPr>
        <w:t>2、</w:t>
      </w:r>
      <w:r>
        <w:rPr>
          <w:rFonts w:hint="eastAsia" w:ascii="宋体" w:hAnsi="宋体" w:cs="宋体"/>
          <w:color w:val="auto"/>
          <w:lang w:val="zh-CN"/>
        </w:rPr>
        <w:t>集成性和可扩展性原则</w:t>
      </w:r>
    </w:p>
    <w:p>
      <w:pPr>
        <w:ind w:right="-6" w:firstLine="480"/>
        <w:rPr>
          <w:rFonts w:ascii="宋体" w:hAnsi="宋体" w:cs="宋体"/>
          <w:color w:val="auto"/>
        </w:rPr>
      </w:pPr>
      <w:r>
        <w:rPr>
          <w:rFonts w:hint="eastAsia" w:ascii="宋体" w:hAnsi="宋体" w:cs="宋体"/>
          <w:color w:val="auto"/>
          <w:lang w:val="zh-CN"/>
        </w:rPr>
        <w:t>在系统设计中充分考虑整体智能系统所涉及的各个子系统的信息共享，确保智能系统总体结构的</w:t>
      </w:r>
      <w:r>
        <w:rPr>
          <w:rFonts w:hint="eastAsia" w:ascii="宋体" w:hAnsi="宋体" w:cs="宋体"/>
          <w:color w:val="auto"/>
        </w:rPr>
        <w:t>科学</w:t>
      </w:r>
      <w:r>
        <w:rPr>
          <w:rFonts w:hint="eastAsia" w:ascii="宋体" w:hAnsi="宋体" w:cs="宋体"/>
          <w:color w:val="auto"/>
          <w:lang w:val="zh-CN"/>
        </w:rPr>
        <w:t>性，合理性，可扩展性和兼容性，使</w:t>
      </w:r>
      <w:r>
        <w:rPr>
          <w:rFonts w:hint="eastAsia" w:ascii="宋体" w:hAnsi="宋体" w:cs="宋体"/>
          <w:color w:val="auto"/>
        </w:rPr>
        <w:t>院区</w:t>
      </w:r>
      <w:r>
        <w:rPr>
          <w:rFonts w:hint="eastAsia" w:ascii="宋体" w:hAnsi="宋体" w:cs="宋体"/>
          <w:color w:val="auto"/>
          <w:lang w:val="zh-CN"/>
        </w:rPr>
        <w:t>的整个智能化水平可以随着技术的发展和进步，不断得到充实和提高；</w:t>
      </w:r>
    </w:p>
    <w:p>
      <w:pPr>
        <w:ind w:firstLine="480"/>
        <w:rPr>
          <w:rFonts w:ascii="宋体" w:hAnsi="宋体" w:cs="宋体"/>
          <w:color w:val="auto"/>
          <w:lang w:val="zh-CN"/>
        </w:rPr>
      </w:pPr>
      <w:r>
        <w:rPr>
          <w:rFonts w:hint="eastAsia" w:ascii="宋体" w:hAnsi="宋体" w:cs="宋体"/>
          <w:color w:val="auto"/>
        </w:rPr>
        <w:t>3、</w:t>
      </w:r>
      <w:r>
        <w:rPr>
          <w:rFonts w:hint="eastAsia" w:ascii="宋体" w:hAnsi="宋体" w:cs="宋体"/>
          <w:color w:val="auto"/>
          <w:lang w:val="zh-CN"/>
        </w:rPr>
        <w:t>标准化和模块化原则</w:t>
      </w:r>
    </w:p>
    <w:p>
      <w:pPr>
        <w:ind w:firstLine="480"/>
        <w:rPr>
          <w:rFonts w:ascii="宋体" w:hAnsi="宋体" w:cs="宋体"/>
          <w:color w:val="auto"/>
        </w:rPr>
      </w:pPr>
      <w:r>
        <w:rPr>
          <w:rFonts w:hint="eastAsia" w:ascii="宋体" w:hAnsi="宋体" w:cs="宋体"/>
          <w:color w:val="auto"/>
          <w:lang w:val="zh-CN"/>
        </w:rPr>
        <w:t>所有系统设计严格按照国家和地区有关标准进行系统设计和设备配置，并根据</w:t>
      </w:r>
      <w:r>
        <w:rPr>
          <w:rFonts w:hint="eastAsia" w:ascii="宋体" w:hAnsi="宋体" w:cs="宋体"/>
          <w:color w:val="auto"/>
        </w:rPr>
        <w:t>院区</w:t>
      </w:r>
      <w:r>
        <w:rPr>
          <w:rFonts w:hint="eastAsia" w:ascii="宋体" w:hAnsi="宋体" w:cs="宋体"/>
          <w:color w:val="auto"/>
          <w:lang w:val="zh-CN"/>
        </w:rPr>
        <w:t>智能系统总体结构要求，将各子系统结构化和标准化；</w:t>
      </w:r>
    </w:p>
    <w:p>
      <w:pPr>
        <w:ind w:firstLine="480"/>
        <w:rPr>
          <w:rFonts w:ascii="宋体" w:hAnsi="宋体" w:cs="宋体"/>
          <w:color w:val="auto"/>
          <w:lang w:val="zh-CN"/>
        </w:rPr>
      </w:pPr>
      <w:r>
        <w:rPr>
          <w:rFonts w:hint="eastAsia" w:ascii="宋体" w:hAnsi="宋体" w:cs="宋体"/>
          <w:color w:val="auto"/>
        </w:rPr>
        <w:t>4、</w:t>
      </w:r>
      <w:r>
        <w:rPr>
          <w:rFonts w:hint="eastAsia" w:ascii="宋体" w:hAnsi="宋体" w:cs="宋体"/>
          <w:color w:val="auto"/>
          <w:lang w:val="zh-CN"/>
        </w:rPr>
        <w:t>安全性与可靠性原则</w:t>
      </w:r>
    </w:p>
    <w:p>
      <w:pPr>
        <w:ind w:firstLine="480"/>
        <w:rPr>
          <w:rFonts w:ascii="宋体" w:hAnsi="宋体" w:cs="宋体"/>
          <w:color w:val="auto"/>
          <w:lang w:val="zh-CN"/>
        </w:rPr>
      </w:pPr>
      <w:r>
        <w:rPr>
          <w:rFonts w:hint="eastAsia" w:ascii="宋体" w:hAnsi="宋体" w:cs="宋体"/>
          <w:color w:val="auto"/>
          <w:lang w:val="zh-CN"/>
        </w:rPr>
        <w:t>系统设计、设备选型、调试、安装等环节都应严格执行国家、行业的有关标准及公安部门有关安全技术防范的要求，贯彻质量条例，保证系统的可靠性。系统中的设备采用高质量产品，保证系统的正常工作。提供优质的图像质量。防止项目</w:t>
      </w:r>
      <w:r>
        <w:rPr>
          <w:rFonts w:hint="eastAsia" w:ascii="宋体" w:hAnsi="宋体" w:cs="宋体"/>
          <w:color w:val="auto"/>
        </w:rPr>
        <w:t>投入使用</w:t>
      </w:r>
      <w:r>
        <w:rPr>
          <w:rFonts w:hint="eastAsia" w:ascii="宋体" w:hAnsi="宋体" w:cs="宋体"/>
          <w:color w:val="auto"/>
          <w:lang w:val="zh-CN"/>
        </w:rPr>
        <w:t>以后，各部位设备在运行中出现正常值以上的故障率。安防系统的程序或文件要有能力阻止未授权的使用、访问、篡改，或者毁坏的安全防卫级别，硬件设备具有防破坏报警的安全性功能。</w:t>
      </w:r>
    </w:p>
    <w:p>
      <w:pPr>
        <w:ind w:firstLine="480"/>
        <w:rPr>
          <w:rFonts w:ascii="宋体" w:hAnsi="宋体" w:cs="宋体"/>
          <w:color w:val="auto"/>
        </w:rPr>
      </w:pPr>
      <w:r>
        <w:rPr>
          <w:rFonts w:hint="eastAsia" w:ascii="宋体" w:hAnsi="宋体" w:cs="宋体"/>
          <w:color w:val="auto"/>
          <w:lang w:val="zh-CN"/>
        </w:rPr>
        <w:t>必须深刻理解院区内运作设备和系统安全可靠的重要性。在设备选择和系统设计中</w:t>
      </w:r>
      <w:r>
        <w:rPr>
          <w:rFonts w:hint="eastAsia" w:ascii="宋体" w:hAnsi="宋体" w:cs="宋体"/>
          <w:color w:val="auto"/>
        </w:rPr>
        <w:t>优先考虑</w:t>
      </w:r>
      <w:r>
        <w:rPr>
          <w:rFonts w:hint="eastAsia" w:ascii="宋体" w:hAnsi="宋体" w:cs="宋体"/>
          <w:color w:val="auto"/>
          <w:lang w:val="zh-CN"/>
        </w:rPr>
        <w:t>安全性和可靠性。如在系统管理程序中采取严格网络等级操作措施，防止非法访问和恶意破坏；</w:t>
      </w:r>
    </w:p>
    <w:p>
      <w:pPr>
        <w:ind w:firstLine="480"/>
        <w:rPr>
          <w:rFonts w:ascii="宋体" w:hAnsi="宋体" w:cs="宋体"/>
          <w:color w:val="auto"/>
          <w:lang w:val="zh-CN"/>
        </w:rPr>
      </w:pPr>
      <w:r>
        <w:rPr>
          <w:rFonts w:hint="eastAsia" w:ascii="宋体" w:hAnsi="宋体" w:cs="宋体"/>
          <w:color w:val="auto"/>
        </w:rPr>
        <w:t>5、</w:t>
      </w:r>
      <w:r>
        <w:rPr>
          <w:rFonts w:hint="eastAsia" w:ascii="宋体" w:hAnsi="宋体" w:cs="宋体"/>
          <w:color w:val="auto"/>
          <w:lang w:val="zh-CN"/>
        </w:rPr>
        <w:t>服务性与便利性原则</w:t>
      </w:r>
    </w:p>
    <w:p>
      <w:pPr>
        <w:ind w:firstLine="480"/>
        <w:rPr>
          <w:rFonts w:ascii="宋体" w:hAnsi="宋体" w:cs="宋体"/>
          <w:color w:val="auto"/>
        </w:rPr>
      </w:pPr>
      <w:r>
        <w:rPr>
          <w:rFonts w:hint="eastAsia" w:ascii="宋体" w:hAnsi="宋体" w:cs="宋体"/>
          <w:color w:val="auto"/>
          <w:lang w:val="zh-CN"/>
        </w:rPr>
        <w:t>为了方便院区对设备进行管理、操作和维护，系统需要具有更多的人性化功能的体现，使管理者和使用者能够及时掌握被控设备的动态，方便地完成操作；</w:t>
      </w:r>
    </w:p>
    <w:p>
      <w:pPr>
        <w:ind w:firstLine="480"/>
        <w:rPr>
          <w:rFonts w:ascii="宋体" w:hAnsi="宋体" w:cs="宋体"/>
          <w:color w:val="auto"/>
          <w:lang w:val="zh-CN"/>
        </w:rPr>
      </w:pPr>
      <w:r>
        <w:rPr>
          <w:rFonts w:hint="eastAsia" w:ascii="宋体" w:hAnsi="宋体" w:cs="宋体"/>
          <w:color w:val="auto"/>
        </w:rPr>
        <w:t>6、</w:t>
      </w:r>
      <w:r>
        <w:rPr>
          <w:rFonts w:hint="eastAsia" w:ascii="宋体" w:hAnsi="宋体" w:cs="宋体"/>
          <w:color w:val="auto"/>
          <w:lang w:val="zh-CN"/>
        </w:rPr>
        <w:t>经济合理性原则</w:t>
      </w:r>
    </w:p>
    <w:p>
      <w:pPr>
        <w:ind w:firstLine="480"/>
        <w:rPr>
          <w:rFonts w:ascii="宋体" w:hAnsi="宋体" w:cs="宋体"/>
          <w:color w:val="auto"/>
        </w:rPr>
      </w:pPr>
      <w:r>
        <w:rPr>
          <w:rFonts w:hint="eastAsia" w:ascii="宋体" w:hAnsi="宋体" w:cs="宋体"/>
          <w:color w:val="auto"/>
          <w:lang w:val="zh-CN"/>
        </w:rPr>
        <w:t>设备选型和系统设计要确保满足</w:t>
      </w:r>
      <w:r>
        <w:rPr>
          <w:rFonts w:hint="eastAsia" w:ascii="宋体" w:hAnsi="宋体" w:cs="宋体"/>
          <w:color w:val="auto"/>
        </w:rPr>
        <w:t>采购人</w:t>
      </w:r>
      <w:r>
        <w:rPr>
          <w:rFonts w:hint="eastAsia" w:ascii="宋体" w:hAnsi="宋体" w:cs="宋体"/>
          <w:color w:val="auto"/>
          <w:lang w:val="zh-CN"/>
        </w:rPr>
        <w:t>的需求，具有技术上的</w:t>
      </w:r>
      <w:r>
        <w:rPr>
          <w:rFonts w:hint="eastAsia" w:ascii="宋体" w:hAnsi="宋体" w:cs="宋体"/>
          <w:color w:val="auto"/>
        </w:rPr>
        <w:t>科学</w:t>
      </w:r>
      <w:r>
        <w:rPr>
          <w:rFonts w:hint="eastAsia" w:ascii="宋体" w:hAnsi="宋体" w:cs="宋体"/>
          <w:color w:val="auto"/>
          <w:lang w:val="zh-CN"/>
        </w:rPr>
        <w:t>性、可行性和实用性，达到功能与经济相统一的优化设计；</w:t>
      </w:r>
    </w:p>
    <w:p>
      <w:pPr>
        <w:ind w:firstLine="480"/>
        <w:rPr>
          <w:rFonts w:ascii="宋体" w:hAnsi="宋体" w:cs="宋体"/>
          <w:color w:val="auto"/>
        </w:rPr>
      </w:pPr>
      <w:r>
        <w:rPr>
          <w:rFonts w:hint="eastAsia" w:ascii="宋体" w:hAnsi="宋体" w:cs="宋体"/>
          <w:color w:val="auto"/>
        </w:rPr>
        <w:t>7、产品选型</w:t>
      </w:r>
    </w:p>
    <w:p>
      <w:pPr>
        <w:ind w:left="480" w:leftChars="200" w:firstLine="0" w:firstLineChars="0"/>
        <w:rPr>
          <w:rFonts w:ascii="宋体" w:hAnsi="宋体" w:cs="宋体"/>
          <w:color w:val="auto"/>
        </w:rPr>
      </w:pPr>
      <w:r>
        <w:rPr>
          <w:rFonts w:hint="eastAsia" w:ascii="宋体" w:hAnsi="宋体" w:cs="宋体"/>
          <w:color w:val="auto"/>
        </w:rPr>
        <w:t>本次项目设计的智能化系统的硬件及软件产品均以国产品牌的产品为参考。</w:t>
      </w:r>
      <w:bookmarkStart w:id="2" w:name="_Toc339"/>
      <w:r>
        <w:rPr>
          <w:rFonts w:hint="eastAsia" w:ascii="宋体" w:hAnsi="宋体" w:cs="宋体"/>
          <w:color w:val="auto"/>
        </w:rPr>
        <w:t>四</w:t>
      </w:r>
      <w:bookmarkEnd w:id="2"/>
      <w:r>
        <w:rPr>
          <w:rFonts w:hint="eastAsia" w:ascii="宋体" w:hAnsi="宋体" w:cs="宋体"/>
          <w:color w:val="auto"/>
        </w:rPr>
        <w:t>、</w:t>
      </w:r>
      <w:r>
        <w:rPr>
          <w:rFonts w:hint="eastAsia"/>
          <w:color w:val="auto"/>
        </w:rPr>
        <w:t>具体的建设目标</w:t>
      </w:r>
    </w:p>
    <w:p>
      <w:pPr>
        <w:pStyle w:val="42"/>
        <w:ind w:firstLine="480"/>
        <w:rPr>
          <w:color w:val="auto"/>
        </w:rPr>
      </w:pPr>
      <w:r>
        <w:rPr>
          <w:rFonts w:cs="宋体"/>
          <w:color w:val="auto"/>
        </w:rPr>
        <w:t>1</w:t>
      </w:r>
      <w:r>
        <w:rPr>
          <w:rFonts w:hint="eastAsia" w:cs="宋体"/>
          <w:color w:val="auto"/>
        </w:rPr>
        <w:t>、</w:t>
      </w:r>
      <w:r>
        <w:rPr>
          <w:rFonts w:hint="eastAsia"/>
          <w:color w:val="auto"/>
        </w:rPr>
        <w:t>建设一套适应当前使用需求、满足未来发展需要，具备</w:t>
      </w:r>
      <w:r>
        <w:rPr>
          <w:rFonts w:hint="eastAsia"/>
          <w:color w:val="auto"/>
          <w:lang w:val="en-US"/>
        </w:rPr>
        <w:t>科学</w:t>
      </w:r>
      <w:r>
        <w:rPr>
          <w:rFonts w:hint="eastAsia"/>
          <w:color w:val="auto"/>
        </w:rPr>
        <w:t>、完整、稳定、灵活、可发展等多种特点，并具有较高的性能价格比的以通信网络</w:t>
      </w:r>
      <w:r>
        <w:rPr>
          <w:rFonts w:hint="eastAsia"/>
          <w:color w:val="auto"/>
          <w:lang w:val="en-US"/>
        </w:rPr>
        <w:t>为</w:t>
      </w:r>
      <w:r>
        <w:rPr>
          <w:rFonts w:hint="eastAsia"/>
          <w:color w:val="auto"/>
        </w:rPr>
        <w:t>基础的一套弱电智能化系统。</w:t>
      </w:r>
    </w:p>
    <w:p>
      <w:pPr>
        <w:pStyle w:val="42"/>
        <w:ind w:firstLine="480"/>
        <w:rPr>
          <w:color w:val="auto"/>
        </w:rPr>
      </w:pPr>
      <w:r>
        <w:rPr>
          <w:rFonts w:cs="宋体"/>
          <w:color w:val="auto"/>
        </w:rPr>
        <w:t>2</w:t>
      </w:r>
      <w:r>
        <w:rPr>
          <w:rFonts w:hint="eastAsia" w:cs="宋体"/>
          <w:color w:val="auto"/>
        </w:rPr>
        <w:t>、</w:t>
      </w:r>
      <w:r>
        <w:rPr>
          <w:rFonts w:hint="eastAsia"/>
          <w:color w:val="auto"/>
        </w:rPr>
        <w:t>整套信息基础、弱电智能化系统包括基础的布线传输系统、面向使用的医疗辅助系统、面向管理的楼宇控制系统等多个子系统构成的有机整体，通过项目建设，</w:t>
      </w:r>
      <w:r>
        <w:rPr>
          <w:rFonts w:hint="eastAsia"/>
          <w:color w:val="auto"/>
          <w:lang w:val="en-US"/>
        </w:rPr>
        <w:t>提升院区的</w:t>
      </w:r>
      <w:r>
        <w:rPr>
          <w:rFonts w:hint="eastAsia"/>
          <w:color w:val="auto"/>
        </w:rPr>
        <w:t>智能化水平。</w:t>
      </w:r>
    </w:p>
    <w:p>
      <w:pPr>
        <w:pStyle w:val="42"/>
        <w:ind w:firstLine="480"/>
        <w:rPr>
          <w:color w:val="auto"/>
        </w:rPr>
      </w:pPr>
      <w:r>
        <w:rPr>
          <w:rFonts w:cs="宋体"/>
          <w:color w:val="auto"/>
        </w:rPr>
        <w:t>3</w:t>
      </w:r>
      <w:r>
        <w:rPr>
          <w:rFonts w:hint="eastAsia" w:cs="宋体"/>
          <w:color w:val="auto"/>
        </w:rPr>
        <w:t>、</w:t>
      </w:r>
      <w:r>
        <w:rPr>
          <w:rFonts w:hint="eastAsia"/>
          <w:color w:val="auto"/>
        </w:rPr>
        <w:t>通过项目建设，有效支撑和提升医院的运营服务，各子系统的终端设置、使用方法等</w:t>
      </w:r>
      <w:r>
        <w:rPr>
          <w:rFonts w:hint="eastAsia"/>
          <w:color w:val="auto"/>
          <w:lang w:val="en-US"/>
        </w:rPr>
        <w:t>须</w:t>
      </w:r>
      <w:r>
        <w:rPr>
          <w:rFonts w:hint="eastAsia"/>
          <w:color w:val="auto"/>
        </w:rPr>
        <w:t>符合医院工作流程的需要，并能够在一定程度起到辅助优化流程的作用。</w:t>
      </w:r>
    </w:p>
    <w:p>
      <w:pPr>
        <w:pStyle w:val="42"/>
        <w:ind w:firstLine="480"/>
        <w:rPr>
          <w:color w:val="auto"/>
        </w:rPr>
      </w:pPr>
      <w:r>
        <w:rPr>
          <w:rFonts w:cs="宋体"/>
          <w:color w:val="auto"/>
        </w:rPr>
        <w:t>4</w:t>
      </w:r>
      <w:r>
        <w:rPr>
          <w:rFonts w:hint="eastAsia" w:cs="宋体"/>
          <w:color w:val="auto"/>
        </w:rPr>
        <w:t>、</w:t>
      </w:r>
      <w:r>
        <w:rPr>
          <w:rFonts w:hint="eastAsia"/>
          <w:color w:val="auto"/>
        </w:rPr>
        <w:t>通过项目建设，为未来智慧医院建设奠定良好基础。弱电智能化系统的技术选型、系统结构遵循模块化、开放化、标准化的原则，具备开放、灵活的特点，为日后系统的规模发展以及技术升级打好基础。</w:t>
      </w:r>
    </w:p>
    <w:p>
      <w:pPr>
        <w:ind w:firstLine="480"/>
        <w:rPr>
          <w:rFonts w:ascii="宋体" w:hAnsi="宋体" w:cs="宋体"/>
          <w:color w:val="auto"/>
        </w:rPr>
      </w:pPr>
      <w:r>
        <w:rPr>
          <w:rFonts w:ascii="宋体" w:hAnsi="宋体" w:cs="宋体"/>
          <w:color w:val="auto"/>
        </w:rPr>
        <w:t>5</w:t>
      </w:r>
      <w:r>
        <w:rPr>
          <w:rFonts w:hint="eastAsia" w:ascii="宋体" w:hAnsi="宋体" w:cs="宋体"/>
          <w:color w:val="auto"/>
        </w:rPr>
        <w:t>、</w:t>
      </w:r>
      <w:r>
        <w:rPr>
          <w:rFonts w:hint="eastAsia"/>
          <w:color w:val="auto"/>
        </w:rPr>
        <w:t>通过项目建设，构建绿色医院。系统运行消耗尽可能小，节约能源与人力的投入，并且充分考虑到建筑节能技术的使用，构建绿色系统，初步构建绿色、节能医院。</w:t>
      </w:r>
    </w:p>
    <w:p>
      <w:pPr>
        <w:ind w:firstLine="480"/>
        <w:rPr>
          <w:rFonts w:ascii="宋体" w:hAnsi="宋体" w:cs="宋体"/>
          <w:color w:val="auto"/>
        </w:rPr>
      </w:pPr>
      <w:r>
        <w:rPr>
          <w:rFonts w:hint="eastAsia" w:ascii="宋体" w:hAnsi="宋体" w:cs="宋体"/>
          <w:color w:val="auto"/>
        </w:rPr>
        <w:t>五、标准、规范依据</w:t>
      </w:r>
      <w:r>
        <w:rPr>
          <w:rFonts w:hint="eastAsia" w:ascii="宋体" w:hAnsi="宋体" w:cs="宋体"/>
          <w:color w:val="auto"/>
        </w:rPr>
        <w:tab/>
      </w:r>
    </w:p>
    <w:p>
      <w:pPr>
        <w:pStyle w:val="42"/>
        <w:ind w:firstLine="480"/>
        <w:rPr>
          <w:color w:val="auto"/>
        </w:rPr>
      </w:pPr>
      <w:r>
        <w:rPr>
          <w:rFonts w:hint="eastAsia"/>
          <w:color w:val="auto"/>
        </w:rPr>
        <w:t>1、规范与标准</w:t>
      </w:r>
    </w:p>
    <w:p>
      <w:pPr>
        <w:ind w:firstLine="480"/>
        <w:textAlignment w:val="baseline"/>
        <w:rPr>
          <w:rFonts w:ascii="宋体" w:hAnsi="宋体" w:cs="宋体"/>
          <w:color w:val="auto"/>
        </w:rPr>
      </w:pPr>
      <w:r>
        <w:rPr>
          <w:rFonts w:hint="eastAsia" w:ascii="宋体" w:hAnsi="宋体" w:cs="宋体"/>
          <w:color w:val="auto"/>
        </w:rPr>
        <w:t>必须符合本文件及国家规范的相关要求。包括但不限于下列规范：</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《智能建筑设计标准》 GB 50314-2015</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《综合医院建筑设计规范》（GB 51039-2014）</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《有线电视网络工程设计标准》（GB/T50200-2018）；</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《民用建筑电气设计标准》 GB51348-2019</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《建筑物电子信息系统防雷技术规范》 GB 50343-2012</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《综合布线系统工程设计规范》 GB 50311-2016</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《安全防范工程技术标准》 GB 50348-2018</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《视频安防监控系统工程设计规范》 GB50395-2007</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《入侵报警系统工程设计规范》 GB50394-2007</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《城市有线广播电视网络设计规范》 GY5075-2005</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《数据中心设计规范》GB500174-2017</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《公共建筑节能设计标准》 GB 50189－2015</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《传染病医院建筑设计规范》（GB50849-2014）</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《新型冠状病毒感染的肺炎传染病应急医疗设计标准》(T/CECS661-2020)</w:t>
      </w:r>
    </w:p>
    <w:p>
      <w:pPr>
        <w:pStyle w:val="20"/>
        <w:widowControl w:val="0"/>
        <w:numPr>
          <w:ilvl w:val="0"/>
          <w:numId w:val="0"/>
        </w:numPr>
        <w:tabs>
          <w:tab w:val="clear" w:pos="839"/>
        </w:tabs>
        <w:spacing w:before="0" w:after="0"/>
        <w:ind w:left="476"/>
        <w:jc w:val="left"/>
        <w:rPr>
          <w:rFonts w:ascii="宋体" w:hAnsi="宋体" w:cs="宋体"/>
          <w:color w:val="auto"/>
          <w:sz w:val="22"/>
          <w:szCs w:val="22"/>
          <w:lang w:eastAsia="zh-CN"/>
        </w:rPr>
      </w:pPr>
      <w:r>
        <w:rPr>
          <w:rFonts w:hint="eastAsia" w:ascii="宋体" w:hAnsi="宋体" w:cs="宋体"/>
          <w:color w:val="auto"/>
          <w:sz w:val="22"/>
          <w:szCs w:val="22"/>
          <w:lang w:eastAsia="zh-CN"/>
        </w:rPr>
        <w:t>《建筑工程设计文件编制深度的规定》2016年版</w:t>
      </w:r>
    </w:p>
    <w:p>
      <w:pPr>
        <w:ind w:firstLine="440"/>
        <w:textAlignment w:val="baseline"/>
        <w:rPr>
          <w:rFonts w:ascii="宋体" w:hAnsi="宋体" w:cs="宋体"/>
          <w:color w:val="auto"/>
        </w:rPr>
      </w:pPr>
      <w:r>
        <w:rPr>
          <w:rFonts w:hint="eastAsia" w:ascii="宋体" w:hAnsi="宋体" w:cs="宋体"/>
          <w:color w:val="auto"/>
          <w:sz w:val="22"/>
          <w:szCs w:val="22"/>
        </w:rPr>
        <w:t>使用方相关的要求。</w:t>
      </w:r>
    </w:p>
    <w:p>
      <w:pPr>
        <w:ind w:firstLine="480"/>
        <w:textAlignment w:val="baseline"/>
        <w:rPr>
          <w:rFonts w:ascii="宋体" w:hAnsi="宋体" w:cs="宋体"/>
          <w:color w:val="auto"/>
        </w:rPr>
      </w:pPr>
      <w:r>
        <w:rPr>
          <w:rFonts w:hint="eastAsia" w:ascii="宋体" w:hAnsi="宋体" w:cs="宋体"/>
          <w:color w:val="auto"/>
        </w:rPr>
        <w:t>2、</w:t>
      </w:r>
      <w:r>
        <w:rPr>
          <w:rFonts w:hint="eastAsia" w:ascii="宋体" w:hAnsi="宋体" w:cs="宋体"/>
          <w:color w:val="auto"/>
          <w:lang w:val="zh-CN"/>
        </w:rPr>
        <w:t>标准和规范的冲突处理</w:t>
      </w:r>
    </w:p>
    <w:p>
      <w:pPr>
        <w:numPr>
          <w:ilvl w:val="0"/>
          <w:numId w:val="1"/>
        </w:numPr>
        <w:ind w:left="0" w:firstLine="425" w:firstLineChars="0"/>
        <w:textAlignment w:val="baseline"/>
        <w:rPr>
          <w:rFonts w:ascii="宋体" w:hAnsi="宋体" w:cs="宋体"/>
          <w:color w:val="auto"/>
        </w:rPr>
      </w:pPr>
      <w:r>
        <w:rPr>
          <w:rFonts w:hint="eastAsia" w:ascii="宋体" w:hAnsi="宋体" w:cs="宋体"/>
          <w:color w:val="auto"/>
        </w:rPr>
        <w:t>标准、规范之间发生冲突时，采用要求最为严格的标准、规范。</w:t>
      </w:r>
    </w:p>
    <w:p>
      <w:pPr>
        <w:numPr>
          <w:ilvl w:val="0"/>
          <w:numId w:val="1"/>
        </w:numPr>
        <w:ind w:left="0" w:firstLine="425" w:firstLineChars="0"/>
        <w:textAlignment w:val="baseline"/>
        <w:rPr>
          <w:rFonts w:ascii="宋体" w:hAnsi="宋体" w:cs="宋体"/>
          <w:color w:val="auto"/>
        </w:rPr>
      </w:pPr>
      <w:r>
        <w:rPr>
          <w:rFonts w:hint="eastAsia" w:ascii="宋体" w:hAnsi="宋体" w:cs="宋体"/>
          <w:color w:val="auto"/>
        </w:rPr>
        <w:t>标准、规范与本技术规格书要求之间发生冲突时，采用其中最为严格的要求。</w:t>
      </w:r>
    </w:p>
    <w:p>
      <w:pPr>
        <w:numPr>
          <w:ilvl w:val="0"/>
          <w:numId w:val="1"/>
        </w:numPr>
        <w:ind w:left="0" w:firstLine="425" w:firstLineChars="0"/>
        <w:textAlignment w:val="baseline"/>
        <w:rPr>
          <w:rFonts w:ascii="宋体" w:hAnsi="宋体" w:cs="宋体"/>
          <w:color w:val="auto"/>
        </w:rPr>
      </w:pPr>
      <w:r>
        <w:rPr>
          <w:rFonts w:hint="eastAsia" w:ascii="宋体" w:hAnsi="宋体" w:cs="宋体"/>
          <w:color w:val="auto"/>
        </w:rPr>
        <w:t>国内外规范标准发生矛盾时，以国内规范标准执行。</w:t>
      </w:r>
    </w:p>
    <w:p>
      <w:pPr>
        <w:numPr>
          <w:ilvl w:val="0"/>
          <w:numId w:val="1"/>
        </w:numPr>
        <w:ind w:left="0" w:firstLine="425" w:firstLineChars="0"/>
        <w:textAlignment w:val="baseline"/>
        <w:rPr>
          <w:rFonts w:ascii="宋体" w:hAnsi="宋体" w:cs="宋体"/>
          <w:color w:val="auto"/>
        </w:rPr>
      </w:pPr>
      <w:r>
        <w:rPr>
          <w:rFonts w:hint="eastAsia" w:ascii="宋体" w:hAnsi="宋体" w:cs="宋体"/>
          <w:color w:val="auto"/>
        </w:rPr>
        <w:t>如果国家有新的行业标准公布，则按新标准执行。</w:t>
      </w:r>
    </w:p>
    <w:p>
      <w:pPr>
        <w:pStyle w:val="42"/>
        <w:ind w:firstLine="480"/>
        <w:rPr>
          <w:color w:val="auto"/>
        </w:rPr>
      </w:pPr>
      <w:r>
        <w:rPr>
          <w:rFonts w:hint="eastAsia"/>
          <w:color w:val="auto"/>
        </w:rPr>
        <w:t>六、系统设备配置标准</w:t>
      </w:r>
      <w:r>
        <w:rPr>
          <w:rFonts w:hint="eastAsia"/>
          <w:color w:val="auto"/>
        </w:rPr>
        <w:tab/>
      </w:r>
    </w:p>
    <w:p>
      <w:pPr>
        <w:pStyle w:val="42"/>
        <w:ind w:firstLine="480"/>
        <w:rPr>
          <w:color w:val="auto"/>
        </w:rPr>
      </w:pPr>
      <w:r>
        <w:rPr>
          <w:rFonts w:hint="eastAsia"/>
          <w:color w:val="auto"/>
        </w:rPr>
        <w:t>1、成熟性：本项目主要系统设备应</w:t>
      </w:r>
      <w:r>
        <w:rPr>
          <w:rFonts w:hint="eastAsia"/>
          <w:color w:val="auto"/>
          <w:lang w:val="en-US"/>
        </w:rPr>
        <w:t>为</w:t>
      </w:r>
      <w:r>
        <w:rPr>
          <w:rFonts w:hint="eastAsia"/>
          <w:color w:val="auto"/>
        </w:rPr>
        <w:t>国内已得到成熟应用的产品</w:t>
      </w:r>
    </w:p>
    <w:p>
      <w:pPr>
        <w:pStyle w:val="42"/>
        <w:ind w:firstLine="480"/>
        <w:rPr>
          <w:color w:val="auto"/>
        </w:rPr>
      </w:pPr>
      <w:r>
        <w:rPr>
          <w:rFonts w:hint="eastAsia"/>
          <w:color w:val="auto"/>
        </w:rPr>
        <w:t>2、同一品牌设备应选用新系列产品，不得选用已淘汰或即将淘汰的系列产品。</w:t>
      </w:r>
    </w:p>
    <w:p>
      <w:pPr>
        <w:pStyle w:val="42"/>
        <w:ind w:firstLine="480"/>
        <w:rPr>
          <w:color w:val="auto"/>
        </w:rPr>
      </w:pPr>
      <w:r>
        <w:rPr>
          <w:rFonts w:hint="eastAsia"/>
          <w:color w:val="auto"/>
        </w:rPr>
        <w:t>3、适用性：系统配置应根据建筑使用功能的实际需求，遵循适用性的原则。</w:t>
      </w:r>
    </w:p>
    <w:p>
      <w:pPr>
        <w:pStyle w:val="42"/>
        <w:ind w:firstLine="480"/>
        <w:rPr>
          <w:color w:val="auto"/>
        </w:rPr>
      </w:pPr>
      <w:r>
        <w:rPr>
          <w:rFonts w:hint="eastAsia"/>
          <w:color w:val="auto"/>
        </w:rPr>
        <w:t>4、可靠性：所有系统设备应具有较高的可靠性和容错性，具备系统长期稳定工作的能力，同时还应考虑高可靠性和低运行成本两方面的因素。</w:t>
      </w:r>
    </w:p>
    <w:p>
      <w:pPr>
        <w:pStyle w:val="42"/>
        <w:ind w:firstLine="480"/>
        <w:rPr>
          <w:color w:val="auto"/>
        </w:rPr>
      </w:pPr>
      <w:r>
        <w:rPr>
          <w:rFonts w:hint="eastAsia"/>
          <w:color w:val="auto"/>
        </w:rPr>
        <w:t>5、可扩充性：系统配置应考虑到今后技术的发展和使用的需要，具有更新、扩充和升级的可能。</w:t>
      </w:r>
    </w:p>
    <w:p>
      <w:pPr>
        <w:pStyle w:val="42"/>
        <w:ind w:firstLine="480"/>
        <w:rPr>
          <w:color w:val="auto"/>
        </w:rPr>
      </w:pPr>
      <w:r>
        <w:rPr>
          <w:rFonts w:hint="eastAsia"/>
          <w:color w:val="auto"/>
        </w:rPr>
        <w:t>6、高性价比：在实现系统</w:t>
      </w:r>
      <w:r>
        <w:rPr>
          <w:rFonts w:hint="eastAsia"/>
          <w:color w:val="auto"/>
          <w:lang w:val="en-US"/>
        </w:rPr>
        <w:t>科学</w:t>
      </w:r>
      <w:r>
        <w:rPr>
          <w:rFonts w:hint="eastAsia"/>
          <w:color w:val="auto"/>
        </w:rPr>
        <w:t>性，可靠性的前提下，系统的配置应具有高性价比。</w:t>
      </w:r>
    </w:p>
    <w:p>
      <w:pPr>
        <w:pStyle w:val="42"/>
        <w:ind w:firstLine="480"/>
        <w:rPr>
          <w:color w:val="auto"/>
        </w:rPr>
      </w:pPr>
      <w:r>
        <w:rPr>
          <w:rFonts w:hint="eastAsia"/>
          <w:color w:val="auto"/>
        </w:rPr>
        <w:t>7、方便性：应选用较易学习掌握、操作简便和维护容易的系统设备。</w:t>
      </w:r>
    </w:p>
    <w:p>
      <w:pPr>
        <w:pStyle w:val="2"/>
        <w:rPr>
          <w:color w:val="auto"/>
        </w:rPr>
      </w:pPr>
    </w:p>
    <w:p>
      <w:pPr>
        <w:pStyle w:val="42"/>
        <w:ind w:firstLine="482"/>
        <w:rPr>
          <w:b/>
          <w:color w:val="auto"/>
        </w:rPr>
      </w:pPr>
      <w:bookmarkStart w:id="3" w:name="_Toc13193"/>
      <w:bookmarkStart w:id="4" w:name="_Toc9027"/>
      <w:r>
        <w:rPr>
          <w:rFonts w:hint="eastAsia"/>
          <w:b/>
          <w:color w:val="auto"/>
        </w:rPr>
        <w:t>七、</w:t>
      </w:r>
      <w:bookmarkEnd w:id="3"/>
      <w:bookmarkEnd w:id="4"/>
      <w:r>
        <w:rPr>
          <w:rFonts w:hint="eastAsia"/>
          <w:b/>
          <w:color w:val="auto"/>
        </w:rPr>
        <w:t>智能化建设</w:t>
      </w:r>
      <w:r>
        <w:rPr>
          <w:rFonts w:hint="eastAsia"/>
          <w:b/>
          <w:color w:val="auto"/>
          <w:lang w:val="en-US"/>
        </w:rPr>
        <w:t>要</w:t>
      </w:r>
      <w:r>
        <w:rPr>
          <w:rFonts w:hint="eastAsia"/>
          <w:b/>
          <w:color w:val="auto"/>
        </w:rPr>
        <w:t>求</w:t>
      </w:r>
    </w:p>
    <w:p>
      <w:pPr>
        <w:widowControl/>
        <w:snapToGrid w:val="0"/>
        <w:ind w:firstLine="482"/>
        <w:jc w:val="left"/>
        <w:rPr>
          <w:rFonts w:ascii="宋体" w:hAnsi="宋体" w:cs="宋体"/>
          <w:b/>
          <w:color w:val="auto"/>
          <w:kern w:val="0"/>
        </w:rPr>
      </w:pPr>
      <w:r>
        <w:rPr>
          <w:rFonts w:hint="eastAsia"/>
          <w:b/>
          <w:color w:val="auto"/>
        </w:rPr>
        <w:t>（一）综合布线系统</w:t>
      </w:r>
      <w:r>
        <w:rPr>
          <w:rFonts w:hint="eastAsia" w:ascii="宋体" w:hAnsi="宋体" w:cs="宋体"/>
          <w:b/>
          <w:color w:val="auto"/>
          <w:kern w:val="0"/>
        </w:rPr>
        <w:t>：</w:t>
      </w:r>
    </w:p>
    <w:p>
      <w:pPr>
        <w:ind w:firstLine="440"/>
        <w:rPr>
          <w:rFonts w:ascii="宋体" w:hAnsi="宋体"/>
          <w:color w:val="auto"/>
          <w:sz w:val="22"/>
          <w:szCs w:val="22"/>
        </w:rPr>
      </w:pPr>
      <w:r>
        <w:rPr>
          <w:rFonts w:hint="eastAsia" w:ascii="宋体" w:hAnsi="宋体"/>
          <w:color w:val="auto"/>
          <w:sz w:val="22"/>
          <w:szCs w:val="22"/>
        </w:rPr>
        <w:t>1、结构化综合布线系统一般由六个子系统组成</w:t>
      </w:r>
      <w:r>
        <w:rPr>
          <w:rFonts w:ascii="宋体" w:hAnsi="宋体"/>
          <w:color w:val="auto"/>
          <w:sz w:val="22"/>
          <w:szCs w:val="22"/>
        </w:rPr>
        <w:t>:</w:t>
      </w:r>
    </w:p>
    <w:p>
      <w:pPr>
        <w:ind w:firstLine="440"/>
        <w:rPr>
          <w:rFonts w:ascii="宋体" w:hAnsi="宋体"/>
          <w:color w:val="auto"/>
          <w:sz w:val="22"/>
          <w:szCs w:val="22"/>
        </w:rPr>
      </w:pPr>
      <w:r>
        <w:rPr>
          <w:rFonts w:hint="eastAsia" w:ascii="宋体" w:hAnsi="宋体"/>
          <w:color w:val="auto"/>
          <w:sz w:val="22"/>
          <w:szCs w:val="22"/>
        </w:rPr>
        <w:t>工作区子系统</w:t>
      </w:r>
    </w:p>
    <w:p>
      <w:pPr>
        <w:ind w:firstLine="440"/>
        <w:rPr>
          <w:rFonts w:ascii="宋体" w:hAnsi="宋体"/>
          <w:color w:val="auto"/>
          <w:sz w:val="22"/>
          <w:szCs w:val="22"/>
        </w:rPr>
      </w:pPr>
      <w:r>
        <w:rPr>
          <w:rFonts w:hint="eastAsia" w:ascii="宋体" w:hAnsi="宋体"/>
          <w:color w:val="auto"/>
          <w:sz w:val="22"/>
          <w:szCs w:val="22"/>
        </w:rPr>
        <w:t>水平区子系统</w:t>
      </w:r>
    </w:p>
    <w:p>
      <w:pPr>
        <w:ind w:firstLine="440"/>
        <w:rPr>
          <w:rFonts w:ascii="宋体" w:hAnsi="宋体"/>
          <w:color w:val="auto"/>
          <w:sz w:val="22"/>
          <w:szCs w:val="22"/>
        </w:rPr>
      </w:pPr>
      <w:r>
        <w:rPr>
          <w:rFonts w:hint="eastAsia" w:ascii="宋体" w:hAnsi="宋体"/>
          <w:color w:val="auto"/>
          <w:sz w:val="22"/>
          <w:szCs w:val="22"/>
        </w:rPr>
        <w:t>干线区子系统</w:t>
      </w:r>
    </w:p>
    <w:p>
      <w:pPr>
        <w:ind w:firstLine="440"/>
        <w:rPr>
          <w:rFonts w:ascii="宋体" w:hAnsi="宋体"/>
          <w:color w:val="auto"/>
          <w:sz w:val="22"/>
          <w:szCs w:val="22"/>
        </w:rPr>
      </w:pPr>
      <w:r>
        <w:rPr>
          <w:rFonts w:hint="eastAsia" w:ascii="宋体" w:hAnsi="宋体"/>
          <w:color w:val="auto"/>
          <w:sz w:val="22"/>
          <w:szCs w:val="22"/>
        </w:rPr>
        <w:t>管理区子系统</w:t>
      </w:r>
    </w:p>
    <w:p>
      <w:pPr>
        <w:ind w:firstLine="440"/>
        <w:rPr>
          <w:rFonts w:ascii="宋体" w:hAnsi="宋体"/>
          <w:color w:val="auto"/>
          <w:sz w:val="22"/>
          <w:szCs w:val="22"/>
        </w:rPr>
      </w:pPr>
      <w:r>
        <w:rPr>
          <w:rFonts w:hint="eastAsia" w:ascii="宋体" w:hAnsi="宋体"/>
          <w:color w:val="auto"/>
          <w:sz w:val="22"/>
          <w:szCs w:val="22"/>
        </w:rPr>
        <w:t>设备间子系统</w:t>
      </w:r>
    </w:p>
    <w:p>
      <w:pPr>
        <w:ind w:firstLine="440"/>
        <w:rPr>
          <w:rFonts w:ascii="宋体" w:hAnsi="宋体"/>
          <w:color w:val="auto"/>
          <w:sz w:val="22"/>
          <w:szCs w:val="22"/>
        </w:rPr>
      </w:pPr>
      <w:r>
        <w:rPr>
          <w:rFonts w:hint="eastAsia" w:ascii="宋体" w:hAnsi="宋体"/>
          <w:color w:val="auto"/>
          <w:sz w:val="22"/>
          <w:szCs w:val="22"/>
        </w:rPr>
        <w:t xml:space="preserve">建筑群子系统 </w:t>
      </w:r>
    </w:p>
    <w:p>
      <w:pPr>
        <w:ind w:firstLine="440"/>
        <w:textAlignment w:val="baseline"/>
        <w:rPr>
          <w:rFonts w:ascii="宋体" w:hAnsi="宋体" w:cs="宋体"/>
          <w:color w:val="auto"/>
        </w:rPr>
      </w:pPr>
      <w:r>
        <w:rPr>
          <w:rFonts w:hint="eastAsia" w:ascii="宋体" w:hAnsi="宋体"/>
          <w:color w:val="auto"/>
          <w:sz w:val="22"/>
          <w:szCs w:val="22"/>
        </w:rPr>
        <w:t>这六个子系统有机地结合在一起</w:t>
      </w:r>
      <w:r>
        <w:rPr>
          <w:rFonts w:ascii="宋体" w:hAnsi="宋体"/>
          <w:color w:val="auto"/>
          <w:sz w:val="22"/>
          <w:szCs w:val="22"/>
        </w:rPr>
        <w:t>,</w:t>
      </w:r>
      <w:r>
        <w:rPr>
          <w:rFonts w:hint="eastAsia" w:ascii="宋体" w:hAnsi="宋体"/>
          <w:color w:val="auto"/>
          <w:sz w:val="22"/>
          <w:szCs w:val="22"/>
        </w:rPr>
        <w:t>构成一个完整的开放的布线系统。</w:t>
      </w:r>
    </w:p>
    <w:p>
      <w:pPr>
        <w:ind w:firstLine="480"/>
        <w:textAlignment w:val="baseline"/>
        <w:rPr>
          <w:rFonts w:ascii="宋体" w:hAnsi="宋体" w:cs="宋体"/>
          <w:color w:val="auto"/>
        </w:rPr>
      </w:pPr>
      <w:r>
        <w:rPr>
          <w:rFonts w:hint="eastAsia"/>
          <w:color w:val="auto"/>
        </w:rPr>
        <w:t>2、设计要求</w:t>
      </w:r>
      <w:r>
        <w:rPr>
          <w:rFonts w:hint="eastAsia" w:ascii="宋体" w:hAnsi="宋体" w:cs="宋体"/>
          <w:color w:val="auto"/>
          <w:kern w:val="0"/>
        </w:rPr>
        <w:t>：</w:t>
      </w:r>
    </w:p>
    <w:p>
      <w:pPr>
        <w:ind w:firstLine="480"/>
        <w:rPr>
          <w:rFonts w:ascii="宋体"/>
          <w:color w:val="auto"/>
        </w:rPr>
      </w:pPr>
      <w:r>
        <w:rPr>
          <w:rFonts w:hint="eastAsia" w:ascii="宋体"/>
          <w:color w:val="auto"/>
        </w:rPr>
        <w:t>设计完全遵循国家(国际)的有关建筑物综合布线系统及网络和通讯工程的设计和施工规范(标准)，以保证医院大楼综合布线系统是一套完整的规范的信息链路</w:t>
      </w:r>
    </w:p>
    <w:p>
      <w:pPr>
        <w:ind w:firstLine="480"/>
        <w:rPr>
          <w:rFonts w:ascii="宋体"/>
          <w:color w:val="auto"/>
        </w:rPr>
      </w:pPr>
      <w:r>
        <w:rPr>
          <w:rFonts w:hint="eastAsia" w:ascii="宋体"/>
          <w:color w:val="auto"/>
        </w:rPr>
        <w:t>3、遵循使用要求:</w:t>
      </w:r>
    </w:p>
    <w:p>
      <w:pPr>
        <w:ind w:firstLine="480"/>
        <w:jc w:val="left"/>
        <w:rPr>
          <w:rFonts w:ascii="宋体"/>
          <w:color w:val="auto"/>
        </w:rPr>
      </w:pPr>
      <w:r>
        <w:rPr>
          <w:rFonts w:hint="eastAsia" w:ascii="宋体"/>
          <w:color w:val="auto"/>
        </w:rPr>
        <w:t>在医生办公室、护士办公室、主任办公室设计专用的固定电话、内网连接、互联网连接，且内网与互联网连接必须是两套相互独立、物理隔离的专用网络，内网与互联网的各级交换机不能共用，不能有物理连接；医生及护士值班室需有互联网WIFI连接。</w:t>
      </w:r>
    </w:p>
    <w:p>
      <w:pPr>
        <w:pStyle w:val="2"/>
        <w:rPr>
          <w:color w:val="auto"/>
        </w:rPr>
      </w:pPr>
    </w:p>
    <w:p>
      <w:pPr>
        <w:pStyle w:val="2"/>
        <w:spacing w:line="360" w:lineRule="auto"/>
        <w:ind w:firstLine="442" w:firstLineChars="200"/>
        <w:rPr>
          <w:rFonts w:ascii="宋体" w:hAnsi="宋体" w:cs="宋体"/>
          <w:b/>
          <w:color w:val="auto"/>
        </w:rPr>
      </w:pPr>
      <w:r>
        <w:rPr>
          <w:rFonts w:hint="eastAsia"/>
          <w:b/>
          <w:color w:val="auto"/>
        </w:rPr>
        <w:t>（二）</w:t>
      </w:r>
      <w:r>
        <w:rPr>
          <w:rFonts w:hint="eastAsia"/>
          <w:b/>
          <w:color w:val="auto"/>
          <w:kern w:val="2"/>
          <w:sz w:val="21"/>
          <w:szCs w:val="21"/>
        </w:rPr>
        <w:t>计算机网络系统</w:t>
      </w:r>
      <w:r>
        <w:rPr>
          <w:rFonts w:hint="eastAsia" w:ascii="宋体" w:hAnsi="宋体" w:cs="宋体"/>
          <w:b/>
          <w:color w:val="auto"/>
        </w:rPr>
        <w:t>：</w:t>
      </w:r>
    </w:p>
    <w:p>
      <w:pPr>
        <w:pStyle w:val="2"/>
        <w:spacing w:line="360" w:lineRule="auto"/>
        <w:ind w:firstLine="660" w:firstLineChars="300"/>
        <w:rPr>
          <w:color w:val="auto"/>
        </w:rPr>
      </w:pPr>
      <w:r>
        <w:rPr>
          <w:rFonts w:hint="eastAsia"/>
          <w:color w:val="auto"/>
        </w:rPr>
        <w:t>1、</w:t>
      </w:r>
      <w:bookmarkStart w:id="5" w:name="_Toc107771017"/>
      <w:bookmarkStart w:id="6" w:name="_Toc1465478489"/>
      <w:r>
        <w:rPr>
          <w:rFonts w:hint="eastAsia"/>
          <w:color w:val="auto"/>
        </w:rPr>
        <w:t>功能要求</w:t>
      </w:r>
      <w:bookmarkEnd w:id="5"/>
      <w:bookmarkEnd w:id="6"/>
    </w:p>
    <w:p>
      <w:pPr>
        <w:ind w:firstLine="480"/>
        <w:jc w:val="left"/>
        <w:rPr>
          <w:rFonts w:ascii="宋体" w:hAnsi="宋体"/>
          <w:color w:val="auto"/>
        </w:rPr>
      </w:pPr>
      <w:r>
        <w:rPr>
          <w:rFonts w:hint="eastAsia" w:ascii="宋体" w:hAnsi="宋体"/>
          <w:color w:val="auto"/>
        </w:rPr>
        <w:t>内网与互联网连接必须是两套相互独立、物理隔离的专用网络，内网与互联网的各级交换机不能共用，不能有物理连接；医生及护士值班室需有互联网WIFI连接；</w:t>
      </w:r>
    </w:p>
    <w:p>
      <w:pPr>
        <w:ind w:firstLine="480"/>
        <w:jc w:val="left"/>
        <w:rPr>
          <w:rFonts w:ascii="宋体" w:hAnsi="宋体"/>
          <w:color w:val="auto"/>
        </w:rPr>
      </w:pPr>
      <w:r>
        <w:rPr>
          <w:rFonts w:hint="eastAsia" w:ascii="宋体" w:hAnsi="宋体"/>
          <w:color w:val="auto"/>
        </w:rPr>
        <w:t>本项目计算机网络系统设置内网、外网及智能网。核心交换机沿用院区信息机房原有设备。旧住院楼和感染楼首层设备间设置汇聚交换机，接入层交换机放置于楼层弱电间，三个网络系统物理隔离。</w:t>
      </w:r>
    </w:p>
    <w:p>
      <w:pPr>
        <w:pStyle w:val="2"/>
        <w:spacing w:line="360" w:lineRule="auto"/>
        <w:ind w:firstLine="480" w:firstLineChars="200"/>
        <w:rPr>
          <w:rFonts w:ascii="宋体" w:hAnsi="宋体" w:cstheme="minorBidi"/>
          <w:color w:val="auto"/>
          <w:kern w:val="2"/>
          <w:sz w:val="24"/>
          <w:szCs w:val="24"/>
        </w:rPr>
      </w:pPr>
      <w:r>
        <w:rPr>
          <w:rFonts w:hint="eastAsia" w:ascii="宋体" w:hAnsi="宋体" w:cstheme="minorBidi"/>
          <w:color w:val="auto"/>
          <w:kern w:val="2"/>
          <w:sz w:val="24"/>
          <w:szCs w:val="24"/>
        </w:rPr>
        <w:t>2、系统建设要求</w:t>
      </w:r>
    </w:p>
    <w:p>
      <w:pPr>
        <w:tabs>
          <w:tab w:val="left" w:pos="0"/>
        </w:tabs>
        <w:ind w:firstLine="480"/>
        <w:rPr>
          <w:rFonts w:ascii="宋体" w:hAnsi="宋体"/>
          <w:color w:val="auto"/>
        </w:rPr>
      </w:pPr>
      <w:r>
        <w:rPr>
          <w:rFonts w:ascii="宋体" w:hAnsi="宋体"/>
          <w:color w:val="auto"/>
        </w:rPr>
        <w:t>计算机网络系统设计必须适应当前的各项IT应用，又可面向未来信息化发展的需要，因此网络的设计必须是严谨的、符合规范的。在设计网络时需要遵循以下原则：</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1）实</w:t>
      </w:r>
      <w:r>
        <w:rPr>
          <w:rFonts w:ascii="宋体" w:hAnsi="宋体"/>
          <w:color w:val="auto"/>
        </w:rPr>
        <w:t>用性和</w:t>
      </w:r>
      <w:r>
        <w:rPr>
          <w:rFonts w:hint="eastAsia" w:ascii="宋体" w:hAnsi="宋体"/>
          <w:color w:val="auto"/>
        </w:rPr>
        <w:t>科学</w:t>
      </w:r>
      <w:r>
        <w:rPr>
          <w:rFonts w:ascii="宋体" w:hAnsi="宋体"/>
          <w:color w:val="auto"/>
        </w:rPr>
        <w:t>性</w:t>
      </w:r>
    </w:p>
    <w:p>
      <w:pPr>
        <w:tabs>
          <w:tab w:val="left" w:pos="0"/>
        </w:tabs>
        <w:ind w:firstLine="480"/>
        <w:rPr>
          <w:rFonts w:ascii="宋体" w:hAnsi="宋体"/>
          <w:color w:val="auto"/>
        </w:rPr>
      </w:pPr>
      <w:r>
        <w:rPr>
          <w:rFonts w:ascii="宋体" w:hAnsi="宋体"/>
          <w:color w:val="auto"/>
        </w:rPr>
        <w:t>采用</w:t>
      </w:r>
      <w:r>
        <w:rPr>
          <w:rFonts w:hint="eastAsia" w:ascii="宋体" w:hAnsi="宋体"/>
          <w:color w:val="auto"/>
        </w:rPr>
        <w:t>科学</w:t>
      </w:r>
      <w:r>
        <w:rPr>
          <w:rFonts w:ascii="宋体" w:hAnsi="宋体"/>
          <w:color w:val="auto"/>
        </w:rPr>
        <w:t>成熟的技术满足综合智能化办公业务需求，兼顾其他相关的管理需求，尽可能采用</w:t>
      </w:r>
      <w:r>
        <w:rPr>
          <w:rFonts w:hint="eastAsia" w:ascii="宋体" w:hAnsi="宋体"/>
          <w:color w:val="auto"/>
        </w:rPr>
        <w:t>科学</w:t>
      </w:r>
      <w:r>
        <w:rPr>
          <w:rFonts w:ascii="宋体" w:hAnsi="宋体"/>
          <w:color w:val="auto"/>
        </w:rPr>
        <w:t>的网络技术以适应更高的数据、语音、视频（多媒体）的传输需要，使整个系统</w:t>
      </w:r>
      <w:r>
        <w:rPr>
          <w:rFonts w:hint="eastAsia" w:ascii="宋体" w:hAnsi="宋体"/>
          <w:color w:val="auto"/>
        </w:rPr>
        <w:t>能</w:t>
      </w:r>
      <w:r>
        <w:rPr>
          <w:rFonts w:ascii="宋体" w:hAnsi="宋体"/>
          <w:color w:val="auto"/>
        </w:rPr>
        <w:t>适应未来信息化的发展的需要。</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2）</w:t>
      </w:r>
      <w:r>
        <w:rPr>
          <w:rFonts w:ascii="宋体" w:hAnsi="宋体"/>
          <w:color w:val="auto"/>
        </w:rPr>
        <w:t>全可靠性和高可用性</w:t>
      </w:r>
    </w:p>
    <w:p>
      <w:pPr>
        <w:tabs>
          <w:tab w:val="left" w:pos="0"/>
        </w:tabs>
        <w:ind w:firstLine="480"/>
        <w:rPr>
          <w:rFonts w:ascii="宋体" w:hAnsi="宋体"/>
          <w:color w:val="auto"/>
        </w:rPr>
      </w:pPr>
      <w:r>
        <w:rPr>
          <w:rFonts w:ascii="宋体" w:hAnsi="宋体"/>
          <w:color w:val="auto"/>
        </w:rPr>
        <w:t>为保证各项业务应用，网络必须具有高可靠性，尽量避免系统的单点故障。要对网络结构、网络设备、服务器设备等各个方面进行高可靠性的设计和建设。在采用硬件备份、冗余等可靠性技术的基础上，采用相关的软件技术提供较强的管理机制、控制手段和事故监控与网络安全保密等技术措施提高整个网络系统的安全可靠性。</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3）灵</w:t>
      </w:r>
      <w:r>
        <w:rPr>
          <w:rFonts w:ascii="宋体" w:hAnsi="宋体"/>
          <w:color w:val="auto"/>
        </w:rPr>
        <w:t>活性和可扩展性</w:t>
      </w:r>
    </w:p>
    <w:p>
      <w:pPr>
        <w:tabs>
          <w:tab w:val="left" w:pos="0"/>
        </w:tabs>
        <w:ind w:firstLine="480"/>
        <w:rPr>
          <w:rFonts w:ascii="宋体" w:hAnsi="宋体"/>
          <w:color w:val="auto"/>
        </w:rPr>
      </w:pPr>
      <w:r>
        <w:rPr>
          <w:rFonts w:ascii="宋体" w:hAnsi="宋体"/>
          <w:color w:val="auto"/>
        </w:rPr>
        <w:t>计算机网络系统是一个不断发展的系统，所以它必须具有良好的灵活性和可扩展性，能够根据不断深入发展的需要，方便的扩展网络覆盖范围、扩大网络容量和提高网络的各层次节点的功能。具备支持多种通信媒体、多种物理接口的能力，提供技术升级、设备更新的灵活性。</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4）开</w:t>
      </w:r>
      <w:r>
        <w:rPr>
          <w:rFonts w:ascii="宋体" w:hAnsi="宋体"/>
          <w:color w:val="auto"/>
        </w:rPr>
        <w:t>放性和互连性</w:t>
      </w:r>
    </w:p>
    <w:p>
      <w:pPr>
        <w:tabs>
          <w:tab w:val="left" w:pos="0"/>
        </w:tabs>
        <w:ind w:firstLine="480"/>
        <w:rPr>
          <w:rFonts w:ascii="宋体" w:hAnsi="宋体"/>
          <w:color w:val="auto"/>
        </w:rPr>
      </w:pPr>
      <w:r>
        <w:rPr>
          <w:rFonts w:ascii="宋体" w:hAnsi="宋体"/>
          <w:color w:val="auto"/>
        </w:rPr>
        <w:t>具备与多种协议计算机通信网络互连互通的特性，确保本计算机网络系统的基础设施的作用可以充分的发挥。在结构上真正实现开放，基于开放式标准，包括各种局域网、广域网、计算机等，坚持统一规范的原则，从而为未来的发展奠定基础。</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5）经</w:t>
      </w:r>
      <w:r>
        <w:rPr>
          <w:rFonts w:ascii="宋体" w:hAnsi="宋体"/>
          <w:color w:val="auto"/>
        </w:rPr>
        <w:t>济性和投资保护</w:t>
      </w:r>
    </w:p>
    <w:p>
      <w:pPr>
        <w:tabs>
          <w:tab w:val="left" w:pos="0"/>
        </w:tabs>
        <w:ind w:firstLine="480"/>
        <w:rPr>
          <w:rFonts w:ascii="宋体" w:hAnsi="宋体"/>
          <w:color w:val="auto"/>
        </w:rPr>
      </w:pPr>
      <w:r>
        <w:rPr>
          <w:rFonts w:ascii="宋体" w:hAnsi="宋体"/>
          <w:color w:val="auto"/>
        </w:rPr>
        <w:t>应以较高的性能价格比构建本计算机网络系统，使资金的产出投入比达到最大值。能以较低的成本、较少的人员投入来维持系统运转，提供高效能与高效益。</w:t>
      </w:r>
    </w:p>
    <w:p>
      <w:pPr>
        <w:tabs>
          <w:tab w:val="left" w:pos="0"/>
        </w:tabs>
        <w:ind w:firstLine="480"/>
        <w:rPr>
          <w:rFonts w:ascii="宋体" w:hAnsi="宋体"/>
          <w:color w:val="auto"/>
        </w:rPr>
      </w:pPr>
      <w:r>
        <w:rPr>
          <w:rFonts w:ascii="宋体" w:hAnsi="宋体"/>
          <w:color w:val="auto"/>
        </w:rPr>
        <w:t>（</w:t>
      </w:r>
      <w:r>
        <w:rPr>
          <w:rFonts w:hint="eastAsia" w:ascii="宋体" w:hAnsi="宋体"/>
          <w:color w:val="auto"/>
        </w:rPr>
        <w:t>6）</w:t>
      </w:r>
      <w:r>
        <w:rPr>
          <w:rFonts w:ascii="宋体" w:hAnsi="宋体"/>
          <w:color w:val="auto"/>
        </w:rPr>
        <w:t>管理性</w:t>
      </w:r>
    </w:p>
    <w:p>
      <w:pPr>
        <w:pStyle w:val="2"/>
        <w:spacing w:line="360" w:lineRule="auto"/>
        <w:rPr>
          <w:rFonts w:ascii="宋体" w:hAnsi="宋体" w:cstheme="minorBidi"/>
          <w:color w:val="auto"/>
          <w:kern w:val="2"/>
          <w:sz w:val="24"/>
          <w:szCs w:val="24"/>
        </w:rPr>
      </w:pPr>
      <w:r>
        <w:rPr>
          <w:rFonts w:ascii="宋体" w:hAnsi="宋体" w:cstheme="minorBidi"/>
          <w:color w:val="auto"/>
          <w:kern w:val="2"/>
          <w:sz w:val="24"/>
          <w:szCs w:val="24"/>
        </w:rPr>
        <w:t>由于系统本身具有一定复杂性，随着业务的不断发展，网络管理的任务必定会日益繁重。所以在网络设计中，必须建立一套全面的网络管理解决方案。网络设备必须采用智能化，可管理的设备，同时采用先进的网络管理软件，实现先进的分布式管理。最终能够实现监控、监测整个网络的运行情况，合理分配网络资源、可以迅速确定网络故障等。通过先进的管理策略、管理工具提高网络的运行性能、可靠性，简化网络的维护工作，从而为办公、管理提供最有力的保障。</w:t>
      </w:r>
    </w:p>
    <w:p>
      <w:pPr>
        <w:pStyle w:val="2"/>
        <w:spacing w:line="360" w:lineRule="auto"/>
        <w:rPr>
          <w:rFonts w:ascii="宋体" w:hAnsi="宋体" w:cstheme="minorBidi"/>
          <w:color w:val="auto"/>
          <w:kern w:val="2"/>
          <w:sz w:val="24"/>
          <w:szCs w:val="24"/>
        </w:rPr>
      </w:pPr>
    </w:p>
    <w:p>
      <w:pPr>
        <w:pStyle w:val="2"/>
        <w:spacing w:line="360" w:lineRule="auto"/>
        <w:ind w:firstLine="442" w:firstLineChars="200"/>
        <w:rPr>
          <w:rFonts w:ascii="宋体" w:hAnsi="宋体" w:cs="宋体"/>
          <w:b/>
          <w:color w:val="auto"/>
        </w:rPr>
      </w:pPr>
      <w:r>
        <w:rPr>
          <w:rFonts w:hint="eastAsia"/>
          <w:b/>
          <w:color w:val="auto"/>
        </w:rPr>
        <w:t>（三）</w:t>
      </w:r>
      <w:r>
        <w:rPr>
          <w:rFonts w:hint="eastAsia"/>
          <w:b/>
          <w:color w:val="auto"/>
          <w:kern w:val="2"/>
          <w:sz w:val="21"/>
          <w:szCs w:val="21"/>
        </w:rPr>
        <w:t>病区护理大屏</w:t>
      </w:r>
      <w:r>
        <w:rPr>
          <w:rFonts w:hint="eastAsia" w:ascii="宋体" w:hAnsi="宋体" w:cs="宋体"/>
          <w:b/>
          <w:color w:val="auto"/>
        </w:rPr>
        <w:t>：</w:t>
      </w:r>
    </w:p>
    <w:p>
      <w:pPr>
        <w:pStyle w:val="2"/>
        <w:spacing w:line="360" w:lineRule="auto"/>
        <w:ind w:firstLine="488" w:firstLineChars="200"/>
        <w:rPr>
          <w:rFonts w:ascii="宋体" w:hAnsi="宋体" w:cs="宋体"/>
          <w:b/>
          <w:color w:val="auto"/>
        </w:rPr>
      </w:pPr>
      <w:r>
        <w:rPr>
          <w:rFonts w:hint="eastAsia" w:ascii="宋体" w:hAnsi="宋体"/>
          <w:color w:val="auto"/>
          <w:spacing w:val="12"/>
        </w:rPr>
        <w:t>病区护理大屏</w:t>
      </w:r>
      <w:r>
        <w:rPr>
          <w:rFonts w:ascii="Verdana" w:hAnsi="Verdana"/>
          <w:color w:val="auto"/>
          <w:sz w:val="21"/>
          <w:szCs w:val="21"/>
        </w:rPr>
        <w:t>是临床护理信息的智能交互中心，实现自然流畅地获取信息的途径和交互体验，能够完整抓取到患者在医院诊治过程中的各种信息，是一种实现护理数据共享以及信息汇集的综合信息系统，使得“以病人为中心”的护理更智慧、更快捷、更高效。</w:t>
      </w:r>
    </w:p>
    <w:tbl>
      <w:tblPr>
        <w:tblStyle w:val="21"/>
        <w:tblW w:w="8138" w:type="dxa"/>
        <w:tblInd w:w="88" w:type="dxa"/>
        <w:tblLayout w:type="fixed"/>
        <w:tblCellMar>
          <w:top w:w="0" w:type="dxa"/>
          <w:left w:w="108" w:type="dxa"/>
          <w:bottom w:w="0" w:type="dxa"/>
          <w:right w:w="108" w:type="dxa"/>
        </w:tblCellMar>
      </w:tblPr>
      <w:tblGrid>
        <w:gridCol w:w="1077"/>
        <w:gridCol w:w="2198"/>
        <w:gridCol w:w="4863"/>
      </w:tblGrid>
      <w:tr>
        <w:tblPrEx>
          <w:tblCellMar>
            <w:top w:w="0" w:type="dxa"/>
            <w:left w:w="108" w:type="dxa"/>
            <w:bottom w:w="0" w:type="dxa"/>
            <w:right w:w="108" w:type="dxa"/>
          </w:tblCellMar>
        </w:tblPrEx>
        <w:trPr>
          <w:trHeight w:val="500" w:hRule="atLeast"/>
        </w:trPr>
        <w:tc>
          <w:tcPr>
            <w:tcW w:w="1077" w:type="dxa"/>
            <w:tcBorders>
              <w:top w:val="single" w:color="000000" w:sz="4" w:space="0"/>
              <w:left w:val="single" w:color="000000" w:sz="4" w:space="0"/>
              <w:bottom w:val="single" w:color="000000" w:sz="4" w:space="0"/>
              <w:right w:val="single" w:color="000000" w:sz="4" w:space="0"/>
            </w:tcBorders>
            <w:noWrap/>
            <w:vAlign w:val="center"/>
          </w:tcPr>
          <w:p>
            <w:pPr>
              <w:widowControl/>
              <w:ind w:firstLine="0" w:firstLineChars="0"/>
              <w:textAlignment w:val="center"/>
              <w:rPr>
                <w:rFonts w:ascii="宋体" w:hAnsi="宋体" w:cs="宋体"/>
                <w:b/>
                <w:bCs/>
                <w:color w:val="auto"/>
                <w:sz w:val="20"/>
                <w:szCs w:val="20"/>
              </w:rPr>
            </w:pPr>
            <w:r>
              <w:rPr>
                <w:rFonts w:hint="eastAsia" w:ascii="宋体" w:hAnsi="宋体" w:cs="宋体"/>
                <w:b/>
                <w:bCs/>
                <w:color w:val="auto"/>
                <w:kern w:val="0"/>
                <w:sz w:val="20"/>
                <w:szCs w:val="20"/>
                <w:lang w:bidi="ar"/>
              </w:rPr>
              <w:t>序号</w:t>
            </w:r>
          </w:p>
        </w:tc>
        <w:tc>
          <w:tcPr>
            <w:tcW w:w="2198" w:type="dxa"/>
            <w:tcBorders>
              <w:top w:val="single" w:color="000000" w:sz="4" w:space="0"/>
              <w:left w:val="single" w:color="000000" w:sz="4" w:space="0"/>
              <w:bottom w:val="single" w:color="000000" w:sz="4" w:space="0"/>
              <w:right w:val="single" w:color="000000" w:sz="4" w:space="0"/>
            </w:tcBorders>
            <w:vAlign w:val="center"/>
          </w:tcPr>
          <w:p>
            <w:pPr>
              <w:widowControl/>
              <w:ind w:firstLine="0" w:firstLineChars="0"/>
              <w:textAlignment w:val="center"/>
              <w:rPr>
                <w:rFonts w:ascii="宋体" w:hAnsi="宋体" w:cs="宋体"/>
                <w:b/>
                <w:bCs/>
                <w:color w:val="auto"/>
                <w:sz w:val="20"/>
                <w:szCs w:val="20"/>
              </w:rPr>
            </w:pPr>
            <w:r>
              <w:rPr>
                <w:rFonts w:hint="eastAsia" w:ascii="宋体" w:hAnsi="宋体" w:cs="宋体"/>
                <w:b/>
                <w:bCs/>
                <w:color w:val="auto"/>
                <w:kern w:val="0"/>
                <w:sz w:val="20"/>
                <w:szCs w:val="20"/>
                <w:lang w:bidi="ar"/>
              </w:rPr>
              <w:t>设备名称</w:t>
            </w:r>
          </w:p>
        </w:tc>
        <w:tc>
          <w:tcPr>
            <w:tcW w:w="4863" w:type="dxa"/>
            <w:tcBorders>
              <w:top w:val="single" w:color="000000" w:sz="4" w:space="0"/>
              <w:left w:val="single" w:color="000000" w:sz="4" w:space="0"/>
              <w:bottom w:val="single" w:color="000000" w:sz="4" w:space="0"/>
              <w:right w:val="single" w:color="000000" w:sz="4" w:space="0"/>
            </w:tcBorders>
            <w:noWrap/>
            <w:vAlign w:val="center"/>
          </w:tcPr>
          <w:p>
            <w:pPr>
              <w:widowControl/>
              <w:ind w:firstLine="0" w:firstLineChars="0"/>
              <w:textAlignment w:val="center"/>
              <w:rPr>
                <w:rFonts w:ascii="宋体" w:hAnsi="宋体" w:cs="宋体"/>
                <w:b/>
                <w:bCs/>
                <w:color w:val="auto"/>
                <w:sz w:val="20"/>
                <w:szCs w:val="20"/>
              </w:rPr>
            </w:pPr>
            <w:r>
              <w:rPr>
                <w:rFonts w:hint="eastAsia" w:ascii="宋体" w:hAnsi="宋体" w:cs="宋体"/>
                <w:b/>
                <w:bCs/>
                <w:color w:val="auto"/>
                <w:sz w:val="20"/>
                <w:szCs w:val="20"/>
              </w:rPr>
              <w:t>数量</w:t>
            </w:r>
            <w:r>
              <w:rPr>
                <w:rFonts w:hint="eastAsia" w:ascii="宋体" w:hAnsi="宋体" w:cs="宋体"/>
                <w:b/>
                <w:bCs/>
                <w:color w:val="auto"/>
                <w:sz w:val="20"/>
                <w:szCs w:val="20"/>
              </w:rPr>
              <w:t>（套）</w:t>
            </w:r>
          </w:p>
        </w:tc>
      </w:tr>
      <w:tr>
        <w:tblPrEx>
          <w:tblCellMar>
            <w:top w:w="0" w:type="dxa"/>
            <w:left w:w="108" w:type="dxa"/>
            <w:bottom w:w="0" w:type="dxa"/>
            <w:right w:w="108" w:type="dxa"/>
          </w:tblCellMar>
        </w:tblPrEx>
        <w:trPr>
          <w:trHeight w:val="500" w:hRule="atLeast"/>
        </w:trPr>
        <w:tc>
          <w:tcPr>
            <w:tcW w:w="1077" w:type="dxa"/>
            <w:tcBorders>
              <w:top w:val="single" w:color="000000" w:sz="4" w:space="0"/>
              <w:left w:val="single" w:color="000000" w:sz="4" w:space="0"/>
              <w:bottom w:val="single" w:color="000000" w:sz="4" w:space="0"/>
              <w:right w:val="single" w:color="000000" w:sz="4" w:space="0"/>
            </w:tcBorders>
            <w:noWrap/>
            <w:vAlign w:val="center"/>
          </w:tcPr>
          <w:p>
            <w:pPr>
              <w:widowControl/>
              <w:ind w:firstLine="400"/>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1</w:t>
            </w:r>
          </w:p>
        </w:tc>
        <w:tc>
          <w:tcPr>
            <w:tcW w:w="2198" w:type="dxa"/>
            <w:tcBorders>
              <w:top w:val="single" w:color="000000" w:sz="4" w:space="0"/>
              <w:left w:val="single" w:color="000000" w:sz="4" w:space="0"/>
              <w:bottom w:val="single" w:color="000000" w:sz="4" w:space="0"/>
              <w:right w:val="single" w:color="000000" w:sz="4" w:space="0"/>
            </w:tcBorders>
            <w:vAlign w:val="center"/>
          </w:tcPr>
          <w:p>
            <w:pPr>
              <w:widowControl/>
              <w:ind w:firstLine="400"/>
              <w:jc w:val="left"/>
              <w:textAlignment w:val="center"/>
              <w:rPr>
                <w:rFonts w:ascii="宋体" w:hAnsi="宋体" w:cs="宋体"/>
                <w:color w:val="auto"/>
                <w:sz w:val="20"/>
                <w:szCs w:val="20"/>
              </w:rPr>
            </w:pPr>
            <w:r>
              <w:rPr>
                <w:rFonts w:hint="eastAsia" w:ascii="宋体" w:hAnsi="宋体" w:cs="宋体"/>
                <w:color w:val="auto"/>
                <w:kern w:val="0"/>
                <w:sz w:val="20"/>
                <w:szCs w:val="20"/>
                <w:lang w:bidi="ar"/>
              </w:rPr>
              <w:t>护理大屏</w:t>
            </w:r>
          </w:p>
        </w:tc>
        <w:tc>
          <w:tcPr>
            <w:tcW w:w="4863" w:type="dxa"/>
            <w:tcBorders>
              <w:top w:val="single" w:color="000000" w:sz="4" w:space="0"/>
              <w:left w:val="single" w:color="000000" w:sz="4" w:space="0"/>
              <w:bottom w:val="single" w:color="000000" w:sz="4" w:space="0"/>
              <w:right w:val="single" w:color="000000" w:sz="4" w:space="0"/>
            </w:tcBorders>
            <w:vAlign w:val="center"/>
          </w:tcPr>
          <w:p>
            <w:pPr>
              <w:widowControl/>
              <w:ind w:firstLine="0" w:firstLineChars="0"/>
              <w:jc w:val="left"/>
              <w:textAlignment w:val="center"/>
              <w:rPr>
                <w:rFonts w:ascii="新宋体" w:hAnsi="新宋体" w:eastAsia="新宋体" w:cs="新宋体"/>
                <w:color w:val="auto"/>
                <w:sz w:val="20"/>
                <w:szCs w:val="20"/>
              </w:rPr>
            </w:pPr>
            <w:r>
              <w:rPr>
                <w:rFonts w:hint="eastAsia" w:ascii="新宋体" w:hAnsi="新宋体" w:eastAsia="新宋体" w:cs="新宋体"/>
                <w:color w:val="auto"/>
                <w:kern w:val="0"/>
                <w:sz w:val="20"/>
                <w:szCs w:val="20"/>
                <w:lang w:bidi="ar"/>
              </w:rPr>
              <w:t>1</w:t>
            </w:r>
            <w:r>
              <w:rPr>
                <w:rFonts w:ascii="新宋体" w:hAnsi="新宋体" w:eastAsia="新宋体" w:cs="新宋体"/>
                <w:color w:val="auto"/>
                <w:kern w:val="0"/>
                <w:sz w:val="20"/>
                <w:szCs w:val="20"/>
                <w:lang w:bidi="ar"/>
              </w:rPr>
              <w:t>8</w:t>
            </w:r>
          </w:p>
        </w:tc>
      </w:tr>
    </w:tbl>
    <w:p>
      <w:pPr>
        <w:pStyle w:val="2"/>
        <w:spacing w:line="360" w:lineRule="auto"/>
        <w:rPr>
          <w:b/>
          <w:color w:val="auto"/>
        </w:rPr>
      </w:pPr>
    </w:p>
    <w:p>
      <w:pPr>
        <w:pStyle w:val="2"/>
        <w:spacing w:line="360" w:lineRule="auto"/>
        <w:ind w:firstLine="442" w:firstLineChars="200"/>
        <w:rPr>
          <w:rFonts w:ascii="宋体" w:hAnsi="宋体" w:cs="宋体"/>
          <w:b/>
          <w:color w:val="auto"/>
        </w:rPr>
      </w:pPr>
      <w:r>
        <w:rPr>
          <w:rFonts w:hint="eastAsia"/>
          <w:b/>
          <w:color w:val="auto"/>
        </w:rPr>
        <w:t>（四）</w:t>
      </w:r>
      <w:r>
        <w:rPr>
          <w:rFonts w:hint="eastAsia"/>
          <w:b/>
          <w:color w:val="auto"/>
          <w:kern w:val="2"/>
          <w:sz w:val="21"/>
          <w:szCs w:val="21"/>
        </w:rPr>
        <w:t>机房建设</w:t>
      </w:r>
      <w:r>
        <w:rPr>
          <w:rFonts w:hint="eastAsia" w:ascii="宋体" w:hAnsi="宋体" w:cs="宋体"/>
          <w:b/>
          <w:color w:val="auto"/>
        </w:rPr>
        <w:t>：</w:t>
      </w:r>
    </w:p>
    <w:p>
      <w:pPr>
        <w:pStyle w:val="2"/>
        <w:spacing w:line="360" w:lineRule="auto"/>
        <w:ind w:firstLine="440" w:firstLineChars="200"/>
        <w:rPr>
          <w:color w:val="auto"/>
        </w:rPr>
      </w:pPr>
      <w:r>
        <w:rPr>
          <w:rFonts w:hint="eastAsia" w:ascii="宋体" w:hAnsi="宋体" w:cs="宋体"/>
          <w:color w:val="auto"/>
        </w:rPr>
        <w:t>1、</w:t>
      </w:r>
      <w:bookmarkStart w:id="7" w:name="_Toc153523648"/>
      <w:bookmarkStart w:id="8" w:name="_Toc107771036"/>
      <w:r>
        <w:rPr>
          <w:color w:val="auto"/>
        </w:rPr>
        <w:t>实施</w:t>
      </w:r>
      <w:r>
        <w:rPr>
          <w:rFonts w:hint="eastAsia"/>
          <w:color w:val="auto"/>
        </w:rPr>
        <w:t>要</w:t>
      </w:r>
      <w:r>
        <w:rPr>
          <w:color w:val="auto"/>
        </w:rPr>
        <w:t>求</w:t>
      </w:r>
      <w:bookmarkEnd w:id="7"/>
      <w:bookmarkEnd w:id="8"/>
    </w:p>
    <w:p>
      <w:pPr>
        <w:pStyle w:val="2"/>
        <w:spacing w:line="360" w:lineRule="auto"/>
        <w:ind w:firstLine="480" w:firstLineChars="200"/>
        <w:rPr>
          <w:color w:val="auto"/>
        </w:rPr>
      </w:pPr>
      <w:r>
        <w:rPr>
          <w:rFonts w:hint="eastAsia" w:ascii="宋体" w:hAnsi="宋体" w:cs="宋体"/>
          <w:color w:val="auto"/>
          <w:sz w:val="24"/>
        </w:rPr>
        <w:t>（1）旧住院大楼的各个弱电间（共1</w:t>
      </w:r>
      <w:r>
        <w:rPr>
          <w:rFonts w:ascii="宋体" w:hAnsi="宋体" w:cs="宋体"/>
          <w:color w:val="auto"/>
          <w:sz w:val="24"/>
        </w:rPr>
        <w:t>3</w:t>
      </w:r>
      <w:r>
        <w:rPr>
          <w:rFonts w:hint="eastAsia" w:ascii="宋体" w:hAnsi="宋体" w:cs="宋体"/>
          <w:color w:val="auto"/>
          <w:sz w:val="24"/>
        </w:rPr>
        <w:t>间）、1层综合布线设备间；</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rPr>
        <w:t>（</w:t>
      </w:r>
      <w:r>
        <w:rPr>
          <w:rFonts w:hint="eastAsia" w:ascii="宋体" w:hAnsi="宋体" w:cs="宋体"/>
          <w:color w:val="auto"/>
          <w:sz w:val="24"/>
          <w:lang w:eastAsia="zh-CN"/>
        </w:rPr>
        <w:t>2</w:t>
      </w:r>
      <w:r>
        <w:rPr>
          <w:rFonts w:ascii="宋体" w:hAnsi="宋体" w:cs="宋体"/>
          <w:color w:val="auto"/>
          <w:sz w:val="24"/>
          <w:lang w:eastAsia="zh-CN"/>
        </w:rPr>
        <w:t>）</w:t>
      </w:r>
      <w:r>
        <w:rPr>
          <w:rFonts w:hint="eastAsia" w:ascii="宋体" w:hAnsi="宋体" w:cs="宋体"/>
          <w:color w:val="auto"/>
          <w:sz w:val="24"/>
        </w:rPr>
        <w:t>感染大楼的各个弱电间（共5间）、1层综合布线设备间。</w:t>
      </w:r>
    </w:p>
    <w:p>
      <w:pPr>
        <w:pStyle w:val="42"/>
        <w:ind w:firstLine="480"/>
        <w:rPr>
          <w:color w:val="auto"/>
        </w:rPr>
      </w:pPr>
      <w:bookmarkStart w:id="9" w:name="_Toc107771038"/>
      <w:r>
        <w:rPr>
          <w:color w:val="auto"/>
        </w:rPr>
        <w:t>2</w:t>
      </w:r>
      <w:r>
        <w:rPr>
          <w:rFonts w:hint="eastAsia"/>
          <w:color w:val="auto"/>
        </w:rPr>
        <w:t>、设备间</w:t>
      </w:r>
      <w:r>
        <w:rPr>
          <w:rFonts w:hint="eastAsia"/>
          <w:color w:val="auto"/>
          <w:lang w:val="en-US"/>
        </w:rPr>
        <w:t>建设</w:t>
      </w:r>
      <w:r>
        <w:rPr>
          <w:rFonts w:hint="eastAsia"/>
          <w:color w:val="auto"/>
        </w:rPr>
        <w:t>内容：</w:t>
      </w:r>
      <w:bookmarkEnd w:id="9"/>
    </w:p>
    <w:p>
      <w:pPr>
        <w:pStyle w:val="20"/>
        <w:numPr>
          <w:ilvl w:val="0"/>
          <w:numId w:val="0"/>
        </w:numPr>
        <w:spacing w:after="0"/>
        <w:ind w:left="480"/>
        <w:rPr>
          <w:rFonts w:ascii="宋体" w:hAnsi="宋体" w:cs="宋体"/>
          <w:color w:val="auto"/>
          <w:sz w:val="24"/>
        </w:rPr>
      </w:pPr>
      <w:r>
        <w:rPr>
          <w:rFonts w:hint="eastAsia" w:ascii="宋体" w:hAnsi="宋体" w:cs="宋体"/>
          <w:color w:val="auto"/>
          <w:sz w:val="24"/>
          <w:lang w:eastAsia="zh-CN"/>
        </w:rPr>
        <w:t>（</w:t>
      </w:r>
      <w:r>
        <w:rPr>
          <w:rFonts w:ascii="宋体" w:hAnsi="宋体" w:cs="宋体"/>
          <w:color w:val="auto"/>
          <w:sz w:val="24"/>
          <w:lang w:eastAsia="zh-CN"/>
        </w:rPr>
        <w:t>1</w:t>
      </w:r>
      <w:r>
        <w:rPr>
          <w:rFonts w:hint="eastAsia" w:ascii="宋体" w:hAnsi="宋体" w:cs="宋体"/>
          <w:color w:val="auto"/>
          <w:sz w:val="24"/>
          <w:lang w:eastAsia="zh-CN"/>
        </w:rPr>
        <w:t>）</w:t>
      </w:r>
      <w:r>
        <w:rPr>
          <w:rFonts w:hint="eastAsia" w:ascii="宋体" w:hAnsi="宋体" w:cs="宋体"/>
          <w:color w:val="auto"/>
          <w:sz w:val="24"/>
        </w:rPr>
        <w:t>旧住院大楼、感染大楼</w:t>
      </w:r>
    </w:p>
    <w:p>
      <w:pPr>
        <w:pStyle w:val="42"/>
        <w:ind w:firstLine="480"/>
        <w:rPr>
          <w:color w:val="auto"/>
        </w:rPr>
      </w:pPr>
      <w:r>
        <w:rPr>
          <w:rFonts w:hint="eastAsia" w:cs="宋体"/>
          <w:color w:val="auto"/>
        </w:rPr>
        <w:t>旧</w:t>
      </w:r>
      <w:r>
        <w:rPr>
          <w:rFonts w:hint="eastAsia"/>
          <w:color w:val="auto"/>
        </w:rPr>
        <w:t>住院大楼：平面布置，面积大约2</w:t>
      </w:r>
      <w:r>
        <w:rPr>
          <w:color w:val="auto"/>
        </w:rPr>
        <w:t>5</w:t>
      </w:r>
      <w:r>
        <w:rPr>
          <w:rFonts w:hint="eastAsia"/>
          <w:color w:val="auto"/>
        </w:rPr>
        <w:t>平</w:t>
      </w:r>
      <w:r>
        <w:rPr>
          <w:rFonts w:hint="eastAsia"/>
          <w:color w:val="auto"/>
          <w:lang w:val="en-US"/>
        </w:rPr>
        <w:t>方</w:t>
      </w:r>
      <w:r>
        <w:rPr>
          <w:rFonts w:hint="eastAsia"/>
          <w:color w:val="auto"/>
        </w:rPr>
        <w:t>米。根据本大楼的智能化系统设置，在设备间布置2台8</w:t>
      </w:r>
      <w:r>
        <w:rPr>
          <w:color w:val="auto"/>
        </w:rPr>
        <w:t>00</w:t>
      </w:r>
      <w:r>
        <w:rPr>
          <w:rFonts w:hint="eastAsia"/>
          <w:color w:val="auto"/>
        </w:rPr>
        <w:t>*</w:t>
      </w:r>
      <w:r>
        <w:rPr>
          <w:color w:val="auto"/>
        </w:rPr>
        <w:t>1000</w:t>
      </w:r>
      <w:r>
        <w:rPr>
          <w:rFonts w:hint="eastAsia"/>
          <w:color w:val="auto"/>
        </w:rPr>
        <w:t>*</w:t>
      </w:r>
      <w:r>
        <w:rPr>
          <w:color w:val="auto"/>
        </w:rPr>
        <w:t>2000</w:t>
      </w:r>
      <w:r>
        <w:rPr>
          <w:rFonts w:hint="eastAsia"/>
          <w:color w:val="auto"/>
        </w:rPr>
        <w:t>的机柜，1套3</w:t>
      </w:r>
      <w:r>
        <w:rPr>
          <w:color w:val="auto"/>
        </w:rPr>
        <w:t>0KVA UPS</w:t>
      </w:r>
      <w:r>
        <w:rPr>
          <w:rFonts w:hint="eastAsia"/>
          <w:color w:val="auto"/>
        </w:rPr>
        <w:t>（不间断）电源</w:t>
      </w:r>
      <w:r>
        <w:rPr>
          <w:color w:val="auto"/>
        </w:rPr>
        <w:t>30</w:t>
      </w:r>
      <w:r>
        <w:rPr>
          <w:rFonts w:hint="eastAsia"/>
          <w:color w:val="auto"/>
        </w:rPr>
        <w:t>分钟后备，给本大楼的1</w:t>
      </w:r>
      <w:r>
        <w:rPr>
          <w:color w:val="auto"/>
        </w:rPr>
        <w:t>3</w:t>
      </w:r>
      <w:r>
        <w:rPr>
          <w:rFonts w:hint="eastAsia"/>
          <w:color w:val="auto"/>
        </w:rPr>
        <w:t>个楼层弱电间的机柜、安防设备及计算机网络系统设备供电。</w:t>
      </w:r>
    </w:p>
    <w:p>
      <w:pPr>
        <w:pStyle w:val="20"/>
        <w:numPr>
          <w:ilvl w:val="0"/>
          <w:numId w:val="0"/>
        </w:numPr>
        <w:spacing w:after="0"/>
        <w:ind w:firstLine="480" w:firstLineChars="200"/>
        <w:rPr>
          <w:rFonts w:ascii="宋体" w:hAnsi="宋体" w:cs="宋体"/>
          <w:color w:val="auto"/>
          <w:sz w:val="24"/>
        </w:rPr>
      </w:pPr>
      <w:r>
        <w:rPr>
          <w:rFonts w:hint="eastAsia" w:ascii="宋体" w:hAnsi="宋体" w:cs="宋体"/>
          <w:color w:val="auto"/>
          <w:sz w:val="24"/>
        </w:rPr>
        <w:t>感染大楼：平面布置，面积大约16.5平方米。根据本大楼的智能化系统设置，在设备间布置2台8</w:t>
      </w:r>
      <w:r>
        <w:rPr>
          <w:rFonts w:ascii="宋体" w:hAnsi="宋体" w:cs="宋体"/>
          <w:color w:val="auto"/>
          <w:sz w:val="24"/>
        </w:rPr>
        <w:t>00</w:t>
      </w:r>
      <w:r>
        <w:rPr>
          <w:rFonts w:hint="eastAsia" w:ascii="宋体" w:hAnsi="宋体" w:cs="宋体"/>
          <w:color w:val="auto"/>
          <w:sz w:val="24"/>
        </w:rPr>
        <w:t>*</w:t>
      </w:r>
      <w:r>
        <w:rPr>
          <w:rFonts w:ascii="宋体" w:hAnsi="宋体" w:cs="宋体"/>
          <w:color w:val="auto"/>
          <w:sz w:val="24"/>
        </w:rPr>
        <w:t>1000</w:t>
      </w:r>
      <w:r>
        <w:rPr>
          <w:rFonts w:hint="eastAsia" w:ascii="宋体" w:hAnsi="宋体" w:cs="宋体"/>
          <w:color w:val="auto"/>
          <w:sz w:val="24"/>
        </w:rPr>
        <w:t>*</w:t>
      </w:r>
      <w:r>
        <w:rPr>
          <w:rFonts w:ascii="宋体" w:hAnsi="宋体" w:cs="宋体"/>
          <w:color w:val="auto"/>
          <w:sz w:val="24"/>
        </w:rPr>
        <w:t>2000</w:t>
      </w:r>
      <w:r>
        <w:rPr>
          <w:rFonts w:hint="eastAsia" w:ascii="宋体" w:hAnsi="宋体" w:cs="宋体"/>
          <w:color w:val="auto"/>
          <w:sz w:val="24"/>
        </w:rPr>
        <w:t>的机柜，1套2</w:t>
      </w:r>
      <w:r>
        <w:rPr>
          <w:rFonts w:ascii="宋体" w:hAnsi="宋体" w:cs="宋体"/>
          <w:color w:val="auto"/>
          <w:sz w:val="24"/>
        </w:rPr>
        <w:t>0KVA UPS</w:t>
      </w:r>
      <w:r>
        <w:rPr>
          <w:rFonts w:hint="eastAsia" w:ascii="宋体" w:hAnsi="宋体" w:cs="宋体"/>
          <w:color w:val="auto"/>
          <w:sz w:val="24"/>
        </w:rPr>
        <w:t>（不间断）电源</w:t>
      </w:r>
      <w:r>
        <w:rPr>
          <w:rFonts w:ascii="宋体" w:hAnsi="宋体" w:cs="宋体"/>
          <w:color w:val="auto"/>
          <w:sz w:val="24"/>
        </w:rPr>
        <w:t>30</w:t>
      </w:r>
      <w:r>
        <w:rPr>
          <w:rFonts w:hint="eastAsia" w:ascii="宋体" w:hAnsi="宋体" w:cs="宋体"/>
          <w:color w:val="auto"/>
          <w:sz w:val="24"/>
        </w:rPr>
        <w:t>分钟后备，给本大楼的5个楼层弱电间的机柜、安防设备及计算机网络系统设备供电。</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lang w:eastAsia="zh-CN"/>
        </w:rPr>
        <w:t>（</w:t>
      </w:r>
      <w:r>
        <w:rPr>
          <w:rFonts w:ascii="宋体" w:hAnsi="宋体" w:cs="宋体"/>
          <w:color w:val="auto"/>
          <w:sz w:val="24"/>
          <w:lang w:eastAsia="zh-CN"/>
        </w:rPr>
        <w:t>2</w:t>
      </w:r>
      <w:r>
        <w:rPr>
          <w:rFonts w:hint="eastAsia" w:ascii="宋体" w:hAnsi="宋体" w:cs="宋体"/>
          <w:color w:val="auto"/>
          <w:sz w:val="24"/>
          <w:lang w:eastAsia="zh-CN"/>
        </w:rPr>
        <w:t>）</w:t>
      </w:r>
      <w:r>
        <w:rPr>
          <w:rFonts w:hint="eastAsia" w:ascii="宋体" w:hAnsi="宋体" w:cs="宋体"/>
          <w:color w:val="auto"/>
          <w:sz w:val="24"/>
        </w:rPr>
        <w:t>供配电设计</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rPr>
        <w:t>为保证电源可靠，机房独立供电，供电负荷按照一级负荷供电。</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安防所有设备均由UPS供电，末端设备也由UPS供给。电池按延时30分钟配置，30分钟后的供电由发电机负责。设备间U</w:t>
      </w:r>
      <w:r>
        <w:rPr>
          <w:rFonts w:ascii="宋体" w:hAnsi="宋体" w:cs="宋体"/>
          <w:color w:val="auto"/>
          <w:sz w:val="24"/>
        </w:rPr>
        <w:t>PS</w:t>
      </w:r>
      <w:r>
        <w:rPr>
          <w:rFonts w:hint="eastAsia" w:ascii="宋体" w:hAnsi="宋体" w:cs="宋体"/>
          <w:color w:val="auto"/>
          <w:sz w:val="24"/>
        </w:rPr>
        <w:t>配电柜需要电气专业设计医院后备回路。</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lang w:eastAsia="zh-CN"/>
        </w:rPr>
        <w:t>（</w:t>
      </w:r>
      <w:r>
        <w:rPr>
          <w:rFonts w:ascii="宋体" w:hAnsi="宋体" w:cs="宋体"/>
          <w:color w:val="auto"/>
          <w:sz w:val="24"/>
          <w:lang w:eastAsia="zh-CN"/>
        </w:rPr>
        <w:t>3</w:t>
      </w:r>
      <w:r>
        <w:rPr>
          <w:rFonts w:hint="eastAsia" w:ascii="宋体" w:hAnsi="宋体" w:cs="宋体"/>
          <w:color w:val="auto"/>
          <w:sz w:val="24"/>
          <w:lang w:eastAsia="zh-CN"/>
        </w:rPr>
        <w:t>）</w:t>
      </w:r>
      <w:r>
        <w:rPr>
          <w:rFonts w:hint="eastAsia" w:ascii="宋体" w:hAnsi="宋体" w:cs="宋体"/>
          <w:color w:val="auto"/>
          <w:sz w:val="24"/>
        </w:rPr>
        <w:t>装修设计</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rPr>
        <w:t>吊顶采用600*600铝合金微孔吸音天花。</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地板采用600x600mm全钢防静电地板，安装高度300mm，安装地板之前进行水泥砂浆找平，然后对地表面进行防尘漆处理。</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rPr>
        <w:t>墙身:扇灰刷无机涂料。</w:t>
      </w:r>
    </w:p>
    <w:p>
      <w:pPr>
        <w:pStyle w:val="20"/>
        <w:numPr>
          <w:ilvl w:val="0"/>
          <w:numId w:val="0"/>
        </w:numPr>
        <w:spacing w:after="0"/>
        <w:ind w:left="480"/>
        <w:rPr>
          <w:rFonts w:ascii="宋体" w:hAnsi="宋体" w:cs="宋体"/>
          <w:color w:val="auto"/>
          <w:sz w:val="24"/>
        </w:rPr>
      </w:pPr>
      <w:r>
        <w:rPr>
          <w:rFonts w:hint="eastAsia" w:ascii="宋体" w:hAnsi="宋体" w:cs="宋体"/>
          <w:color w:val="auto"/>
          <w:sz w:val="24"/>
          <w:lang w:eastAsia="zh-CN"/>
        </w:rPr>
        <w:t>（</w:t>
      </w:r>
      <w:r>
        <w:rPr>
          <w:rFonts w:ascii="宋体" w:hAnsi="宋体" w:cs="宋体"/>
          <w:color w:val="auto"/>
          <w:sz w:val="24"/>
          <w:lang w:eastAsia="zh-CN"/>
        </w:rPr>
        <w:t>4</w:t>
      </w:r>
      <w:r>
        <w:rPr>
          <w:rFonts w:hint="eastAsia" w:ascii="宋体" w:hAnsi="宋体" w:cs="宋体"/>
          <w:color w:val="auto"/>
          <w:sz w:val="24"/>
          <w:lang w:eastAsia="zh-CN"/>
        </w:rPr>
        <w:t>）</w:t>
      </w:r>
      <w:r>
        <w:rPr>
          <w:rFonts w:hint="eastAsia" w:ascii="宋体" w:hAnsi="宋体" w:cs="宋体"/>
          <w:color w:val="auto"/>
          <w:sz w:val="24"/>
        </w:rPr>
        <w:t>防雷接地设计</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机房电源系统采用两级电源防浪涌保护，即在市电配电柜和UPS配电柜主供电回路上安装电源防雷器。由室外引入至机房的弱电电缆也需加装避雷器。</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根据GB50057《建筑物防雷设计规范》和本建筑的情况，机房内接地采用综合接地方式，即接入大楼的综合接地。</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机房内接地箱由一条独立的综合接地母线引入，接地电阻小于1Ω。机房内采取接地汇流排、等电位联结带等等电位接地措施。</w:t>
      </w:r>
    </w:p>
    <w:p>
      <w:pPr>
        <w:pStyle w:val="20"/>
        <w:numPr>
          <w:ilvl w:val="0"/>
          <w:numId w:val="0"/>
        </w:numPr>
        <w:spacing w:after="0"/>
        <w:ind w:firstLine="420"/>
        <w:rPr>
          <w:rFonts w:ascii="宋体" w:hAnsi="宋体" w:cs="宋体"/>
          <w:color w:val="auto"/>
          <w:sz w:val="24"/>
        </w:rPr>
      </w:pPr>
    </w:p>
    <w:p>
      <w:pPr>
        <w:pStyle w:val="2"/>
        <w:spacing w:line="360" w:lineRule="auto"/>
        <w:ind w:firstLine="221" w:firstLineChars="100"/>
        <w:rPr>
          <w:b/>
          <w:color w:val="auto"/>
        </w:rPr>
      </w:pPr>
      <w:r>
        <w:rPr>
          <w:rFonts w:hint="eastAsia"/>
          <w:b/>
          <w:color w:val="auto"/>
        </w:rPr>
        <w:t>（五）时钟系统：</w:t>
      </w:r>
    </w:p>
    <w:p>
      <w:pPr>
        <w:pStyle w:val="2"/>
        <w:spacing w:line="360" w:lineRule="auto"/>
        <w:ind w:firstLine="480" w:firstLineChars="200"/>
        <w:rPr>
          <w:color w:val="auto"/>
        </w:rPr>
      </w:pPr>
      <w:r>
        <w:rPr>
          <w:rFonts w:hint="eastAsia" w:ascii="宋体" w:hAnsi="宋体" w:cs="宋体"/>
          <w:color w:val="auto"/>
          <w:kern w:val="2"/>
          <w:sz w:val="24"/>
          <w:szCs w:val="28"/>
          <w:lang w:val="en-GB" w:eastAsia="fr-FR"/>
        </w:rPr>
        <w:t>1、</w:t>
      </w:r>
      <w:r>
        <w:rPr>
          <w:color w:val="auto"/>
        </w:rPr>
        <w:t>系统</w:t>
      </w:r>
      <w:r>
        <w:rPr>
          <w:rFonts w:hint="eastAsia"/>
          <w:color w:val="auto"/>
        </w:rPr>
        <w:t>要</w:t>
      </w:r>
      <w:r>
        <w:rPr>
          <w:color w:val="auto"/>
        </w:rPr>
        <w:t>求</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标准时钟源信号采用全球定位系统（GPS）和北斗卫星接收装置。</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标准时钟</w:t>
      </w:r>
      <w:r>
        <w:rPr>
          <w:rFonts w:ascii="宋体" w:hAnsi="宋体" w:cs="宋体"/>
          <w:color w:val="auto"/>
          <w:sz w:val="24"/>
        </w:rPr>
        <w:t>系统规划区域为</w:t>
      </w:r>
      <w:r>
        <w:rPr>
          <w:rFonts w:hint="eastAsia" w:ascii="宋体" w:hAnsi="宋体" w:cs="宋体"/>
          <w:color w:val="auto"/>
          <w:sz w:val="24"/>
        </w:rPr>
        <w:t>各护士站、</w:t>
      </w:r>
      <w:r>
        <w:rPr>
          <w:rFonts w:ascii="宋体" w:hAnsi="宋体" w:cs="宋体"/>
          <w:color w:val="auto"/>
          <w:sz w:val="24"/>
        </w:rPr>
        <w:t>公共区域</w:t>
      </w:r>
      <w:r>
        <w:rPr>
          <w:rFonts w:hint="eastAsia" w:ascii="宋体" w:hAnsi="宋体" w:cs="宋体"/>
          <w:color w:val="auto"/>
          <w:sz w:val="24"/>
        </w:rPr>
        <w:t>、首层服务台等处设置子钟，电源就近由强电专业供电。</w:t>
      </w:r>
      <w:r>
        <w:rPr>
          <w:rFonts w:ascii="宋体" w:hAnsi="宋体" w:cs="宋体"/>
          <w:color w:val="auto"/>
          <w:sz w:val="24"/>
        </w:rPr>
        <w:t>并可为医院的IT</w:t>
      </w:r>
      <w:r>
        <w:rPr>
          <w:rFonts w:hint="eastAsia" w:ascii="宋体" w:hAnsi="宋体" w:cs="宋体"/>
          <w:color w:val="auto"/>
          <w:sz w:val="24"/>
        </w:rPr>
        <w:t>网络</w:t>
      </w:r>
      <w:r>
        <w:rPr>
          <w:rFonts w:ascii="宋体" w:hAnsi="宋体" w:cs="宋体"/>
          <w:color w:val="auto"/>
          <w:sz w:val="24"/>
        </w:rPr>
        <w:t>设备及服务器、工作站进行网络授时</w:t>
      </w:r>
      <w:r>
        <w:rPr>
          <w:rFonts w:hint="eastAsia" w:ascii="宋体" w:hAnsi="宋体" w:cs="宋体"/>
          <w:color w:val="auto"/>
          <w:sz w:val="24"/>
        </w:rPr>
        <w:t>。</w:t>
      </w:r>
    </w:p>
    <w:p>
      <w:pPr>
        <w:pStyle w:val="20"/>
        <w:numPr>
          <w:ilvl w:val="0"/>
          <w:numId w:val="0"/>
        </w:numPr>
        <w:spacing w:after="0"/>
        <w:ind w:firstLine="420"/>
        <w:rPr>
          <w:rFonts w:ascii="宋体" w:hAnsi="宋体" w:cs="宋体"/>
          <w:color w:val="auto"/>
          <w:sz w:val="24"/>
        </w:rPr>
      </w:pPr>
      <w:r>
        <w:rPr>
          <w:rFonts w:hint="eastAsia" w:ascii="宋体" w:hAnsi="宋体" w:cs="宋体"/>
          <w:color w:val="auto"/>
          <w:sz w:val="24"/>
        </w:rPr>
        <w:t>标准时钟主要</w:t>
      </w:r>
      <w:r>
        <w:rPr>
          <w:rFonts w:ascii="宋体" w:hAnsi="宋体" w:cs="宋体"/>
          <w:color w:val="auto"/>
          <w:sz w:val="24"/>
        </w:rPr>
        <w:t>硬件包括</w:t>
      </w:r>
      <w:r>
        <w:rPr>
          <w:rFonts w:hint="eastAsia" w:ascii="宋体" w:hAnsi="宋体" w:cs="宋体"/>
          <w:color w:val="auto"/>
          <w:sz w:val="24"/>
        </w:rPr>
        <w:t>天线</w:t>
      </w:r>
      <w:r>
        <w:rPr>
          <w:rFonts w:ascii="宋体" w:hAnsi="宋体" w:cs="宋体"/>
          <w:color w:val="auto"/>
          <w:sz w:val="24"/>
        </w:rPr>
        <w:t>及馈线、</w:t>
      </w:r>
      <w:r>
        <w:rPr>
          <w:rFonts w:hint="eastAsia" w:ascii="宋体" w:hAnsi="宋体" w:cs="宋体"/>
          <w:color w:val="auto"/>
          <w:sz w:val="24"/>
        </w:rPr>
        <w:t>中心</w:t>
      </w:r>
      <w:r>
        <w:rPr>
          <w:rFonts w:ascii="宋体" w:hAnsi="宋体" w:cs="宋体"/>
          <w:color w:val="auto"/>
          <w:sz w:val="24"/>
        </w:rPr>
        <w:t>母钟、</w:t>
      </w:r>
      <w:r>
        <w:rPr>
          <w:rFonts w:hint="eastAsia" w:ascii="宋体" w:hAnsi="宋体" w:cs="宋体"/>
          <w:color w:val="auto"/>
          <w:sz w:val="24"/>
        </w:rPr>
        <w:t>NTP时间</w:t>
      </w:r>
      <w:r>
        <w:rPr>
          <w:rFonts w:ascii="宋体" w:hAnsi="宋体" w:cs="宋体"/>
          <w:color w:val="auto"/>
          <w:sz w:val="24"/>
        </w:rPr>
        <w:t>服务器、</w:t>
      </w:r>
      <w:r>
        <w:rPr>
          <w:rFonts w:hint="eastAsia" w:ascii="宋体" w:hAnsi="宋体" w:cs="宋体"/>
          <w:color w:val="auto"/>
          <w:sz w:val="24"/>
        </w:rPr>
        <w:t>子钟等</w:t>
      </w:r>
      <w:r>
        <w:rPr>
          <w:rFonts w:ascii="宋体" w:hAnsi="宋体" w:cs="宋体"/>
          <w:color w:val="auto"/>
          <w:sz w:val="24"/>
        </w:rPr>
        <w:t>。</w:t>
      </w:r>
    </w:p>
    <w:p>
      <w:pPr>
        <w:pStyle w:val="2"/>
        <w:spacing w:line="360" w:lineRule="auto"/>
        <w:ind w:firstLine="440" w:firstLineChars="200"/>
        <w:rPr>
          <w:color w:val="auto"/>
        </w:rPr>
      </w:pPr>
      <w:r>
        <w:rPr>
          <w:rFonts w:ascii="宋体" w:hAnsi="宋体" w:cs="宋体"/>
          <w:color w:val="auto"/>
        </w:rPr>
        <w:t>2、</w:t>
      </w:r>
      <w:r>
        <w:rPr>
          <w:rFonts w:hint="eastAsia"/>
          <w:color w:val="auto"/>
        </w:rPr>
        <w:t>功能要求</w:t>
      </w:r>
    </w:p>
    <w:p>
      <w:pPr>
        <w:ind w:firstLine="480"/>
        <w:rPr>
          <w:rFonts w:ascii="宋体" w:hAnsi="宋体" w:cs="宋体"/>
          <w:color w:val="auto"/>
          <w:szCs w:val="28"/>
          <w:lang w:val="en-GB" w:eastAsia="fr-FR"/>
        </w:rPr>
      </w:pPr>
      <w:r>
        <w:rPr>
          <w:rFonts w:hint="eastAsia" w:ascii="宋体" w:hAnsi="宋体" w:cs="宋体"/>
          <w:color w:val="auto"/>
          <w:szCs w:val="28"/>
          <w:lang w:val="en-GB"/>
        </w:rPr>
        <w:t>（1）</w:t>
      </w:r>
      <w:r>
        <w:rPr>
          <w:rFonts w:hint="eastAsia" w:ascii="宋体" w:hAnsi="宋体" w:cs="宋体"/>
          <w:color w:val="auto"/>
          <w:szCs w:val="28"/>
          <w:lang w:val="en-GB" w:eastAsia="fr-FR"/>
        </w:rPr>
        <w:t>同步校时</w:t>
      </w:r>
      <w:r>
        <w:rPr>
          <w:rFonts w:ascii="宋体" w:hAnsi="宋体" w:cs="宋体"/>
          <w:color w:val="auto"/>
          <w:szCs w:val="28"/>
          <w:lang w:val="en-GB" w:eastAsia="fr-FR"/>
        </w:rPr>
        <w:t>功能要求：</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系统可同时配置多个互联网时间服务器，并在获取时间后清除网络延时；</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系统具有对多个GPS设备进行管理的功能，通过GPS做为时间源时可采集两只以上GPS设备的数据，可选择2个或以上的GPS信号源，在其中一个GPS设备损坏时可自动切换到另一个继续工作；</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子钟系统具有定期自检功能，能定时自动检测整个系统的工作状况，并将检测结果上报网络母钟用户记录。子钟及线路发生故障时，网络母钟通过日志记录，并自动发送邮件报警并指示故障设备；</w:t>
      </w:r>
    </w:p>
    <w:p>
      <w:pPr>
        <w:ind w:firstLine="480"/>
        <w:rPr>
          <w:rFonts w:ascii="宋体" w:hAnsi="宋体" w:cs="宋体"/>
          <w:color w:val="auto"/>
          <w:szCs w:val="28"/>
          <w:lang w:val="en-GB" w:eastAsia="fr-FR"/>
        </w:rPr>
      </w:pPr>
      <w:r>
        <w:rPr>
          <w:rFonts w:ascii="宋体" w:hAnsi="宋体" w:cs="宋体"/>
          <w:color w:val="auto"/>
          <w:szCs w:val="28"/>
          <w:lang w:val="en-GB" w:eastAsia="fr-FR"/>
        </w:rPr>
        <w:t>IT</w:t>
      </w:r>
      <w:r>
        <w:rPr>
          <w:rFonts w:hint="eastAsia" w:ascii="宋体" w:hAnsi="宋体" w:cs="宋体"/>
          <w:color w:val="auto"/>
          <w:szCs w:val="28"/>
          <w:lang w:val="en-GB" w:eastAsia="fr-FR"/>
        </w:rPr>
        <w:t>网络</w:t>
      </w:r>
      <w:r>
        <w:rPr>
          <w:rFonts w:ascii="宋体" w:hAnsi="宋体" w:cs="宋体"/>
          <w:color w:val="auto"/>
          <w:szCs w:val="28"/>
          <w:lang w:val="en-GB" w:eastAsia="fr-FR"/>
        </w:rPr>
        <w:t>设备</w:t>
      </w:r>
      <w:r>
        <w:rPr>
          <w:rFonts w:hint="eastAsia" w:ascii="宋体" w:hAnsi="宋体" w:cs="宋体"/>
          <w:color w:val="auto"/>
          <w:szCs w:val="28"/>
          <w:lang w:val="en-GB" w:eastAsia="fr-FR"/>
        </w:rPr>
        <w:t>、</w:t>
      </w:r>
      <w:r>
        <w:rPr>
          <w:rFonts w:ascii="宋体" w:hAnsi="宋体" w:cs="宋体"/>
          <w:color w:val="auto"/>
          <w:szCs w:val="28"/>
          <w:lang w:val="en-GB" w:eastAsia="fr-FR"/>
        </w:rPr>
        <w:t>服务器、工作站</w:t>
      </w:r>
      <w:r>
        <w:rPr>
          <w:rFonts w:hint="eastAsia" w:ascii="宋体" w:hAnsi="宋体" w:cs="宋体"/>
          <w:color w:val="auto"/>
          <w:szCs w:val="28"/>
          <w:lang w:val="en-GB" w:eastAsia="fr-FR"/>
        </w:rPr>
        <w:t>可通过网络授时从网络母钟获取标准时间</w:t>
      </w:r>
      <w:r>
        <w:rPr>
          <w:rFonts w:ascii="宋体" w:hAnsi="宋体" w:cs="宋体"/>
          <w:color w:val="auto"/>
          <w:szCs w:val="28"/>
          <w:lang w:val="en-GB" w:eastAsia="fr-FR"/>
        </w:rPr>
        <w:t>；</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系统可通过两种方式获取标准时间。一种通过网络，通过NTP服务器</w:t>
      </w:r>
      <w:r>
        <w:rPr>
          <w:rFonts w:ascii="宋体" w:hAnsi="宋体" w:cs="宋体"/>
          <w:color w:val="auto"/>
          <w:szCs w:val="28"/>
          <w:lang w:val="en-GB" w:eastAsia="fr-FR"/>
        </w:rPr>
        <w:t>授时</w:t>
      </w:r>
      <w:r>
        <w:rPr>
          <w:rFonts w:hint="eastAsia" w:ascii="宋体" w:hAnsi="宋体" w:cs="宋体"/>
          <w:color w:val="auto"/>
          <w:szCs w:val="28"/>
          <w:lang w:val="en-GB" w:eastAsia="fr-FR"/>
        </w:rPr>
        <w:t>，另一种通过连接RS422接口获取数字时钟系统发送的单发时钟信号；</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网络母钟内部软件可自动根据情况切换标准时间数据源，可自动切换GPS接收设备，可在GPS设备无信号时自动切换至母钟自身工作模式；</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网络母钟具备手动校时功能；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子钟可以独立于母钟单独运行；也可接收母钟发来的标准时间信息，对其进行校对</w:t>
      </w:r>
    </w:p>
    <w:p>
      <w:pPr>
        <w:ind w:firstLine="480"/>
        <w:rPr>
          <w:rFonts w:ascii="宋体" w:hAnsi="宋体" w:cs="宋体"/>
          <w:color w:val="auto"/>
          <w:szCs w:val="28"/>
          <w:lang w:val="en-GB" w:eastAsia="fr-FR"/>
        </w:rPr>
      </w:pPr>
      <w:r>
        <w:rPr>
          <w:rFonts w:hint="eastAsia" w:ascii="宋体" w:hAnsi="宋体" w:cs="宋体"/>
          <w:color w:val="auto"/>
          <w:szCs w:val="28"/>
          <w:lang w:val="en-GB"/>
        </w:rPr>
        <w:t>（</w:t>
      </w:r>
      <w:r>
        <w:rPr>
          <w:rFonts w:ascii="宋体" w:hAnsi="宋体" w:cs="宋体"/>
          <w:color w:val="auto"/>
          <w:szCs w:val="28"/>
          <w:lang w:val="en-GB"/>
        </w:rPr>
        <w:t>2</w:t>
      </w:r>
      <w:r>
        <w:rPr>
          <w:rFonts w:hint="eastAsia" w:ascii="宋体" w:hAnsi="宋体" w:cs="宋体"/>
          <w:color w:val="auto"/>
          <w:szCs w:val="28"/>
          <w:lang w:val="en-GB"/>
        </w:rPr>
        <w:t>）</w:t>
      </w:r>
      <w:r>
        <w:rPr>
          <w:rFonts w:hint="eastAsia" w:ascii="宋体" w:hAnsi="宋体" w:cs="宋体"/>
          <w:color w:val="auto"/>
          <w:szCs w:val="28"/>
          <w:lang w:val="en-GB" w:eastAsia="fr-FR"/>
        </w:rPr>
        <w:t>系统</w:t>
      </w:r>
      <w:r>
        <w:rPr>
          <w:rFonts w:ascii="宋体" w:hAnsi="宋体" w:cs="宋体"/>
          <w:color w:val="auto"/>
          <w:szCs w:val="28"/>
          <w:lang w:val="en-GB" w:eastAsia="fr-FR"/>
        </w:rPr>
        <w:t>监控管理功能</w:t>
      </w:r>
      <w:r>
        <w:rPr>
          <w:rFonts w:hint="eastAsia" w:ascii="宋体" w:hAnsi="宋体" w:cs="宋体"/>
          <w:color w:val="auto"/>
          <w:szCs w:val="28"/>
          <w:lang w:val="en-GB" w:eastAsia="fr-FR"/>
        </w:rPr>
        <w:t>要求：</w:t>
      </w:r>
    </w:p>
    <w:p>
      <w:pPr>
        <w:ind w:firstLine="480"/>
        <w:rPr>
          <w:rFonts w:ascii="宋体" w:hAnsi="宋体" w:cs="宋体"/>
          <w:color w:val="auto"/>
          <w:szCs w:val="28"/>
          <w:lang w:val="en-GB" w:eastAsia="fr-FR"/>
        </w:rPr>
      </w:pPr>
      <w:r>
        <w:rPr>
          <w:rFonts w:hint="eastAsia" w:ascii="宋体" w:hAnsi="宋体" w:cs="宋体"/>
          <w:color w:val="auto"/>
          <w:szCs w:val="28"/>
        </w:rPr>
        <w:t>A.</w:t>
      </w:r>
      <w:r>
        <w:rPr>
          <w:rFonts w:hint="eastAsia" w:ascii="宋体" w:hAnsi="宋体" w:cs="宋体"/>
          <w:color w:val="auto"/>
          <w:szCs w:val="28"/>
          <w:lang w:val="en-GB" w:eastAsia="fr-FR"/>
        </w:rPr>
        <w:t>一般性管理功能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能够真实显示系统的网络拓扑结构，实时反映其物理连接状态及各点设备运行条件和状态；</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在监控终端上可以查看本系统任何一个子系统的运行状况。其主要监控及显示的内容包括：标准时间信号接收单元、各场所子钟及传输通道的工作状态；可以对时钟系统中任何一个子钟进行必要的控制、故障存储记录及打印输出等。</w:t>
      </w:r>
    </w:p>
    <w:p>
      <w:pPr>
        <w:ind w:firstLine="480"/>
        <w:rPr>
          <w:rFonts w:ascii="宋体" w:hAnsi="宋体" w:cs="宋体"/>
          <w:color w:val="auto"/>
          <w:szCs w:val="28"/>
          <w:lang w:val="en-GB" w:eastAsia="fr-FR"/>
        </w:rPr>
      </w:pPr>
      <w:r>
        <w:rPr>
          <w:rFonts w:hint="eastAsia" w:ascii="宋体" w:hAnsi="宋体" w:cs="宋体"/>
          <w:color w:val="auto"/>
          <w:szCs w:val="28"/>
        </w:rPr>
        <w:t>B.</w:t>
      </w:r>
      <w:r>
        <w:rPr>
          <w:rFonts w:hint="eastAsia" w:ascii="宋体" w:hAnsi="宋体" w:cs="宋体"/>
          <w:color w:val="auto"/>
          <w:szCs w:val="28"/>
          <w:lang w:val="en-GB" w:eastAsia="fr-FR"/>
        </w:rPr>
        <w:t>故障管理</w:t>
      </w:r>
      <w:r>
        <w:rPr>
          <w:rFonts w:ascii="宋体" w:hAnsi="宋体" w:cs="宋体"/>
          <w:color w:val="auto"/>
          <w:szCs w:val="28"/>
          <w:lang w:val="en-GB" w:eastAsia="fr-FR"/>
        </w:rPr>
        <w:t>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系统具有自诊断功能，并对故障进行管理，能检测到包括系统中心设备、传输通道的运行状态；对时钟系统的工作状态、故障状态进行显示；并能够对全系统时钟进行点对点的控制；</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当时钟系统出现故障时，维护终端能够发出声光报警，指示故障部位，并在监控终端主界面上显示主要故障内容及设备位置。告警信号能够引至相应值班室，提供给值班的工作人员，以便于系统的集中管理；</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能诊断硬件或软件故障，能对硬件故障进行定位，并能指出故障所在范围及性质。能对故障状态和时间进行打印和存储记录，能显示基本故障排除原则等帮助信息；</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在时钟系统维护终端上，能方便查看维护指南，在线帮助；</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设有设备维修档案，记录每个故障发生的具体位置、时间、类型、维修情况等。当某个时钟工作不正常时，系统可调出它的档案，供维修人员参考。</w:t>
      </w:r>
    </w:p>
    <w:p>
      <w:pPr>
        <w:ind w:firstLine="480"/>
        <w:rPr>
          <w:rFonts w:ascii="宋体" w:hAnsi="宋体" w:cs="宋体"/>
          <w:color w:val="auto"/>
          <w:szCs w:val="28"/>
          <w:lang w:val="en-GB" w:eastAsia="fr-FR"/>
        </w:rPr>
      </w:pPr>
      <w:r>
        <w:rPr>
          <w:rFonts w:hint="eastAsia" w:ascii="宋体" w:hAnsi="宋体" w:cs="宋体"/>
          <w:color w:val="auto"/>
          <w:szCs w:val="28"/>
        </w:rPr>
        <w:t>C.</w:t>
      </w:r>
      <w:r>
        <w:rPr>
          <w:rFonts w:hint="eastAsia" w:ascii="宋体" w:hAnsi="宋体" w:cs="宋体"/>
          <w:color w:val="auto"/>
          <w:szCs w:val="28"/>
          <w:lang w:val="en-GB" w:eastAsia="fr-FR"/>
        </w:rPr>
        <w:t>配置</w:t>
      </w:r>
      <w:r>
        <w:rPr>
          <w:rFonts w:ascii="宋体" w:hAnsi="宋体" w:cs="宋体"/>
          <w:color w:val="auto"/>
          <w:szCs w:val="28"/>
          <w:lang w:val="en-GB" w:eastAsia="fr-FR"/>
        </w:rPr>
        <w:t>管理</w:t>
      </w:r>
      <w:r>
        <w:rPr>
          <w:rFonts w:hint="eastAsia" w:ascii="宋体" w:hAnsi="宋体" w:cs="宋体"/>
          <w:color w:val="auto"/>
          <w:szCs w:val="28"/>
          <w:lang w:val="en-GB" w:eastAsia="fr-FR"/>
        </w:rPr>
        <w:t>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通过监测系统计算机能对时钟系统网络进行配置和数据设定。</w:t>
      </w:r>
    </w:p>
    <w:p>
      <w:pPr>
        <w:ind w:firstLine="480"/>
        <w:rPr>
          <w:rFonts w:ascii="宋体" w:hAnsi="宋体" w:cs="宋体"/>
          <w:color w:val="auto"/>
          <w:szCs w:val="28"/>
          <w:lang w:val="en-GB" w:eastAsia="fr-FR"/>
        </w:rPr>
      </w:pPr>
      <w:r>
        <w:rPr>
          <w:rFonts w:hint="eastAsia" w:ascii="宋体" w:hAnsi="宋体" w:cs="宋体"/>
          <w:color w:val="auto"/>
          <w:szCs w:val="28"/>
        </w:rPr>
        <w:t>D.</w:t>
      </w:r>
      <w:r>
        <w:rPr>
          <w:rFonts w:hint="eastAsia" w:ascii="宋体" w:hAnsi="宋体" w:cs="宋体"/>
          <w:color w:val="auto"/>
          <w:szCs w:val="28"/>
          <w:lang w:val="en-GB" w:eastAsia="fr-FR"/>
        </w:rPr>
        <w:t>安全管理</w:t>
      </w:r>
      <w:r>
        <w:rPr>
          <w:rFonts w:ascii="宋体" w:hAnsi="宋体" w:cs="宋体"/>
          <w:color w:val="auto"/>
          <w:szCs w:val="28"/>
          <w:lang w:val="en-GB" w:eastAsia="fr-FR"/>
        </w:rPr>
        <w:t>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能设置不少于三种管理权限，设置了管理员级、操作员级和用户级，分级别对系统进行管理。能够保留操作日志</w:t>
      </w:r>
    </w:p>
    <w:p>
      <w:pPr>
        <w:ind w:firstLine="480"/>
        <w:rPr>
          <w:rFonts w:ascii="宋体" w:hAnsi="宋体" w:cs="宋体"/>
          <w:color w:val="auto"/>
          <w:szCs w:val="28"/>
          <w:lang w:val="en-GB" w:eastAsia="fr-FR"/>
        </w:rPr>
      </w:pPr>
      <w:r>
        <w:rPr>
          <w:rFonts w:hint="eastAsia" w:ascii="宋体" w:hAnsi="宋体" w:cs="宋体"/>
          <w:color w:val="auto"/>
          <w:szCs w:val="28"/>
        </w:rPr>
        <w:t>E.</w:t>
      </w:r>
      <w:r>
        <w:rPr>
          <w:rFonts w:hint="eastAsia" w:ascii="宋体" w:hAnsi="宋体" w:cs="宋体"/>
          <w:color w:val="auto"/>
          <w:szCs w:val="28"/>
          <w:lang w:val="en-GB" w:eastAsia="fr-FR"/>
        </w:rPr>
        <w:t>子钟</w:t>
      </w:r>
      <w:r>
        <w:rPr>
          <w:rFonts w:ascii="宋体" w:hAnsi="宋体" w:cs="宋体"/>
          <w:color w:val="auto"/>
          <w:szCs w:val="28"/>
          <w:lang w:val="en-GB" w:eastAsia="fr-FR"/>
        </w:rPr>
        <w:t>功能</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所有子钟均具有独立的计时功能，平时跟踪母钟工作。当子钟接收不到来自母钟发送的时间信号时，仍能依靠自身的晶振独立运行并向时钟系统管理中心发出告警。此时时钟时间的调整靠键盘来进行；</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子钟的安装可吊挂、壁挂、装于支柱上等，视场所需要而定；</w:t>
      </w:r>
    </w:p>
    <w:p>
      <w:pPr>
        <w:ind w:firstLine="480"/>
        <w:rPr>
          <w:rFonts w:ascii="宋体" w:hAnsi="宋体" w:cs="宋体"/>
          <w:color w:val="auto"/>
          <w:szCs w:val="28"/>
          <w:lang w:val="en-GB" w:eastAsia="fr-FR"/>
        </w:rPr>
      </w:pPr>
      <w:r>
        <w:rPr>
          <w:rFonts w:hint="eastAsia" w:ascii="宋体" w:hAnsi="宋体" w:cs="宋体"/>
          <w:color w:val="auto"/>
          <w:szCs w:val="28"/>
          <w:lang w:val="en-GB" w:eastAsia="fr-FR"/>
        </w:rPr>
        <w:t>全面故障检测功能，若某个子钟出现故障，能够即时将故障报告给控制管理系统，并以LED指示灯告警；</w:t>
      </w:r>
    </w:p>
    <w:p>
      <w:pPr>
        <w:pStyle w:val="2"/>
        <w:spacing w:line="360" w:lineRule="auto"/>
        <w:rPr>
          <w:rFonts w:ascii="宋体" w:hAnsi="宋体" w:cs="宋体"/>
          <w:color w:val="auto"/>
          <w:kern w:val="2"/>
          <w:sz w:val="24"/>
          <w:szCs w:val="28"/>
          <w:lang w:val="en-GB" w:eastAsia="fr-FR"/>
        </w:rPr>
      </w:pPr>
      <w:r>
        <w:rPr>
          <w:rFonts w:hint="eastAsia" w:ascii="宋体" w:hAnsi="宋体" w:cs="宋体"/>
          <w:color w:val="auto"/>
          <w:kern w:val="2"/>
          <w:sz w:val="24"/>
          <w:szCs w:val="28"/>
          <w:lang w:val="en-GB" w:eastAsia="fr-FR"/>
        </w:rPr>
        <w:t>数字子钟具有通讯指示装置，指示通讯状态。</w:t>
      </w:r>
    </w:p>
    <w:p>
      <w:pPr>
        <w:pStyle w:val="20"/>
        <w:numPr>
          <w:ilvl w:val="0"/>
          <w:numId w:val="0"/>
        </w:numPr>
        <w:spacing w:after="0"/>
        <w:ind w:firstLine="482" w:firstLineChars="200"/>
        <w:rPr>
          <w:rFonts w:ascii="宋体" w:hAnsi="宋体" w:cs="宋体"/>
          <w:b/>
          <w:color w:val="auto"/>
          <w:sz w:val="24"/>
          <w:lang w:val="en-US" w:eastAsia="zh-CN"/>
        </w:rPr>
      </w:pPr>
      <w:r>
        <w:rPr>
          <w:rFonts w:hint="eastAsia" w:ascii="宋体" w:hAnsi="宋体" w:cs="宋体"/>
          <w:b/>
          <w:color w:val="auto"/>
          <w:sz w:val="24"/>
          <w:lang w:val="en-US" w:eastAsia="zh-CN"/>
        </w:rPr>
        <w:t>（六）视频监控系统：</w:t>
      </w:r>
    </w:p>
    <w:p>
      <w:pPr>
        <w:pStyle w:val="20"/>
        <w:numPr>
          <w:ilvl w:val="0"/>
          <w:numId w:val="0"/>
        </w:numPr>
        <w:spacing w:after="0"/>
        <w:ind w:firstLine="482" w:firstLineChars="200"/>
        <w:rPr>
          <w:rFonts w:ascii="宋体" w:hAnsi="宋体" w:cs="宋体"/>
          <w:b/>
          <w:color w:val="auto"/>
          <w:sz w:val="24"/>
          <w:lang w:val="en-US" w:eastAsia="zh-CN"/>
        </w:rPr>
      </w:pPr>
      <w:r>
        <w:rPr>
          <w:rFonts w:hint="eastAsia" w:ascii="宋体" w:hAnsi="宋体" w:cs="宋体"/>
          <w:b/>
          <w:color w:val="auto"/>
          <w:sz w:val="24"/>
          <w:lang w:val="en-US" w:eastAsia="zh-CN"/>
        </w:rPr>
        <w:t>1、功能要求</w:t>
      </w:r>
    </w:p>
    <w:p>
      <w:pPr>
        <w:tabs>
          <w:tab w:val="left" w:pos="0"/>
        </w:tabs>
        <w:ind w:firstLine="528"/>
        <w:rPr>
          <w:rFonts w:ascii="宋体" w:hAnsi="宋体"/>
          <w:color w:val="auto"/>
          <w:spacing w:val="12"/>
        </w:rPr>
      </w:pPr>
      <w:r>
        <w:rPr>
          <w:rFonts w:hint="eastAsia" w:ascii="宋体" w:hAnsi="宋体"/>
          <w:color w:val="auto"/>
          <w:spacing w:val="12"/>
        </w:rPr>
        <w:t>系统：旧住院监控中心设置于新住院楼安防监控室，监控中心沿用原监控电视墙、监控工作站和键盘。服务器及储存设备设置于监控室内安防机柜。</w:t>
      </w:r>
    </w:p>
    <w:p>
      <w:pPr>
        <w:tabs>
          <w:tab w:val="left" w:pos="0"/>
        </w:tabs>
        <w:ind w:firstLine="528"/>
        <w:rPr>
          <w:rFonts w:ascii="宋体" w:hAnsi="宋体"/>
          <w:color w:val="auto"/>
          <w:spacing w:val="12"/>
        </w:rPr>
      </w:pPr>
      <w:r>
        <w:rPr>
          <w:rFonts w:hint="eastAsia" w:ascii="宋体" w:hAnsi="宋体"/>
          <w:color w:val="auto"/>
          <w:spacing w:val="12"/>
        </w:rPr>
        <w:t>点位：主要在建筑物的主要出入口、走廊、楼梯等公共地方设置摄像机。摄像机分辨率2560x1440P，采用智能网交换机的POE供电方式。</w:t>
      </w:r>
    </w:p>
    <w:p>
      <w:pPr>
        <w:tabs>
          <w:tab w:val="left" w:pos="0"/>
        </w:tabs>
        <w:ind w:firstLine="528"/>
        <w:rPr>
          <w:rFonts w:ascii="宋体" w:hAnsi="宋体"/>
          <w:color w:val="auto"/>
          <w:spacing w:val="12"/>
        </w:rPr>
      </w:pPr>
      <w:r>
        <w:rPr>
          <w:rFonts w:hint="eastAsia" w:ascii="宋体" w:hAnsi="宋体"/>
          <w:color w:val="auto"/>
          <w:spacing w:val="12"/>
        </w:rPr>
        <w:t>存储：存储时间不少100天，格式为2560x1440P。</w:t>
      </w:r>
    </w:p>
    <w:p>
      <w:pPr>
        <w:tabs>
          <w:tab w:val="left" w:pos="0"/>
        </w:tabs>
        <w:ind w:firstLine="528"/>
        <w:rPr>
          <w:rFonts w:ascii="宋体" w:hAnsi="宋体"/>
          <w:color w:val="auto"/>
          <w:spacing w:val="12"/>
        </w:rPr>
      </w:pPr>
      <w:r>
        <w:rPr>
          <w:rFonts w:hint="eastAsia" w:ascii="宋体" w:hAnsi="宋体"/>
          <w:color w:val="auto"/>
          <w:spacing w:val="12"/>
        </w:rPr>
        <w:t>视频监控系统采用以全数字高清监控系统架构，系统前端采用高清摄像机采集信号，后端通过智能专网传输至后台，并使用IPSAN进行存储。</w:t>
      </w:r>
    </w:p>
    <w:p>
      <w:pPr>
        <w:tabs>
          <w:tab w:val="left" w:pos="0"/>
        </w:tabs>
        <w:ind w:firstLine="528"/>
        <w:rPr>
          <w:rFonts w:ascii="宋体" w:hAnsi="宋体"/>
          <w:color w:val="auto"/>
          <w:spacing w:val="12"/>
        </w:rPr>
      </w:pPr>
      <w:r>
        <w:rPr>
          <w:rFonts w:hint="eastAsia" w:ascii="宋体" w:hAnsi="宋体"/>
          <w:color w:val="auto"/>
          <w:spacing w:val="12"/>
        </w:rPr>
        <w:t>视频安防监控系统中使用的设备必须符合国家法律法规和现行强制性标准的要求，并经法定机构检验或认证合格。</w:t>
      </w:r>
    </w:p>
    <w:p>
      <w:pPr>
        <w:tabs>
          <w:tab w:val="left" w:pos="0"/>
        </w:tabs>
        <w:ind w:firstLine="528"/>
        <w:rPr>
          <w:rFonts w:ascii="宋体" w:hAnsi="宋体"/>
          <w:color w:val="auto"/>
          <w:spacing w:val="12"/>
        </w:rPr>
      </w:pPr>
      <w:r>
        <w:rPr>
          <w:rFonts w:hint="eastAsia" w:ascii="宋体" w:hAnsi="宋体"/>
          <w:color w:val="auto"/>
          <w:spacing w:val="12"/>
        </w:rPr>
        <w:t>矩阵切换和数字视频网络虚拟交换／切换模式的系统应具有系统信息存储功能，在供电中断或关机后，对所有编程信息和时间信息均应保持。</w:t>
      </w:r>
    </w:p>
    <w:p>
      <w:pPr>
        <w:tabs>
          <w:tab w:val="left" w:pos="0"/>
        </w:tabs>
        <w:ind w:firstLine="528"/>
        <w:rPr>
          <w:rFonts w:ascii="宋体" w:hAnsi="宋体"/>
          <w:color w:val="auto"/>
          <w:spacing w:val="12"/>
        </w:rPr>
      </w:pPr>
      <w:r>
        <w:rPr>
          <w:rFonts w:hint="eastAsia" w:ascii="宋体" w:hAnsi="宋体"/>
          <w:color w:val="auto"/>
          <w:spacing w:val="12"/>
        </w:rPr>
        <w:t>监视图像信息和声音信息应具有原始完整性。系统记录的图像信息应包含图像编号／地址、记录时的时间和日期。电梯轿厢内的图像显示宜包含电梯轿厢所在楼层信息和运行状态的信息。</w:t>
      </w:r>
    </w:p>
    <w:p>
      <w:pPr>
        <w:tabs>
          <w:tab w:val="left" w:pos="0"/>
        </w:tabs>
        <w:ind w:firstLine="528"/>
        <w:rPr>
          <w:rFonts w:ascii="宋体" w:hAnsi="宋体"/>
          <w:color w:val="auto"/>
          <w:spacing w:val="12"/>
        </w:rPr>
      </w:pPr>
      <w:r>
        <w:rPr>
          <w:rFonts w:hint="eastAsia" w:ascii="宋体" w:hAnsi="宋体"/>
          <w:color w:val="auto"/>
          <w:spacing w:val="12"/>
        </w:rPr>
        <w:t>系统记录的图像信息应包含图像编号/地址、记录的时间和日期。</w:t>
      </w:r>
    </w:p>
    <w:p>
      <w:pPr>
        <w:tabs>
          <w:tab w:val="left" w:pos="0"/>
        </w:tabs>
        <w:ind w:firstLine="528"/>
        <w:rPr>
          <w:rFonts w:ascii="宋体" w:hAnsi="宋体"/>
          <w:color w:val="auto"/>
          <w:spacing w:val="12"/>
        </w:rPr>
      </w:pPr>
      <w:r>
        <w:rPr>
          <w:rFonts w:hint="eastAsia" w:ascii="宋体" w:hAnsi="宋体"/>
          <w:color w:val="auto"/>
          <w:spacing w:val="12"/>
        </w:rPr>
        <w:t>监控系统须预留接口与原有视频监控平台进行对接。</w:t>
      </w:r>
    </w:p>
    <w:p>
      <w:pPr>
        <w:pStyle w:val="20"/>
        <w:numPr>
          <w:ilvl w:val="0"/>
          <w:numId w:val="0"/>
        </w:numPr>
        <w:spacing w:after="0"/>
        <w:ind w:firstLine="482" w:firstLineChars="200"/>
        <w:rPr>
          <w:rFonts w:ascii="宋体" w:hAnsi="宋体" w:cs="宋体"/>
          <w:b/>
          <w:color w:val="auto"/>
          <w:sz w:val="24"/>
          <w:lang w:val="en-US" w:eastAsia="zh-CN"/>
        </w:rPr>
      </w:pPr>
      <w:r>
        <w:rPr>
          <w:rFonts w:ascii="宋体" w:hAnsi="宋体" w:cs="宋体"/>
          <w:b/>
          <w:color w:val="auto"/>
          <w:sz w:val="24"/>
          <w:lang w:val="en-US" w:eastAsia="zh-CN"/>
        </w:rPr>
        <w:t>2</w:t>
      </w:r>
      <w:r>
        <w:rPr>
          <w:rFonts w:hint="eastAsia" w:ascii="宋体" w:hAnsi="宋体" w:cs="宋体"/>
          <w:b/>
          <w:color w:val="auto"/>
          <w:sz w:val="24"/>
          <w:lang w:val="en-US" w:eastAsia="zh-CN"/>
        </w:rPr>
        <w:t>、系统架构要求</w:t>
      </w:r>
    </w:p>
    <w:p>
      <w:pPr>
        <w:tabs>
          <w:tab w:val="left" w:pos="0"/>
        </w:tabs>
        <w:spacing w:before="120" w:after="120"/>
        <w:ind w:firstLine="528"/>
        <w:rPr>
          <w:bCs/>
          <w:color w:val="auto"/>
          <w:spacing w:val="12"/>
        </w:rPr>
      </w:pPr>
      <w:r>
        <w:rPr>
          <w:rFonts w:hint="eastAsia"/>
          <w:bCs/>
          <w:color w:val="auto"/>
          <w:spacing w:val="12"/>
        </w:rPr>
        <w:t>（1）前端部分</w:t>
      </w:r>
    </w:p>
    <w:p>
      <w:pPr>
        <w:tabs>
          <w:tab w:val="left" w:pos="0"/>
        </w:tabs>
        <w:ind w:firstLine="528"/>
        <w:rPr>
          <w:rFonts w:ascii="宋体" w:hAnsi="宋体"/>
          <w:color w:val="auto"/>
          <w:spacing w:val="12"/>
        </w:rPr>
      </w:pPr>
      <w:r>
        <w:rPr>
          <w:rFonts w:hint="eastAsia" w:ascii="宋体" w:hAnsi="宋体"/>
          <w:color w:val="auto"/>
          <w:spacing w:val="12"/>
        </w:rPr>
        <w:t>前端支持多种类型的摄像机接入。系统可配置高清网络枪机、球机等，按照标准的音视频编码格式及标准的通信协议，直接接入网络并进行视频图像的传输。</w:t>
      </w:r>
    </w:p>
    <w:p>
      <w:pPr>
        <w:tabs>
          <w:tab w:val="left" w:pos="0"/>
        </w:tabs>
        <w:ind w:firstLine="528"/>
        <w:rPr>
          <w:rFonts w:ascii="宋体" w:hAnsi="宋体"/>
          <w:color w:val="auto"/>
          <w:spacing w:val="12"/>
        </w:rPr>
      </w:pPr>
      <w:r>
        <w:rPr>
          <w:rFonts w:hint="eastAsia" w:ascii="宋体" w:hAnsi="宋体"/>
          <w:color w:val="auto"/>
          <w:spacing w:val="12"/>
        </w:rPr>
        <w:t>本项目视频监控前端主要有4</w:t>
      </w:r>
      <w:r>
        <w:rPr>
          <w:rFonts w:ascii="宋体" w:hAnsi="宋体"/>
          <w:color w:val="auto"/>
          <w:spacing w:val="12"/>
        </w:rPr>
        <w:t>00</w:t>
      </w:r>
      <w:r>
        <w:rPr>
          <w:rFonts w:hint="eastAsia" w:ascii="宋体" w:hAnsi="宋体"/>
          <w:color w:val="auto"/>
          <w:spacing w:val="12"/>
        </w:rPr>
        <w:t>万像素以上的I</w:t>
      </w:r>
      <w:r>
        <w:rPr>
          <w:rFonts w:ascii="宋体" w:hAnsi="宋体"/>
          <w:color w:val="auto"/>
          <w:spacing w:val="12"/>
        </w:rPr>
        <w:t>P</w:t>
      </w:r>
      <w:r>
        <w:rPr>
          <w:rFonts w:hint="eastAsia" w:ascii="宋体" w:hAnsi="宋体"/>
          <w:color w:val="auto"/>
          <w:spacing w:val="12"/>
        </w:rPr>
        <w:t>网络高清摄像机、I</w:t>
      </w:r>
      <w:r>
        <w:rPr>
          <w:rFonts w:ascii="宋体" w:hAnsi="宋体"/>
          <w:color w:val="auto"/>
          <w:spacing w:val="12"/>
        </w:rPr>
        <w:t>P</w:t>
      </w:r>
      <w:r>
        <w:rPr>
          <w:rFonts w:hint="eastAsia" w:ascii="宋体" w:hAnsi="宋体"/>
          <w:color w:val="auto"/>
          <w:spacing w:val="12"/>
        </w:rPr>
        <w:t>网络高清球机等实现医院内部各个场景2</w:t>
      </w:r>
      <w:r>
        <w:rPr>
          <w:rFonts w:ascii="宋体" w:hAnsi="宋体"/>
          <w:color w:val="auto"/>
          <w:spacing w:val="12"/>
        </w:rPr>
        <w:t>K</w:t>
      </w:r>
      <w:r>
        <w:rPr>
          <w:rFonts w:hint="eastAsia" w:ascii="宋体" w:hAnsi="宋体"/>
          <w:color w:val="auto"/>
          <w:spacing w:val="12"/>
        </w:rPr>
        <w:t>的监控，并且摄像机</w:t>
      </w:r>
      <w:r>
        <w:rPr>
          <w:rFonts w:ascii="宋体" w:hAnsi="宋体"/>
          <w:color w:val="auto"/>
          <w:spacing w:val="12"/>
        </w:rPr>
        <w:t>的不同种类</w:t>
      </w:r>
      <w:r>
        <w:rPr>
          <w:rFonts w:hint="eastAsia" w:ascii="宋体" w:hAnsi="宋体"/>
          <w:color w:val="auto"/>
          <w:spacing w:val="12"/>
        </w:rPr>
        <w:t>不同</w:t>
      </w:r>
      <w:r>
        <w:rPr>
          <w:rFonts w:ascii="宋体" w:hAnsi="宋体"/>
          <w:color w:val="auto"/>
          <w:spacing w:val="12"/>
        </w:rPr>
        <w:t>功能分别</w:t>
      </w:r>
      <w:r>
        <w:rPr>
          <w:rFonts w:hint="eastAsia" w:ascii="宋体" w:hAnsi="宋体"/>
          <w:color w:val="auto"/>
          <w:spacing w:val="12"/>
        </w:rPr>
        <w:t>实现</w:t>
      </w:r>
      <w:r>
        <w:rPr>
          <w:rFonts w:ascii="宋体" w:hAnsi="宋体"/>
          <w:color w:val="auto"/>
          <w:spacing w:val="12"/>
        </w:rPr>
        <w:t>完成对</w:t>
      </w:r>
      <w:r>
        <w:rPr>
          <w:rFonts w:hint="eastAsia" w:ascii="宋体" w:hAnsi="宋体"/>
          <w:color w:val="auto"/>
          <w:spacing w:val="12"/>
        </w:rPr>
        <w:t>医院</w:t>
      </w:r>
      <w:r>
        <w:rPr>
          <w:rFonts w:ascii="宋体" w:hAnsi="宋体"/>
          <w:color w:val="auto"/>
          <w:spacing w:val="12"/>
        </w:rPr>
        <w:t>各监控点位的视频图像采集工作</w:t>
      </w:r>
      <w:r>
        <w:rPr>
          <w:rFonts w:hint="eastAsia" w:ascii="宋体" w:hAnsi="宋体"/>
          <w:color w:val="auto"/>
          <w:spacing w:val="12"/>
        </w:rPr>
        <w:t>，比如人脸识别，人员轨迹跟踪等。</w:t>
      </w:r>
    </w:p>
    <w:p>
      <w:pPr>
        <w:tabs>
          <w:tab w:val="left" w:pos="0"/>
        </w:tabs>
        <w:ind w:firstLine="528"/>
        <w:rPr>
          <w:rFonts w:ascii="宋体" w:hAnsi="宋体"/>
          <w:color w:val="auto"/>
          <w:spacing w:val="12"/>
        </w:rPr>
      </w:pPr>
      <w:r>
        <w:rPr>
          <w:rFonts w:hint="eastAsia" w:ascii="宋体" w:hAnsi="宋体"/>
          <w:color w:val="auto"/>
          <w:spacing w:val="12"/>
        </w:rPr>
        <w:t>（2）传输网络部分</w:t>
      </w:r>
    </w:p>
    <w:p>
      <w:pPr>
        <w:tabs>
          <w:tab w:val="left" w:pos="0"/>
        </w:tabs>
        <w:ind w:firstLine="528"/>
        <w:rPr>
          <w:rFonts w:ascii="宋体" w:hAnsi="宋体"/>
          <w:color w:val="auto"/>
          <w:spacing w:val="12"/>
        </w:rPr>
      </w:pPr>
      <w:r>
        <w:rPr>
          <w:rFonts w:hint="eastAsia" w:ascii="宋体" w:hAnsi="宋体"/>
          <w:color w:val="auto"/>
          <w:spacing w:val="12"/>
        </w:rPr>
        <w:t>前端与接入交换机之间可通过有线网络或无线网络接入。有线网络中主要包括</w:t>
      </w:r>
      <w:r>
        <w:rPr>
          <w:rFonts w:ascii="宋体" w:hAnsi="宋体"/>
          <w:color w:val="auto"/>
          <w:spacing w:val="12"/>
        </w:rPr>
        <w:t>3</w:t>
      </w:r>
      <w:r>
        <w:rPr>
          <w:rFonts w:hint="eastAsia" w:ascii="宋体" w:hAnsi="宋体"/>
          <w:color w:val="auto"/>
          <w:spacing w:val="12"/>
        </w:rPr>
        <w:t>种方式连接：光纤收发器的点对点光纤接入方式，直接接入交换机方式（距离</w:t>
      </w:r>
      <w:r>
        <w:rPr>
          <w:rFonts w:ascii="宋体" w:hAnsi="宋体"/>
          <w:color w:val="auto"/>
          <w:spacing w:val="12"/>
        </w:rPr>
        <w:t>100</w:t>
      </w:r>
      <w:r>
        <w:rPr>
          <w:rFonts w:hint="eastAsia" w:ascii="宋体" w:hAnsi="宋体"/>
          <w:color w:val="auto"/>
          <w:spacing w:val="12"/>
        </w:rPr>
        <w:t>米以内），点对多点光纤</w:t>
      </w:r>
      <w:r>
        <w:rPr>
          <w:rFonts w:ascii="宋体" w:hAnsi="宋体"/>
          <w:color w:val="auto"/>
          <w:spacing w:val="12"/>
        </w:rPr>
        <w:t>PON</w:t>
      </w:r>
      <w:r>
        <w:rPr>
          <w:rFonts w:hint="eastAsia" w:ascii="宋体" w:hAnsi="宋体"/>
          <w:color w:val="auto"/>
          <w:spacing w:val="12"/>
        </w:rPr>
        <w:t>接入方式，均可将前端信号汇聚至中心的核心交换机。</w:t>
      </w:r>
    </w:p>
    <w:p>
      <w:pPr>
        <w:tabs>
          <w:tab w:val="left" w:pos="0"/>
        </w:tabs>
        <w:ind w:firstLine="528"/>
        <w:rPr>
          <w:rFonts w:ascii="宋体" w:hAnsi="宋体"/>
          <w:color w:val="auto"/>
          <w:spacing w:val="12"/>
        </w:rPr>
      </w:pPr>
      <w:r>
        <w:rPr>
          <w:rFonts w:hint="eastAsia" w:ascii="宋体" w:hAnsi="宋体"/>
          <w:color w:val="auto"/>
          <w:spacing w:val="12"/>
        </w:rPr>
        <w:t>本项目的摄像头采用网线接入方式，而电梯摄像机则采用无线网桥方式，再接入有线网络系统。</w:t>
      </w:r>
    </w:p>
    <w:p>
      <w:pPr>
        <w:tabs>
          <w:tab w:val="left" w:pos="0"/>
        </w:tabs>
        <w:ind w:firstLine="528"/>
        <w:rPr>
          <w:rFonts w:ascii="宋体" w:hAnsi="宋体"/>
          <w:color w:val="auto"/>
          <w:spacing w:val="12"/>
        </w:rPr>
      </w:pPr>
      <w:r>
        <w:rPr>
          <w:rFonts w:hint="eastAsia" w:ascii="宋体" w:hAnsi="宋体"/>
          <w:color w:val="auto"/>
          <w:spacing w:val="12"/>
        </w:rPr>
        <w:t>（3）监控中心部分</w:t>
      </w:r>
    </w:p>
    <w:p>
      <w:pPr>
        <w:tabs>
          <w:tab w:val="left" w:pos="0"/>
        </w:tabs>
        <w:ind w:firstLine="528"/>
        <w:rPr>
          <w:rFonts w:ascii="宋体" w:hAnsi="宋体"/>
          <w:color w:val="auto"/>
          <w:spacing w:val="12"/>
        </w:rPr>
      </w:pPr>
      <w:r>
        <w:rPr>
          <w:rFonts w:hint="eastAsia" w:ascii="宋体" w:hAnsi="宋体"/>
          <w:color w:val="auto"/>
          <w:spacing w:val="12"/>
        </w:rPr>
        <w:t>监控中心是整个综合安防管理系统的管理核心，实现视频图像资源的汇聚，资源点上图，报警上墙，并对安防资源进行统一管理和调度。</w:t>
      </w:r>
    </w:p>
    <w:p>
      <w:pPr>
        <w:tabs>
          <w:tab w:val="left" w:pos="0"/>
        </w:tabs>
        <w:ind w:firstLine="528"/>
        <w:rPr>
          <w:rFonts w:ascii="宋体" w:hAnsi="宋体"/>
          <w:color w:val="auto"/>
          <w:spacing w:val="12"/>
        </w:rPr>
      </w:pPr>
      <w:r>
        <w:rPr>
          <w:rFonts w:hint="eastAsia" w:ascii="宋体" w:hAnsi="宋体"/>
          <w:color w:val="auto"/>
          <w:spacing w:val="12"/>
        </w:rPr>
        <w:t>其中，存储设备实现视频图像、图片的存储及调用；视频综合平台完成解码上墙和图像的拼接控制；服务器支撑综合管理平台，并通过网络键盘进行视频切换和控制，通过高清大屏实现展现。</w:t>
      </w:r>
    </w:p>
    <w:p>
      <w:pPr>
        <w:tabs>
          <w:tab w:val="left" w:pos="0"/>
        </w:tabs>
        <w:ind w:firstLine="528"/>
        <w:rPr>
          <w:rFonts w:ascii="宋体" w:hAnsi="宋体"/>
          <w:color w:val="auto"/>
          <w:spacing w:val="12"/>
        </w:rPr>
      </w:pPr>
      <w:r>
        <w:rPr>
          <w:rFonts w:hint="eastAsia" w:ascii="宋体" w:hAnsi="宋体"/>
          <w:color w:val="auto"/>
          <w:spacing w:val="12"/>
        </w:rPr>
        <w:t>由于本项目监控中心设置于新住院楼安防监控室，监控中心沿用原监控电视墙、监控工作站和键盘。服务器及储存设备设置于监控室内安防机柜。因此本次暂不设计让视频上墙的设备。</w:t>
      </w:r>
    </w:p>
    <w:p>
      <w:pPr>
        <w:tabs>
          <w:tab w:val="left" w:pos="0"/>
        </w:tabs>
        <w:ind w:firstLine="528"/>
        <w:rPr>
          <w:rFonts w:ascii="宋体" w:hAnsi="宋体"/>
          <w:color w:val="auto"/>
          <w:spacing w:val="12"/>
        </w:rPr>
      </w:pPr>
      <w:r>
        <w:rPr>
          <w:rFonts w:hint="eastAsia" w:ascii="宋体" w:hAnsi="宋体"/>
          <w:color w:val="auto"/>
          <w:spacing w:val="12"/>
        </w:rPr>
        <w:t>监控中心可采用</w:t>
      </w:r>
      <w:r>
        <w:rPr>
          <w:rFonts w:ascii="宋体" w:hAnsi="宋体"/>
          <w:color w:val="auto"/>
          <w:spacing w:val="12"/>
        </w:rPr>
        <w:t>CVR</w:t>
      </w:r>
      <w:r>
        <w:rPr>
          <w:rFonts w:hint="eastAsia" w:ascii="宋体" w:hAnsi="宋体"/>
          <w:color w:val="auto"/>
          <w:spacing w:val="12"/>
        </w:rPr>
        <w:t>或云存储等主流存储模式对高清视频图像进行存储。小型项目或需要前端分布式存储的场景也可以采用NVR方式，解决数据落地问题。采购人可根据实际需要选择不同的存储方式。</w:t>
      </w:r>
    </w:p>
    <w:p>
      <w:pPr>
        <w:tabs>
          <w:tab w:val="left" w:pos="0"/>
        </w:tabs>
        <w:ind w:firstLine="528"/>
        <w:rPr>
          <w:rFonts w:ascii="宋体" w:hAnsi="宋体"/>
          <w:color w:val="auto"/>
          <w:spacing w:val="12"/>
        </w:rPr>
      </w:pPr>
      <w:r>
        <w:rPr>
          <w:rFonts w:hint="eastAsia" w:ascii="宋体" w:hAnsi="宋体"/>
          <w:color w:val="auto"/>
          <w:spacing w:val="12"/>
        </w:rPr>
        <w:t>用C</w:t>
      </w:r>
      <w:r>
        <w:rPr>
          <w:rFonts w:ascii="宋体" w:hAnsi="宋体"/>
          <w:color w:val="auto"/>
          <w:spacing w:val="12"/>
        </w:rPr>
        <w:t>VR</w:t>
      </w:r>
      <w:r>
        <w:rPr>
          <w:rFonts w:hint="eastAsia" w:ascii="宋体" w:hAnsi="宋体"/>
          <w:color w:val="auto"/>
          <w:spacing w:val="12"/>
        </w:rPr>
        <w:t>方式存储方式，存储格式是2560x1440P，存储天数不少于10</w:t>
      </w:r>
      <w:r>
        <w:rPr>
          <w:rFonts w:ascii="宋体" w:hAnsi="宋体"/>
          <w:color w:val="auto"/>
          <w:spacing w:val="12"/>
        </w:rPr>
        <w:t>0</w:t>
      </w:r>
      <w:r>
        <w:rPr>
          <w:rFonts w:hint="eastAsia" w:ascii="宋体" w:hAnsi="宋体"/>
          <w:color w:val="auto"/>
          <w:spacing w:val="12"/>
        </w:rPr>
        <w:t>天。</w:t>
      </w:r>
    </w:p>
    <w:p>
      <w:pPr>
        <w:pStyle w:val="20"/>
        <w:numPr>
          <w:ilvl w:val="0"/>
          <w:numId w:val="0"/>
        </w:numPr>
        <w:spacing w:after="0"/>
        <w:ind w:firstLine="482" w:firstLineChars="200"/>
        <w:rPr>
          <w:rFonts w:ascii="宋体" w:hAnsi="宋体" w:cs="宋体"/>
          <w:b/>
          <w:color w:val="auto"/>
          <w:sz w:val="24"/>
          <w:lang w:val="en-US" w:eastAsia="zh-CN"/>
        </w:rPr>
      </w:pPr>
      <w:r>
        <w:rPr>
          <w:rFonts w:hint="eastAsia" w:ascii="宋体" w:hAnsi="宋体" w:cs="宋体"/>
          <w:b/>
          <w:color w:val="auto"/>
          <w:sz w:val="24"/>
          <w:lang w:val="en-US" w:eastAsia="zh-CN"/>
        </w:rPr>
        <w:t>3、场景要求</w:t>
      </w:r>
    </w:p>
    <w:p>
      <w:pPr>
        <w:tabs>
          <w:tab w:val="left" w:pos="0"/>
        </w:tabs>
        <w:ind w:firstLine="528"/>
        <w:rPr>
          <w:rFonts w:ascii="宋体" w:hAnsi="宋体"/>
          <w:color w:val="auto"/>
          <w:spacing w:val="12"/>
        </w:rPr>
      </w:pPr>
      <w:r>
        <w:rPr>
          <w:rFonts w:hint="eastAsia" w:ascii="宋体" w:hAnsi="宋体"/>
          <w:color w:val="auto"/>
          <w:spacing w:val="12"/>
        </w:rPr>
        <w:t>遵循科学、合理的布点规划理论，以“科学性、实战性、可持续性”为建设目标，构建“块圈严密无缝化、重点区域无遗漏、人车管控线可追踪、智能视频监控无死角”的“围圈、切块、分格、连线、定点”的安防布建模型；</w:t>
      </w:r>
      <w:r>
        <w:rPr>
          <w:rFonts w:ascii="宋体" w:hAnsi="宋体"/>
          <w:color w:val="auto"/>
          <w:spacing w:val="12"/>
        </w:rPr>
        <w:t xml:space="preserve"> </w:t>
      </w:r>
    </w:p>
    <w:p>
      <w:pPr>
        <w:tabs>
          <w:tab w:val="left" w:pos="0"/>
        </w:tabs>
        <w:ind w:firstLine="528"/>
        <w:rPr>
          <w:rFonts w:ascii="宋体" w:hAnsi="宋体"/>
          <w:color w:val="auto"/>
          <w:spacing w:val="12"/>
        </w:rPr>
      </w:pPr>
      <w:r>
        <w:rPr>
          <w:rFonts w:hint="eastAsia" w:ascii="宋体" w:hAnsi="宋体"/>
          <w:color w:val="auto"/>
          <w:spacing w:val="12"/>
        </w:rPr>
        <w:t>在“圈线面点”布建模型建设院区内的智能视频分析系统，实现多角度、多层次立体化综合安防体系，打造协同作战的、有机的、不可割裂的整体防控体系。</w:t>
      </w:r>
    </w:p>
    <w:p>
      <w:pPr>
        <w:pStyle w:val="2"/>
        <w:rPr>
          <w:color w:val="auto"/>
        </w:rPr>
      </w:pPr>
    </w:p>
    <w:p>
      <w:pPr>
        <w:pStyle w:val="2"/>
        <w:spacing w:line="360" w:lineRule="auto"/>
        <w:ind w:firstLine="482" w:firstLineChars="200"/>
        <w:rPr>
          <w:rFonts w:ascii="宋体" w:hAnsi="宋体" w:cs="宋体"/>
          <w:b/>
          <w:color w:val="auto"/>
          <w:sz w:val="24"/>
        </w:rPr>
      </w:pPr>
      <w:r>
        <w:rPr>
          <w:rFonts w:hint="eastAsia" w:ascii="宋体" w:hAnsi="宋体" w:cs="宋体"/>
          <w:b/>
          <w:color w:val="auto"/>
          <w:sz w:val="24"/>
        </w:rPr>
        <w:t>（七）信息发布及IPTV系统：</w:t>
      </w:r>
    </w:p>
    <w:p>
      <w:pPr>
        <w:pStyle w:val="2"/>
        <w:spacing w:line="360" w:lineRule="auto"/>
        <w:ind w:firstLine="480" w:firstLineChars="200"/>
        <w:rPr>
          <w:rFonts w:ascii="宋体" w:hAnsi="宋体" w:cs="宋体"/>
          <w:color w:val="auto"/>
          <w:sz w:val="24"/>
        </w:rPr>
      </w:pPr>
      <w:r>
        <w:rPr>
          <w:rFonts w:hint="eastAsia" w:ascii="宋体" w:hAnsi="宋体" w:cs="宋体"/>
          <w:color w:val="auto"/>
          <w:sz w:val="24"/>
        </w:rPr>
        <w:t>1、信息发布功能要求</w:t>
      </w:r>
    </w:p>
    <w:p>
      <w:pPr>
        <w:pStyle w:val="2"/>
        <w:spacing w:line="360" w:lineRule="auto"/>
        <w:rPr>
          <w:rFonts w:ascii="宋体" w:hAnsi="宋体" w:cstheme="minorBidi"/>
          <w:color w:val="auto"/>
          <w:spacing w:val="12"/>
          <w:kern w:val="2"/>
          <w:sz w:val="24"/>
          <w:szCs w:val="24"/>
        </w:rPr>
      </w:pPr>
      <w:r>
        <w:rPr>
          <w:rFonts w:hint="eastAsia" w:ascii="宋体" w:hAnsi="宋体" w:cstheme="minorBidi"/>
          <w:color w:val="auto"/>
          <w:spacing w:val="12"/>
          <w:kern w:val="2"/>
          <w:sz w:val="24"/>
          <w:szCs w:val="24"/>
        </w:rPr>
        <w:t xml:space="preserve"> </w:t>
      </w:r>
      <w:r>
        <w:rPr>
          <w:rFonts w:ascii="宋体" w:hAnsi="宋体" w:cstheme="minorBidi"/>
          <w:color w:val="auto"/>
          <w:spacing w:val="12"/>
          <w:kern w:val="2"/>
          <w:sz w:val="24"/>
          <w:szCs w:val="24"/>
        </w:rPr>
        <w:t xml:space="preserve">  信息</w:t>
      </w:r>
      <w:r>
        <w:rPr>
          <w:rFonts w:hint="eastAsia" w:ascii="宋体" w:hAnsi="宋体" w:cstheme="minorBidi"/>
          <w:color w:val="auto"/>
          <w:spacing w:val="12"/>
          <w:kern w:val="2"/>
          <w:sz w:val="24"/>
          <w:szCs w:val="24"/>
        </w:rPr>
        <w:t>发布一体机，利用内网完成数据传输，向公众发布信息，系统包括显示、信息发布控制、屏幕分割控制、信息插播等多种功能。可以根据使用需要选购摄像机、录像机、激光视盘、电视信号或彩色扫描仪等作为信息源。</w:t>
      </w:r>
    </w:p>
    <w:p>
      <w:pPr>
        <w:pStyle w:val="2"/>
        <w:spacing w:line="360" w:lineRule="auto"/>
        <w:ind w:firstLine="480" w:firstLineChars="200"/>
        <w:rPr>
          <w:rFonts w:ascii="宋体" w:hAnsi="宋体" w:cs="宋体"/>
          <w:color w:val="auto"/>
          <w:sz w:val="24"/>
        </w:rPr>
      </w:pPr>
      <w:r>
        <w:rPr>
          <w:rFonts w:hint="eastAsia" w:ascii="宋体" w:hAnsi="宋体" w:cs="宋体"/>
          <w:color w:val="auto"/>
          <w:sz w:val="24"/>
        </w:rPr>
        <w:t>2、信息发布</w:t>
      </w:r>
      <w:r>
        <w:rPr>
          <w:rFonts w:ascii="宋体" w:hAnsi="宋体" w:cs="宋体"/>
          <w:color w:val="auto"/>
          <w:sz w:val="24"/>
        </w:rPr>
        <w:t>系统架构</w:t>
      </w:r>
      <w:r>
        <w:rPr>
          <w:rFonts w:hint="eastAsia" w:ascii="宋体" w:hAnsi="宋体" w:cstheme="minorBidi"/>
          <w:color w:val="auto"/>
          <w:spacing w:val="12"/>
          <w:kern w:val="2"/>
          <w:sz w:val="24"/>
          <w:szCs w:val="24"/>
        </w:rPr>
        <w:t>要</w:t>
      </w:r>
      <w:r>
        <w:rPr>
          <w:rFonts w:ascii="宋体" w:hAnsi="宋体" w:cs="宋体"/>
          <w:color w:val="auto"/>
          <w:sz w:val="24"/>
        </w:rPr>
        <w:t>求</w:t>
      </w:r>
    </w:p>
    <w:p>
      <w:pPr>
        <w:pStyle w:val="2"/>
        <w:spacing w:line="360" w:lineRule="auto"/>
        <w:ind w:firstLine="528" w:firstLineChars="200"/>
        <w:rPr>
          <w:rFonts w:ascii="宋体" w:hAnsi="宋体" w:cstheme="minorBidi"/>
          <w:color w:val="auto"/>
          <w:spacing w:val="12"/>
          <w:kern w:val="2"/>
          <w:sz w:val="24"/>
          <w:szCs w:val="24"/>
        </w:rPr>
      </w:pPr>
      <w:r>
        <w:rPr>
          <w:rFonts w:ascii="宋体" w:hAnsi="宋体" w:cstheme="minorBidi"/>
          <w:color w:val="auto"/>
          <w:spacing w:val="12"/>
          <w:kern w:val="2"/>
          <w:sz w:val="24"/>
          <w:szCs w:val="24"/>
        </w:rPr>
        <w:t>系统组成：系统由播控工作站、流媒体服务器、遥距多媒体显控系统软件、控制器、音视频分配器、LCD显示屏以及传输网络组成。传输网络采用物业承载信息网络进行信号传输。</w:t>
      </w:r>
    </w:p>
    <w:p>
      <w:pPr>
        <w:pStyle w:val="2"/>
        <w:spacing w:line="360" w:lineRule="auto"/>
        <w:ind w:firstLine="528" w:firstLineChars="200"/>
        <w:rPr>
          <w:color w:val="auto"/>
        </w:rPr>
      </w:pPr>
      <w:r>
        <w:rPr>
          <w:rFonts w:hint="eastAsia" w:ascii="宋体" w:hAnsi="宋体" w:cstheme="minorBidi"/>
          <w:color w:val="auto"/>
          <w:spacing w:val="12"/>
          <w:kern w:val="2"/>
          <w:sz w:val="24"/>
          <w:szCs w:val="24"/>
        </w:rPr>
        <w:t>3、</w:t>
      </w:r>
      <w:r>
        <w:rPr>
          <w:rFonts w:ascii="宋体" w:hAnsi="宋体" w:cstheme="minorBidi"/>
          <w:color w:val="auto"/>
          <w:spacing w:val="12"/>
          <w:kern w:val="2"/>
          <w:sz w:val="24"/>
          <w:szCs w:val="24"/>
        </w:rPr>
        <w:t>IPTV</w:t>
      </w:r>
      <w:r>
        <w:rPr>
          <w:rFonts w:hint="eastAsia"/>
          <w:color w:val="auto"/>
        </w:rPr>
        <w:t>系统</w:t>
      </w:r>
      <w:r>
        <w:rPr>
          <w:rFonts w:hint="eastAsia" w:ascii="宋体" w:hAnsi="宋体" w:cstheme="minorBidi"/>
          <w:color w:val="auto"/>
          <w:spacing w:val="12"/>
          <w:kern w:val="2"/>
          <w:sz w:val="24"/>
          <w:szCs w:val="24"/>
        </w:rPr>
        <w:t>要</w:t>
      </w:r>
      <w:r>
        <w:rPr>
          <w:rFonts w:hint="eastAsia"/>
          <w:color w:val="auto"/>
        </w:rPr>
        <w:t>求</w:t>
      </w:r>
    </w:p>
    <w:p>
      <w:pPr>
        <w:pStyle w:val="2"/>
        <w:spacing w:line="360" w:lineRule="auto"/>
        <w:ind w:firstLine="528" w:firstLineChars="200"/>
        <w:rPr>
          <w:rFonts w:ascii="宋体" w:hAnsi="宋体" w:cstheme="minorBidi"/>
          <w:color w:val="auto"/>
          <w:spacing w:val="12"/>
          <w:kern w:val="2"/>
          <w:sz w:val="24"/>
          <w:szCs w:val="24"/>
        </w:rPr>
      </w:pPr>
      <w:r>
        <w:rPr>
          <w:rFonts w:hint="eastAsia" w:ascii="宋体" w:hAnsi="宋体" w:cstheme="minorBidi"/>
          <w:color w:val="auto"/>
          <w:spacing w:val="12"/>
          <w:kern w:val="2"/>
          <w:sz w:val="24"/>
          <w:szCs w:val="24"/>
        </w:rPr>
        <w:t>主要在病房及示教室、会议室设置双口光纤面板电视插座。IPTV采用光纤传输方式，在病房、示教室及会议室设置IPTV信息点，前端采用2芯光纤缆敷设至弱电间，由运营商提供光纤链路对接有线电视信号。</w:t>
      </w:r>
    </w:p>
    <w:p>
      <w:pPr>
        <w:pStyle w:val="2"/>
        <w:spacing w:line="360" w:lineRule="auto"/>
        <w:ind w:firstLine="482" w:firstLineChars="200"/>
        <w:rPr>
          <w:rFonts w:ascii="宋体" w:hAnsi="宋体" w:cs="宋体"/>
          <w:b/>
          <w:color w:val="auto"/>
          <w:sz w:val="24"/>
        </w:rPr>
      </w:pPr>
      <w:r>
        <w:rPr>
          <w:rFonts w:hint="eastAsia" w:ascii="宋体" w:hAnsi="宋体" w:cs="宋体"/>
          <w:b/>
          <w:color w:val="auto"/>
          <w:sz w:val="24"/>
        </w:rPr>
        <w:t>（八）建筑设备监控系统：</w:t>
      </w:r>
    </w:p>
    <w:p>
      <w:pPr>
        <w:pStyle w:val="2"/>
        <w:spacing w:line="360" w:lineRule="auto"/>
        <w:ind w:firstLine="528" w:firstLineChars="200"/>
        <w:rPr>
          <w:rFonts w:ascii="宋体" w:hAnsi="宋体" w:cstheme="minorBidi"/>
          <w:color w:val="auto"/>
          <w:spacing w:val="12"/>
          <w:kern w:val="2"/>
          <w:sz w:val="24"/>
          <w:szCs w:val="24"/>
        </w:rPr>
      </w:pPr>
      <w:r>
        <w:rPr>
          <w:rFonts w:hint="eastAsia" w:ascii="宋体" w:hAnsi="宋体" w:cstheme="minorBidi"/>
          <w:color w:val="auto"/>
          <w:spacing w:val="12"/>
          <w:kern w:val="2"/>
          <w:sz w:val="24"/>
          <w:szCs w:val="24"/>
        </w:rPr>
        <w:t>1、系统要求</w:t>
      </w:r>
    </w:p>
    <w:p>
      <w:pPr>
        <w:pStyle w:val="2"/>
        <w:spacing w:line="360" w:lineRule="auto"/>
        <w:ind w:firstLine="480" w:firstLineChars="200"/>
        <w:rPr>
          <w:rFonts w:ascii="宋体" w:hAnsi="宋体" w:cs="宋体"/>
          <w:color w:val="auto"/>
          <w:sz w:val="24"/>
        </w:rPr>
      </w:pPr>
      <w:r>
        <w:rPr>
          <w:rFonts w:hint="eastAsia" w:ascii="宋体" w:hAnsi="宋体" w:cs="宋体"/>
          <w:color w:val="auto"/>
          <w:sz w:val="24"/>
        </w:rPr>
        <w:t>建筑设备监控系统是本项目智能化系统的主要组成部分之一，它通过对建筑内各主要机电设备进行集中监测和遥控，以提高建筑物的现代化管理水平。系统可实现对建筑物内的空调系统设备、通风排风设备、电梯系统、多联机、洁净设备及其他重要的机电设备的自动监测和控制，并收集、记录、保存及管理有关系统的重要信息及数据，达到提高运行效率，保证环境需要，节省能源，节省人力，最大限度安全延长设备寿命的目的。</w:t>
      </w:r>
    </w:p>
    <w:p>
      <w:pPr>
        <w:ind w:firstLine="480"/>
        <w:rPr>
          <w:color w:val="auto"/>
        </w:rPr>
      </w:pPr>
      <w:r>
        <w:rPr>
          <w:rFonts w:hint="eastAsia" w:ascii="宋体" w:hAnsi="宋体"/>
          <w:color w:val="auto"/>
        </w:rPr>
        <w:t>系统监测和控制须包括以下范围：</w:t>
      </w:r>
    </w:p>
    <w:p>
      <w:pPr>
        <w:ind w:firstLine="480"/>
        <w:rPr>
          <w:color w:val="auto"/>
        </w:rPr>
      </w:pPr>
      <w:r>
        <w:rPr>
          <w:rFonts w:hint="eastAsia" w:ascii="宋体" w:hAnsi="宋体"/>
          <w:color w:val="auto"/>
        </w:rPr>
        <w:t>空气处理系统（包括新风机、空调机机组、风柜等设备）</w:t>
      </w:r>
    </w:p>
    <w:p>
      <w:pPr>
        <w:ind w:firstLine="480"/>
        <w:rPr>
          <w:color w:val="auto"/>
        </w:rPr>
      </w:pPr>
      <w:r>
        <w:rPr>
          <w:rFonts w:hint="eastAsia" w:ascii="宋体" w:hAnsi="宋体"/>
          <w:color w:val="auto"/>
        </w:rPr>
        <w:t>送排风系统（包括排风机，送风机等设备）</w:t>
      </w:r>
    </w:p>
    <w:p>
      <w:pPr>
        <w:ind w:firstLine="480"/>
        <w:rPr>
          <w:color w:val="auto"/>
        </w:rPr>
      </w:pPr>
      <w:r>
        <w:rPr>
          <w:rFonts w:hint="eastAsia" w:ascii="宋体" w:hAnsi="宋体"/>
          <w:color w:val="auto"/>
        </w:rPr>
        <w:t>送排风管上的电动密闭阀。</w:t>
      </w:r>
    </w:p>
    <w:p>
      <w:pPr>
        <w:ind w:firstLine="480"/>
        <w:rPr>
          <w:color w:val="auto"/>
        </w:rPr>
      </w:pPr>
      <w:r>
        <w:rPr>
          <w:rFonts w:hint="eastAsia" w:ascii="宋体" w:hAnsi="宋体"/>
          <w:color w:val="auto"/>
        </w:rPr>
        <w:t>负压隔离病房及其他区域的送排风系统的过滤器设置压差检测、报警装置。</w:t>
      </w:r>
    </w:p>
    <w:p>
      <w:pPr>
        <w:pStyle w:val="2"/>
        <w:spacing w:line="360" w:lineRule="auto"/>
        <w:ind w:firstLine="528" w:firstLineChars="200"/>
        <w:rPr>
          <w:color w:val="auto"/>
        </w:rPr>
      </w:pPr>
      <w:r>
        <w:rPr>
          <w:rFonts w:hint="eastAsia" w:ascii="宋体" w:hAnsi="宋体" w:cstheme="minorBidi"/>
          <w:color w:val="auto"/>
          <w:spacing w:val="12"/>
          <w:kern w:val="2"/>
          <w:sz w:val="24"/>
          <w:szCs w:val="24"/>
        </w:rPr>
        <w:t>2、</w:t>
      </w:r>
      <w:bookmarkStart w:id="10" w:name="_Toc1710452149"/>
      <w:r>
        <w:rPr>
          <w:color w:val="auto"/>
        </w:rPr>
        <w:t>系统设计</w:t>
      </w:r>
      <w:bookmarkEnd w:id="10"/>
      <w:r>
        <w:rPr>
          <w:rFonts w:hint="eastAsia"/>
          <w:color w:val="auto"/>
        </w:rPr>
        <w:t>要</w:t>
      </w:r>
      <w:r>
        <w:rPr>
          <w:color w:val="auto"/>
        </w:rPr>
        <w:t>求</w:t>
      </w:r>
    </w:p>
    <w:p>
      <w:pPr>
        <w:ind w:firstLine="480"/>
        <w:rPr>
          <w:rFonts w:ascii="宋体" w:hAnsi="宋体" w:cs="宋体"/>
          <w:color w:val="auto"/>
        </w:rPr>
      </w:pPr>
      <w:r>
        <w:rPr>
          <w:rFonts w:hint="eastAsia" w:ascii="宋体" w:hAnsi="宋体" w:cs="宋体"/>
          <w:color w:val="auto"/>
        </w:rPr>
        <w:t>建筑设备监控系统中央控制室设立建筑设备监控系统管理站，采用标准的TCP/IP联入以太网局域网，通过以太网及相应的通讯接口实现管理站、现场控制器、第三方设备、相关子系统间及上位IBMS系统的数据通信、资源共享和综合管理功能。数据库应支持ODBC，SQL，OPC，DDE，NetDDE网络API函数库。最高级系统报警可直接通过拨号系统联入电话网，将报警信息进行远程传送。数据库可实现分层管理和软件的模块化设计，保证数据访问的安全性。没有得到授权将不能访问系统的任何数据，不同级别的授权，只能访问不同级别的数据。</w:t>
      </w:r>
    </w:p>
    <w:p>
      <w:pPr>
        <w:ind w:firstLine="480"/>
        <w:rPr>
          <w:rFonts w:ascii="宋体" w:hAnsi="宋体" w:cs="宋体"/>
          <w:color w:val="auto"/>
        </w:rPr>
      </w:pPr>
      <w:r>
        <w:rPr>
          <w:rFonts w:hint="eastAsia" w:ascii="宋体" w:hAnsi="宋体" w:cs="宋体"/>
          <w:color w:val="auto"/>
        </w:rPr>
        <w:t>3、控制级网络</w:t>
      </w:r>
    </w:p>
    <w:p>
      <w:pPr>
        <w:ind w:firstLine="480"/>
        <w:rPr>
          <w:rFonts w:ascii="宋体" w:hAnsi="宋体" w:cs="宋体"/>
          <w:color w:val="auto"/>
        </w:rPr>
      </w:pPr>
      <w:r>
        <w:rPr>
          <w:rFonts w:hint="eastAsia" w:ascii="宋体" w:hAnsi="宋体" w:cs="宋体"/>
          <w:color w:val="auto"/>
        </w:rPr>
        <w:t>建筑设备监控系统控制层设备通过BACNET MS/TP总线进行连接，连入网络控制器，从而实现与中央站的数据交换及通讯。系统能实现控制器间的通讯，即同层通讯，便于系统参数的共享及不同控制器间的联动控制。中央可通过网络控制器以信息传送至任何指定的分站。</w:t>
      </w:r>
    </w:p>
    <w:p>
      <w:pPr>
        <w:pStyle w:val="2"/>
        <w:spacing w:line="360" w:lineRule="auto"/>
        <w:ind w:firstLine="440" w:firstLineChars="200"/>
        <w:rPr>
          <w:rFonts w:ascii="宋体" w:hAnsi="宋体" w:cs="宋体"/>
          <w:color w:val="auto"/>
        </w:rPr>
      </w:pPr>
      <w:r>
        <w:rPr>
          <w:rFonts w:hint="eastAsia" w:ascii="宋体" w:hAnsi="宋体" w:cs="宋体"/>
          <w:color w:val="auto"/>
        </w:rPr>
        <w:t>在系统的两层结构中，无论是管理层还是控制层，均须具有同层资源共享功能（Peer to Peer）。在系统主机发生故障时，所有网络控制引擎仍须保持通讯和数据的交换，若网络控制引擎掉线，其控制网络的全部现场控制器之间必须保持点对点无主从的方式进行直接通讯，保障系统不间断的可靠运行。</w:t>
      </w:r>
    </w:p>
    <w:p>
      <w:pPr>
        <w:pStyle w:val="2"/>
        <w:spacing w:line="360" w:lineRule="auto"/>
        <w:ind w:firstLine="482" w:firstLineChars="200"/>
        <w:rPr>
          <w:rFonts w:ascii="宋体" w:hAnsi="宋体" w:cs="宋体"/>
          <w:b/>
          <w:color w:val="auto"/>
          <w:sz w:val="24"/>
        </w:rPr>
      </w:pPr>
      <w:r>
        <w:rPr>
          <w:rFonts w:hint="eastAsia" w:ascii="宋体" w:hAnsi="宋体" w:cs="宋体"/>
          <w:b/>
          <w:color w:val="auto"/>
          <w:sz w:val="24"/>
        </w:rPr>
        <w:t>（九）BIM智慧运维平台：</w:t>
      </w:r>
    </w:p>
    <w:p>
      <w:pPr>
        <w:pStyle w:val="2"/>
        <w:spacing w:line="360" w:lineRule="auto"/>
        <w:ind w:firstLine="480" w:firstLineChars="200"/>
        <w:rPr>
          <w:rFonts w:ascii="宋体" w:hAnsi="宋体" w:cs="宋体"/>
          <w:color w:val="auto"/>
          <w:sz w:val="24"/>
        </w:rPr>
      </w:pPr>
      <w:r>
        <w:rPr>
          <w:rFonts w:hint="eastAsia" w:ascii="宋体" w:hAnsi="宋体" w:cs="宋体"/>
          <w:color w:val="auto"/>
          <w:sz w:val="24"/>
        </w:rPr>
        <w:t>1、系统要求</w:t>
      </w:r>
    </w:p>
    <w:p>
      <w:pPr>
        <w:pStyle w:val="42"/>
        <w:ind w:firstLine="480"/>
        <w:rPr>
          <w:color w:val="auto"/>
        </w:rPr>
      </w:pPr>
      <w:r>
        <w:rPr>
          <w:rFonts w:hint="eastAsia"/>
          <w:color w:val="auto"/>
          <w:lang w:val="en-US"/>
        </w:rPr>
        <w:t>旧</w:t>
      </w:r>
      <w:r>
        <w:rPr>
          <w:rFonts w:hint="eastAsia"/>
          <w:color w:val="auto"/>
        </w:rPr>
        <w:t>住院楼以及感染楼两栋楼的建筑面积共计28719.3平方米，需完成这两栋楼的BIM数据重建，为</w:t>
      </w:r>
      <w:r>
        <w:rPr>
          <w:color w:val="auto"/>
        </w:rPr>
        <w:t>BIM</w:t>
      </w:r>
      <w:r>
        <w:rPr>
          <w:rFonts w:hint="eastAsia"/>
          <w:color w:val="auto"/>
        </w:rPr>
        <w:t>智慧运维管理平台提供全专业可视化数据基础；</w:t>
      </w:r>
    </w:p>
    <w:p>
      <w:pPr>
        <w:pStyle w:val="42"/>
        <w:ind w:firstLine="480"/>
        <w:rPr>
          <w:color w:val="auto"/>
        </w:rPr>
      </w:pPr>
      <w:r>
        <w:rPr>
          <w:rFonts w:hint="eastAsia"/>
          <w:color w:val="auto"/>
        </w:rPr>
        <w:t>基于BIM可视化技术，结合医院的综合运营管理，建立运维综合安全管理数字孪生平台基础；</w:t>
      </w:r>
    </w:p>
    <w:p>
      <w:pPr>
        <w:pStyle w:val="42"/>
        <w:ind w:firstLine="480"/>
        <w:rPr>
          <w:color w:val="auto"/>
        </w:rPr>
      </w:pPr>
      <w:r>
        <w:rPr>
          <w:rFonts w:hint="eastAsia"/>
          <w:color w:val="auto"/>
        </w:rPr>
        <w:t>集成视频监控系统、建筑设备监控系统等系统，建立医院以I</w:t>
      </w:r>
      <w:r>
        <w:rPr>
          <w:color w:val="auto"/>
        </w:rPr>
        <w:t>oT</w:t>
      </w:r>
      <w:r>
        <w:rPr>
          <w:rFonts w:hint="eastAsia"/>
          <w:color w:val="auto"/>
        </w:rPr>
        <w:t>（物联网）为基础的智慧运营安全运行监测网络系统；</w:t>
      </w:r>
    </w:p>
    <w:p>
      <w:pPr>
        <w:pStyle w:val="42"/>
        <w:ind w:firstLine="480"/>
        <w:rPr>
          <w:color w:val="auto"/>
        </w:rPr>
      </w:pPr>
      <w:r>
        <w:rPr>
          <w:rFonts w:hint="eastAsia"/>
          <w:color w:val="auto"/>
        </w:rPr>
        <w:t>建立基于BIM+IoT为基础，结合大数据、商业智能分析的医院</w:t>
      </w:r>
      <w:r>
        <w:rPr>
          <w:color w:val="auto"/>
        </w:rPr>
        <w:t>综合后勤管理总览门户</w:t>
      </w:r>
      <w:r>
        <w:rPr>
          <w:rFonts w:hint="eastAsia"/>
          <w:color w:val="auto"/>
        </w:rPr>
        <w:t>，对医院整体运营状况、安全生产等提供实时、精准、智能化的数字孪生概览信息；</w:t>
      </w:r>
    </w:p>
    <w:p>
      <w:pPr>
        <w:pStyle w:val="2"/>
        <w:spacing w:line="360" w:lineRule="auto"/>
        <w:ind w:firstLine="440" w:firstLineChars="200"/>
        <w:rPr>
          <w:rFonts w:ascii="宋体" w:hAnsi="宋体"/>
          <w:color w:val="auto"/>
        </w:rPr>
      </w:pPr>
      <w:r>
        <w:rPr>
          <w:rFonts w:hint="eastAsia" w:ascii="宋体" w:hAnsi="宋体"/>
          <w:color w:val="auto"/>
        </w:rPr>
        <w:t>基于</w:t>
      </w:r>
      <w:r>
        <w:rPr>
          <w:rFonts w:ascii="宋体" w:hAnsi="宋体"/>
          <w:color w:val="auto"/>
        </w:rPr>
        <w:t>BIM数字孪生平台+IoT（物联网）技术，建立智能可视化医院设备设施和管线全生命周期管理</w:t>
      </w:r>
      <w:r>
        <w:rPr>
          <w:rFonts w:hint="eastAsia" w:ascii="宋体" w:hAnsi="宋体"/>
          <w:color w:val="auto"/>
        </w:rPr>
        <w:t>，保障设备设施的安全运行。</w:t>
      </w:r>
    </w:p>
    <w:p>
      <w:pPr>
        <w:pStyle w:val="2"/>
        <w:spacing w:line="360" w:lineRule="auto"/>
        <w:ind w:firstLine="440" w:firstLineChars="200"/>
        <w:rPr>
          <w:color w:val="auto"/>
          <w:sz w:val="24"/>
          <w:szCs w:val="24"/>
        </w:rPr>
      </w:pPr>
      <w:r>
        <w:rPr>
          <w:rFonts w:hint="eastAsia" w:ascii="宋体" w:hAnsi="宋体"/>
          <w:color w:val="auto"/>
        </w:rPr>
        <w:t>2、</w:t>
      </w:r>
      <w:bookmarkStart w:id="11" w:name="_Toc22547"/>
      <w:bookmarkStart w:id="12" w:name="_Toc1714064658"/>
      <w:r>
        <w:rPr>
          <w:rFonts w:hint="eastAsia"/>
          <w:color w:val="auto"/>
          <w:sz w:val="24"/>
          <w:szCs w:val="24"/>
        </w:rPr>
        <w:t>BIM数据重建及COBie数据整理与录入</w:t>
      </w:r>
      <w:bookmarkEnd w:id="11"/>
      <w:bookmarkEnd w:id="12"/>
      <w:r>
        <w:rPr>
          <w:rFonts w:hint="eastAsia"/>
          <w:color w:val="auto"/>
          <w:sz w:val="24"/>
          <w:szCs w:val="24"/>
        </w:rPr>
        <w:t>要求</w:t>
      </w:r>
    </w:p>
    <w:p>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Chars="0"/>
        <w:rPr>
          <w:rFonts w:ascii="宋体" w:hAnsi="宋体"/>
          <w:color w:val="auto"/>
        </w:rPr>
      </w:pPr>
      <w:r>
        <w:rPr>
          <w:rFonts w:hint="eastAsia" w:ascii="宋体" w:hAnsi="宋体"/>
          <w:color w:val="auto"/>
        </w:rPr>
        <w:t xml:space="preserve"> </w:t>
      </w:r>
      <w:r>
        <w:rPr>
          <w:rFonts w:ascii="宋体" w:hAnsi="宋体"/>
          <w:color w:val="auto"/>
        </w:rPr>
        <w:t xml:space="preserve"> </w:t>
      </w:r>
      <w:r>
        <w:rPr>
          <w:rFonts w:hint="eastAsia" w:ascii="宋体" w:hAnsi="宋体"/>
          <w:color w:val="auto"/>
        </w:rPr>
        <w:t>医院已有的CAD图纸资料，结合现场勘查与核对，完成改建的旧住院楼和感染楼共计28719.3平方米建筑面积的BIM数据重建工作，主要包括建筑结构、新风、视频监控等专业的BIM数据，以满足房屋空间管理、设备设施与管道全生命周期管理以及安防管理可视化管理的数据需求。</w:t>
      </w:r>
    </w:p>
    <w:p>
      <w:pPr>
        <w:pStyle w:val="2"/>
        <w:ind w:firstLine="440" w:firstLineChars="200"/>
        <w:rPr>
          <w:color w:val="auto"/>
        </w:rPr>
      </w:pPr>
      <w:r>
        <w:rPr>
          <w:rFonts w:hint="eastAsia"/>
          <w:color w:val="auto"/>
        </w:rPr>
        <w:t>3、IBMS系统集成</w:t>
      </w:r>
      <w:r>
        <w:rPr>
          <w:rFonts w:hint="eastAsia"/>
          <w:color w:val="auto"/>
          <w:sz w:val="24"/>
          <w:szCs w:val="24"/>
        </w:rPr>
        <w:t>要</w:t>
      </w:r>
      <w:r>
        <w:rPr>
          <w:rFonts w:hint="eastAsia"/>
          <w:color w:val="auto"/>
        </w:rPr>
        <w:t>求</w:t>
      </w:r>
    </w:p>
    <w:p>
      <w:pPr>
        <w:ind w:firstLine="480"/>
        <w:rPr>
          <w:color w:val="auto"/>
        </w:rPr>
      </w:pPr>
      <w:r>
        <w:rPr>
          <w:rFonts w:hint="eastAsia"/>
          <w:color w:val="auto"/>
        </w:rPr>
        <w:t>BIM智慧运维管理平台，是应建立基于BIM全专业可视化数据与物联网技术相关联的基础平台，完成集成的数据基础与数据编码体系，对物联网系统数据和异构系统进行集成与整合，完成统一的空间编码标准、组织机构设置与权限管理、设备设施和管线编码规范等基础数据字典的设置，实现IBMS（智能建筑管理系统）相关数据集成与整合。</w:t>
      </w:r>
    </w:p>
    <w:p>
      <w:pPr>
        <w:ind w:firstLine="480"/>
        <w:rPr>
          <w:color w:val="auto"/>
        </w:rPr>
      </w:pPr>
      <w:r>
        <w:rPr>
          <w:rFonts w:hint="eastAsia"/>
          <w:color w:val="auto"/>
        </w:rPr>
        <w:t>IBMS系统集成清单如下，实施范围：旧住院楼和感染楼。</w:t>
      </w:r>
    </w:p>
    <w:tbl>
      <w:tblPr>
        <w:tblStyle w:val="21"/>
        <w:tblW w:w="8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7"/>
        <w:gridCol w:w="2892"/>
        <w:gridCol w:w="4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97" w:type="dxa"/>
            <w:tcBorders>
              <w:top w:val="single" w:color="auto" w:sz="4" w:space="0"/>
              <w:left w:val="single" w:color="auto" w:sz="4" w:space="0"/>
              <w:bottom w:val="single" w:color="auto" w:sz="4" w:space="0"/>
              <w:right w:val="single" w:color="auto" w:sz="4" w:space="0"/>
            </w:tcBorders>
            <w:shd w:val="clear" w:color="auto" w:fill="D8D8D8"/>
            <w:vAlign w:val="center"/>
          </w:tcPr>
          <w:p>
            <w:pPr>
              <w:pStyle w:val="47"/>
              <w:spacing w:before="31" w:after="31"/>
              <w:rPr>
                <w:color w:val="auto"/>
              </w:rPr>
            </w:pPr>
            <w:r>
              <w:rPr>
                <w:rFonts w:hint="eastAsia"/>
                <w:color w:val="auto"/>
              </w:rPr>
              <w:t>序号</w:t>
            </w:r>
          </w:p>
        </w:tc>
        <w:tc>
          <w:tcPr>
            <w:tcW w:w="2892" w:type="dxa"/>
            <w:tcBorders>
              <w:top w:val="single" w:color="auto" w:sz="4" w:space="0"/>
              <w:left w:val="single" w:color="auto" w:sz="4" w:space="0"/>
              <w:bottom w:val="single" w:color="auto" w:sz="4" w:space="0"/>
              <w:right w:val="single" w:color="auto" w:sz="4" w:space="0"/>
            </w:tcBorders>
            <w:shd w:val="clear" w:color="auto" w:fill="D8D8D8"/>
            <w:vAlign w:val="center"/>
          </w:tcPr>
          <w:p>
            <w:pPr>
              <w:pStyle w:val="47"/>
              <w:spacing w:before="31" w:after="31"/>
              <w:rPr>
                <w:color w:val="auto"/>
              </w:rPr>
            </w:pPr>
            <w:r>
              <w:rPr>
                <w:rFonts w:hint="eastAsia"/>
                <w:color w:val="auto"/>
              </w:rPr>
              <w:t>对接系统</w:t>
            </w:r>
          </w:p>
        </w:tc>
        <w:tc>
          <w:tcPr>
            <w:tcW w:w="4597" w:type="dxa"/>
            <w:tcBorders>
              <w:top w:val="single" w:color="auto" w:sz="4" w:space="0"/>
              <w:left w:val="single" w:color="auto" w:sz="4" w:space="0"/>
              <w:bottom w:val="single" w:color="auto" w:sz="4" w:space="0"/>
              <w:right w:val="single" w:color="auto" w:sz="4" w:space="0"/>
            </w:tcBorders>
            <w:shd w:val="clear" w:color="auto" w:fill="D8D8D8"/>
            <w:vAlign w:val="center"/>
          </w:tcPr>
          <w:p>
            <w:pPr>
              <w:pStyle w:val="47"/>
              <w:spacing w:before="31" w:after="31"/>
              <w:rPr>
                <w:color w:val="auto"/>
              </w:rPr>
            </w:pPr>
            <w:r>
              <w:rPr>
                <w:rFonts w:hint="eastAsia"/>
                <w:color w:val="auto"/>
              </w:rPr>
              <w:t>对接要求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797"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rFonts w:hint="eastAsia"/>
                <w:color w:val="auto"/>
              </w:rPr>
              <w:t>1</w:t>
            </w:r>
          </w:p>
        </w:tc>
        <w:tc>
          <w:tcPr>
            <w:tcW w:w="2892"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rFonts w:hint="eastAsia"/>
                <w:color w:val="auto"/>
              </w:rPr>
              <w:t>视频监控系统</w:t>
            </w:r>
          </w:p>
        </w:tc>
        <w:tc>
          <w:tcPr>
            <w:tcW w:w="4597"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rFonts w:hint="eastAsia"/>
                <w:color w:val="auto"/>
              </w:rPr>
              <w:t>RTSP、SDK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797"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color w:val="auto"/>
              </w:rPr>
              <w:t>2</w:t>
            </w:r>
          </w:p>
        </w:tc>
        <w:tc>
          <w:tcPr>
            <w:tcW w:w="2892"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rFonts w:hint="eastAsia"/>
                <w:color w:val="auto"/>
              </w:rPr>
              <w:t>建筑设备监控系统</w:t>
            </w:r>
          </w:p>
        </w:tc>
        <w:tc>
          <w:tcPr>
            <w:tcW w:w="4597" w:type="dxa"/>
            <w:tcBorders>
              <w:top w:val="single" w:color="auto" w:sz="4" w:space="0"/>
              <w:left w:val="single" w:color="auto" w:sz="4" w:space="0"/>
              <w:bottom w:val="single" w:color="auto" w:sz="4" w:space="0"/>
              <w:right w:val="single" w:color="auto" w:sz="4" w:space="0"/>
            </w:tcBorders>
            <w:vAlign w:val="center"/>
          </w:tcPr>
          <w:p>
            <w:pPr>
              <w:pStyle w:val="47"/>
              <w:spacing w:before="31" w:after="31"/>
              <w:rPr>
                <w:color w:val="auto"/>
              </w:rPr>
            </w:pPr>
            <w:r>
              <w:rPr>
                <w:rFonts w:hint="eastAsia"/>
                <w:color w:val="auto"/>
              </w:rPr>
              <w:t>支持Web Api、WebService、socket TCP、MQTT、OPC等方式对接</w:t>
            </w:r>
          </w:p>
        </w:tc>
      </w:tr>
    </w:tbl>
    <w:p>
      <w:pPr>
        <w:pStyle w:val="2"/>
        <w:rPr>
          <w:color w:val="auto"/>
        </w:rPr>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ind w:firstLine="480"/>
      <w:rPr>
        <w:sz w:val="20"/>
        <w:szCs w:val="20"/>
      </w:rPr>
    </w:pPr>
    <w:r>
      <mc:AlternateContent>
        <mc:Choice Requires="wps">
          <w:drawing>
            <wp:anchor distT="0" distB="0" distL="114300" distR="114300" simplePos="0" relativeHeight="251659264" behindDoc="1" locked="0" layoutInCell="1" allowOverlap="1">
              <wp:simplePos x="0" y="0"/>
              <wp:positionH relativeFrom="page">
                <wp:posOffset>3667760</wp:posOffset>
              </wp:positionH>
              <wp:positionV relativeFrom="page">
                <wp:posOffset>9799320</wp:posOffset>
              </wp:positionV>
              <wp:extent cx="224790" cy="1397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224790" cy="139700"/>
                      </a:xfrm>
                      <a:prstGeom prst="rect">
                        <a:avLst/>
                      </a:prstGeom>
                      <a:noFill/>
                      <a:ln>
                        <a:noFill/>
                      </a:ln>
                    </wps:spPr>
                    <wps:txbx>
                      <w:txbxContent>
                        <w:p>
                          <w:pPr>
                            <w:spacing w:line="204" w:lineRule="exact"/>
                            <w:ind w:left="40" w:firstLine="480"/>
                            <w:jc w:val="left"/>
                            <w:rPr>
                              <w:rFonts w:ascii="Times New Roman" w:hAnsi="Times New Roman" w:eastAsia="Times New Roman" w:cs="Times New Roman"/>
                              <w:sz w:val="18"/>
                              <w:szCs w:val="18"/>
                            </w:rPr>
                          </w:pPr>
                          <w:r>
                            <w:fldChar w:fldCharType="begin"/>
                          </w:r>
                          <w:r>
                            <w:rPr>
                              <w:rFonts w:ascii="Times New Roman"/>
                              <w:sz w:val="18"/>
                            </w:rPr>
                            <w:instrText xml:space="preserve"> PAGE </w:instrText>
                          </w:r>
                          <w:r>
                            <w:fldChar w:fldCharType="separate"/>
                          </w:r>
                          <w:r>
                            <w:rPr>
                              <w:rFonts w:ascii="Times New Roman"/>
                              <w:sz w:val="18"/>
                            </w:rPr>
                            <w:t>16</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88.8pt;margin-top:771.6pt;height:11pt;width:17.7pt;mso-position-horizontal-relative:page;mso-position-vertical-relative:page;z-index:-251657216;mso-width-relative:page;mso-height-relative:page;" filled="f" stroked="f" coordsize="21600,21600" o:gfxdata="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H6kOyrbAAAADQEAAA8AAAAAAAAAAQAgAAAAIgAAAGRycy9kb3ducmV2LnhtbFBL&#10;AQIUABQAAAAIAIdO4kDHJVMhugEAAHMDAAAOAAAAAAAAAAEAIAAAACoBAABkcnMvZTJvRG9jLnht&#10;bFBLBQYAAAAABgAGAFkBAABWBQAAAAA=&#10;">
              <v:fill on="f" focussize="0,0"/>
              <v:stroke on="f"/>
              <v:imagedata o:title=""/>
              <o:lock v:ext="edit" aspectratio="f"/>
              <v:textbox inset="0mm,0mm,0mm,0mm">
                <w:txbxContent>
                  <w:p>
                    <w:pPr>
                      <w:spacing w:line="204" w:lineRule="exact"/>
                      <w:ind w:left="40" w:firstLine="480"/>
                      <w:jc w:val="left"/>
                      <w:rPr>
                        <w:rFonts w:ascii="Times New Roman" w:hAnsi="Times New Roman" w:eastAsia="Times New Roman" w:cs="Times New Roman"/>
                        <w:sz w:val="18"/>
                        <w:szCs w:val="18"/>
                      </w:rPr>
                    </w:pPr>
                    <w:r>
                      <w:fldChar w:fldCharType="begin"/>
                    </w:r>
                    <w:r>
                      <w:rPr>
                        <w:rFonts w:ascii="Times New Roman"/>
                        <w:sz w:val="18"/>
                      </w:rPr>
                      <w:instrText xml:space="preserve"> PAGE </w:instrText>
                    </w:r>
                    <w:r>
                      <w:fldChar w:fldCharType="separate"/>
                    </w:r>
                    <w:r>
                      <w:rPr>
                        <w:rFonts w:ascii="Times New Roman"/>
                        <w:sz w:val="18"/>
                      </w:rPr>
                      <w:t>16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6E71D1"/>
    <w:multiLevelType w:val="singleLevel"/>
    <w:tmpl w:val="DC6E71D1"/>
    <w:lvl w:ilvl="0" w:tentative="0">
      <w:start w:val="1"/>
      <w:numFmt w:val="decimal"/>
      <w:pStyle w:val="7"/>
      <w:lvlText w:val="(%1)"/>
      <w:lvlJc w:val="left"/>
      <w:pPr>
        <w:ind w:left="425" w:hanging="425"/>
      </w:pPr>
      <w:rPr>
        <w:rFonts w:hint="default" w:ascii="宋体" w:hAnsi="宋体" w:eastAsia="宋体" w:cs="宋体"/>
      </w:rPr>
    </w:lvl>
  </w:abstractNum>
  <w:abstractNum w:abstractNumId="1">
    <w:nsid w:val="53BE6FC0"/>
    <w:multiLevelType w:val="multilevel"/>
    <w:tmpl w:val="53BE6FC0"/>
    <w:lvl w:ilvl="0" w:tentative="0">
      <w:start w:val="1"/>
      <w:numFmt w:val="decimal"/>
      <w:pStyle w:val="10"/>
      <w:lvlText w:val="%1. "/>
      <w:lvlJc w:val="left"/>
      <w:pPr>
        <w:tabs>
          <w:tab w:val="left" w:pos="839"/>
        </w:tabs>
        <w:ind w:left="839" w:hanging="419"/>
      </w:pPr>
      <w:rPr>
        <w:rFonts w:hint="eastAsia"/>
      </w:rPr>
    </w:lvl>
    <w:lvl w:ilvl="1" w:tentative="0">
      <w:start w:val="1"/>
      <w:numFmt w:val="upperLetter"/>
      <w:lvlText w:val="%2. "/>
      <w:lvlJc w:val="left"/>
      <w:pPr>
        <w:tabs>
          <w:tab w:val="left" w:pos="1049"/>
        </w:tabs>
        <w:ind w:left="1049" w:hanging="420"/>
      </w:pPr>
      <w:rPr>
        <w:rFonts w:hint="eastAsia"/>
      </w:rPr>
    </w:lvl>
    <w:lvl w:ilvl="2" w:tentative="0">
      <w:start w:val="1"/>
      <w:numFmt w:val="lowerLetter"/>
      <w:lvlText w:val="%3. "/>
      <w:lvlJc w:val="left"/>
      <w:pPr>
        <w:tabs>
          <w:tab w:val="left" w:pos="1259"/>
        </w:tabs>
        <w:ind w:left="1259" w:hanging="420"/>
      </w:pPr>
      <w:rPr>
        <w:rFonts w:hint="eastAsia"/>
      </w:rPr>
    </w:lvl>
    <w:lvl w:ilvl="3" w:tentative="0">
      <w:start w:val="1"/>
      <w:numFmt w:val="lowerLetter"/>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ZmNjMyZDQ0MzIwYWIxNzc1MjFhMzk3YmY3OTM5ODkifQ=="/>
  </w:docVars>
  <w:rsids>
    <w:rsidRoot w:val="00172A27"/>
    <w:rsid w:val="00035C91"/>
    <w:rsid w:val="000A705B"/>
    <w:rsid w:val="001039D4"/>
    <w:rsid w:val="0010511E"/>
    <w:rsid w:val="001138B7"/>
    <w:rsid w:val="00172A27"/>
    <w:rsid w:val="0021259C"/>
    <w:rsid w:val="00264447"/>
    <w:rsid w:val="002E5160"/>
    <w:rsid w:val="00351E26"/>
    <w:rsid w:val="003F6B49"/>
    <w:rsid w:val="00444208"/>
    <w:rsid w:val="00550368"/>
    <w:rsid w:val="005C1E58"/>
    <w:rsid w:val="00626C5D"/>
    <w:rsid w:val="006C5632"/>
    <w:rsid w:val="00710F23"/>
    <w:rsid w:val="007B6D0F"/>
    <w:rsid w:val="007E26B0"/>
    <w:rsid w:val="008625BD"/>
    <w:rsid w:val="008E18BB"/>
    <w:rsid w:val="008E6B50"/>
    <w:rsid w:val="009A3640"/>
    <w:rsid w:val="009D72B9"/>
    <w:rsid w:val="00B332F4"/>
    <w:rsid w:val="00BF0F78"/>
    <w:rsid w:val="00C50240"/>
    <w:rsid w:val="00C72765"/>
    <w:rsid w:val="00C81152"/>
    <w:rsid w:val="00C93286"/>
    <w:rsid w:val="00CF37B8"/>
    <w:rsid w:val="00D31453"/>
    <w:rsid w:val="00DA53AE"/>
    <w:rsid w:val="00E35210"/>
    <w:rsid w:val="00E41793"/>
    <w:rsid w:val="00EA5F0E"/>
    <w:rsid w:val="00F02252"/>
    <w:rsid w:val="00F059B7"/>
    <w:rsid w:val="00F56988"/>
    <w:rsid w:val="010F0F9D"/>
    <w:rsid w:val="01AC3B06"/>
    <w:rsid w:val="01B618AB"/>
    <w:rsid w:val="02E92FB3"/>
    <w:rsid w:val="030C01B9"/>
    <w:rsid w:val="03391357"/>
    <w:rsid w:val="03644DCB"/>
    <w:rsid w:val="03D170B4"/>
    <w:rsid w:val="03E47515"/>
    <w:rsid w:val="042E6715"/>
    <w:rsid w:val="04425FE9"/>
    <w:rsid w:val="04A574A7"/>
    <w:rsid w:val="05A73A48"/>
    <w:rsid w:val="05EE752F"/>
    <w:rsid w:val="068678D2"/>
    <w:rsid w:val="06FC2DC7"/>
    <w:rsid w:val="07765612"/>
    <w:rsid w:val="085442C0"/>
    <w:rsid w:val="088B0EDC"/>
    <w:rsid w:val="08C2594B"/>
    <w:rsid w:val="08F17634"/>
    <w:rsid w:val="08F73670"/>
    <w:rsid w:val="090146C5"/>
    <w:rsid w:val="09554A11"/>
    <w:rsid w:val="096344DC"/>
    <w:rsid w:val="096E7880"/>
    <w:rsid w:val="09B53D7E"/>
    <w:rsid w:val="0AB33731"/>
    <w:rsid w:val="0AE24082"/>
    <w:rsid w:val="0B2C7CC5"/>
    <w:rsid w:val="0B864CD0"/>
    <w:rsid w:val="0BF81693"/>
    <w:rsid w:val="0C2C7CAB"/>
    <w:rsid w:val="0C321039"/>
    <w:rsid w:val="0C81582C"/>
    <w:rsid w:val="0C8B54EF"/>
    <w:rsid w:val="0D215F8C"/>
    <w:rsid w:val="0DA23174"/>
    <w:rsid w:val="0E19381A"/>
    <w:rsid w:val="0EA865EB"/>
    <w:rsid w:val="10C074EB"/>
    <w:rsid w:val="10C53F25"/>
    <w:rsid w:val="10D927E8"/>
    <w:rsid w:val="119558F2"/>
    <w:rsid w:val="11D5049D"/>
    <w:rsid w:val="120806EA"/>
    <w:rsid w:val="139773B6"/>
    <w:rsid w:val="14264FE0"/>
    <w:rsid w:val="14494788"/>
    <w:rsid w:val="1476221F"/>
    <w:rsid w:val="14763522"/>
    <w:rsid w:val="165E2A90"/>
    <w:rsid w:val="17541354"/>
    <w:rsid w:val="17DB4333"/>
    <w:rsid w:val="181B5077"/>
    <w:rsid w:val="18CF7E0C"/>
    <w:rsid w:val="193C7053"/>
    <w:rsid w:val="1940661B"/>
    <w:rsid w:val="19971EA3"/>
    <w:rsid w:val="199D2CCB"/>
    <w:rsid w:val="19A96799"/>
    <w:rsid w:val="19D401F7"/>
    <w:rsid w:val="19E05FC6"/>
    <w:rsid w:val="19F93196"/>
    <w:rsid w:val="1ADD47EC"/>
    <w:rsid w:val="1B3864D2"/>
    <w:rsid w:val="1B77426B"/>
    <w:rsid w:val="1C0718F8"/>
    <w:rsid w:val="1C244422"/>
    <w:rsid w:val="1C562490"/>
    <w:rsid w:val="1CFC0FD3"/>
    <w:rsid w:val="1D61177E"/>
    <w:rsid w:val="1DE14FF0"/>
    <w:rsid w:val="1E4B6EFE"/>
    <w:rsid w:val="1ED405CE"/>
    <w:rsid w:val="20375983"/>
    <w:rsid w:val="203B1E13"/>
    <w:rsid w:val="2127732A"/>
    <w:rsid w:val="22737695"/>
    <w:rsid w:val="232949D3"/>
    <w:rsid w:val="2386422E"/>
    <w:rsid w:val="24086495"/>
    <w:rsid w:val="24393AC1"/>
    <w:rsid w:val="247D584F"/>
    <w:rsid w:val="252E335A"/>
    <w:rsid w:val="2533755C"/>
    <w:rsid w:val="25905735"/>
    <w:rsid w:val="264F7B12"/>
    <w:rsid w:val="26632FE7"/>
    <w:rsid w:val="26924756"/>
    <w:rsid w:val="272A2BE1"/>
    <w:rsid w:val="27707B2D"/>
    <w:rsid w:val="278315E0"/>
    <w:rsid w:val="27990962"/>
    <w:rsid w:val="279F495A"/>
    <w:rsid w:val="27EB411E"/>
    <w:rsid w:val="284303FE"/>
    <w:rsid w:val="284E7D5B"/>
    <w:rsid w:val="28612632"/>
    <w:rsid w:val="28AA3FD9"/>
    <w:rsid w:val="28F21191"/>
    <w:rsid w:val="29B010A3"/>
    <w:rsid w:val="2A1F53CF"/>
    <w:rsid w:val="2A272055"/>
    <w:rsid w:val="2BB2212B"/>
    <w:rsid w:val="2BE81723"/>
    <w:rsid w:val="2C303B44"/>
    <w:rsid w:val="2C332538"/>
    <w:rsid w:val="2C664DA8"/>
    <w:rsid w:val="2C8D11FF"/>
    <w:rsid w:val="2CF850D7"/>
    <w:rsid w:val="2D196F6C"/>
    <w:rsid w:val="2D5269EE"/>
    <w:rsid w:val="2D79041E"/>
    <w:rsid w:val="2D8D75D0"/>
    <w:rsid w:val="2D926F74"/>
    <w:rsid w:val="2DA442F2"/>
    <w:rsid w:val="2EB47841"/>
    <w:rsid w:val="2F166B98"/>
    <w:rsid w:val="2F45405E"/>
    <w:rsid w:val="308B0B94"/>
    <w:rsid w:val="30EF0E8C"/>
    <w:rsid w:val="31296A0C"/>
    <w:rsid w:val="31541CE8"/>
    <w:rsid w:val="31873E34"/>
    <w:rsid w:val="323056CE"/>
    <w:rsid w:val="32D2238B"/>
    <w:rsid w:val="33E7265A"/>
    <w:rsid w:val="33FC702C"/>
    <w:rsid w:val="342173D1"/>
    <w:rsid w:val="34A576A8"/>
    <w:rsid w:val="34F85393"/>
    <w:rsid w:val="351D0BA4"/>
    <w:rsid w:val="359D0A43"/>
    <w:rsid w:val="35B87737"/>
    <w:rsid w:val="35D15BD1"/>
    <w:rsid w:val="35DD7EB2"/>
    <w:rsid w:val="35FC3237"/>
    <w:rsid w:val="370757A2"/>
    <w:rsid w:val="373514BA"/>
    <w:rsid w:val="37AF239E"/>
    <w:rsid w:val="37CE158A"/>
    <w:rsid w:val="380867EB"/>
    <w:rsid w:val="3833057A"/>
    <w:rsid w:val="38732729"/>
    <w:rsid w:val="38BA5404"/>
    <w:rsid w:val="39C003F2"/>
    <w:rsid w:val="39C8218C"/>
    <w:rsid w:val="3A056A4A"/>
    <w:rsid w:val="3AFD443D"/>
    <w:rsid w:val="3AFE6BC3"/>
    <w:rsid w:val="3B0457E2"/>
    <w:rsid w:val="3B533CA4"/>
    <w:rsid w:val="3B5D1267"/>
    <w:rsid w:val="3B912DD7"/>
    <w:rsid w:val="3BE969FA"/>
    <w:rsid w:val="3CC25530"/>
    <w:rsid w:val="3CE31410"/>
    <w:rsid w:val="3D340C22"/>
    <w:rsid w:val="3DAF5796"/>
    <w:rsid w:val="3E0E40B6"/>
    <w:rsid w:val="3E7762B4"/>
    <w:rsid w:val="3EB2553E"/>
    <w:rsid w:val="3F966C0E"/>
    <w:rsid w:val="3FB07C20"/>
    <w:rsid w:val="3FE86E5D"/>
    <w:rsid w:val="40021623"/>
    <w:rsid w:val="400E7DFD"/>
    <w:rsid w:val="40866A50"/>
    <w:rsid w:val="41070410"/>
    <w:rsid w:val="414A1E51"/>
    <w:rsid w:val="41B50C94"/>
    <w:rsid w:val="41EF1EBE"/>
    <w:rsid w:val="42317B75"/>
    <w:rsid w:val="429147CC"/>
    <w:rsid w:val="4336412B"/>
    <w:rsid w:val="43B770D6"/>
    <w:rsid w:val="44BF09B5"/>
    <w:rsid w:val="44FE253B"/>
    <w:rsid w:val="453822DC"/>
    <w:rsid w:val="457943E6"/>
    <w:rsid w:val="46EB698F"/>
    <w:rsid w:val="46F32B98"/>
    <w:rsid w:val="476521A1"/>
    <w:rsid w:val="479E6CA8"/>
    <w:rsid w:val="48C04CFB"/>
    <w:rsid w:val="49974874"/>
    <w:rsid w:val="49C30F9C"/>
    <w:rsid w:val="49D979FF"/>
    <w:rsid w:val="4AFD36D4"/>
    <w:rsid w:val="4B36688F"/>
    <w:rsid w:val="4B584D4F"/>
    <w:rsid w:val="4D513DD1"/>
    <w:rsid w:val="4D7D77F7"/>
    <w:rsid w:val="4DAC519C"/>
    <w:rsid w:val="4DC86B2C"/>
    <w:rsid w:val="4DE145AE"/>
    <w:rsid w:val="4E2A50F1"/>
    <w:rsid w:val="4E347BA2"/>
    <w:rsid w:val="4E533302"/>
    <w:rsid w:val="4F100927"/>
    <w:rsid w:val="4F817489"/>
    <w:rsid w:val="4F9308C5"/>
    <w:rsid w:val="50577CF3"/>
    <w:rsid w:val="514B6935"/>
    <w:rsid w:val="521D6C5B"/>
    <w:rsid w:val="526B2168"/>
    <w:rsid w:val="52841A97"/>
    <w:rsid w:val="52AF02A0"/>
    <w:rsid w:val="52BD5170"/>
    <w:rsid w:val="52EE187E"/>
    <w:rsid w:val="537C305B"/>
    <w:rsid w:val="53AC47FA"/>
    <w:rsid w:val="54260108"/>
    <w:rsid w:val="54264DB4"/>
    <w:rsid w:val="54F46459"/>
    <w:rsid w:val="54FF7E72"/>
    <w:rsid w:val="556C32D1"/>
    <w:rsid w:val="557355CF"/>
    <w:rsid w:val="55F10BEA"/>
    <w:rsid w:val="5601323C"/>
    <w:rsid w:val="563723CE"/>
    <w:rsid w:val="568B3C91"/>
    <w:rsid w:val="56975155"/>
    <w:rsid w:val="56B53529"/>
    <w:rsid w:val="57476D14"/>
    <w:rsid w:val="578515EA"/>
    <w:rsid w:val="57B43C7D"/>
    <w:rsid w:val="58393B61"/>
    <w:rsid w:val="5B305CCF"/>
    <w:rsid w:val="5BF00A02"/>
    <w:rsid w:val="5C8A2498"/>
    <w:rsid w:val="5D1817B1"/>
    <w:rsid w:val="5D3F65B0"/>
    <w:rsid w:val="5D485594"/>
    <w:rsid w:val="5E0E31C8"/>
    <w:rsid w:val="5E430CC2"/>
    <w:rsid w:val="5F5319A8"/>
    <w:rsid w:val="5F712FFE"/>
    <w:rsid w:val="5FBD1B99"/>
    <w:rsid w:val="614C3307"/>
    <w:rsid w:val="618E2292"/>
    <w:rsid w:val="61955E0D"/>
    <w:rsid w:val="62114B05"/>
    <w:rsid w:val="63B1354D"/>
    <w:rsid w:val="63CA50AA"/>
    <w:rsid w:val="64161F55"/>
    <w:rsid w:val="646625F9"/>
    <w:rsid w:val="64B8521D"/>
    <w:rsid w:val="64EF09EB"/>
    <w:rsid w:val="650B1A71"/>
    <w:rsid w:val="655515AF"/>
    <w:rsid w:val="65595A27"/>
    <w:rsid w:val="656565D8"/>
    <w:rsid w:val="65A370BE"/>
    <w:rsid w:val="66644AA5"/>
    <w:rsid w:val="66A16817"/>
    <w:rsid w:val="674A16B3"/>
    <w:rsid w:val="67D6669B"/>
    <w:rsid w:val="680227E3"/>
    <w:rsid w:val="6823092B"/>
    <w:rsid w:val="683C31A1"/>
    <w:rsid w:val="68441DDA"/>
    <w:rsid w:val="688E0789"/>
    <w:rsid w:val="68CF1F73"/>
    <w:rsid w:val="68F123F5"/>
    <w:rsid w:val="69163451"/>
    <w:rsid w:val="69423C5E"/>
    <w:rsid w:val="696E54DC"/>
    <w:rsid w:val="697414BE"/>
    <w:rsid w:val="69AF24F6"/>
    <w:rsid w:val="69E824A6"/>
    <w:rsid w:val="6A1A023F"/>
    <w:rsid w:val="6B6647A4"/>
    <w:rsid w:val="6BC35D71"/>
    <w:rsid w:val="6CD172A4"/>
    <w:rsid w:val="6CD51AE5"/>
    <w:rsid w:val="6D595BC5"/>
    <w:rsid w:val="6D611D5A"/>
    <w:rsid w:val="6D825D40"/>
    <w:rsid w:val="6DB14A8F"/>
    <w:rsid w:val="6DCD0FA0"/>
    <w:rsid w:val="6DFB3AB9"/>
    <w:rsid w:val="6E322813"/>
    <w:rsid w:val="6E7D5860"/>
    <w:rsid w:val="6F19624E"/>
    <w:rsid w:val="6F3C7A23"/>
    <w:rsid w:val="6F726B6A"/>
    <w:rsid w:val="701E2827"/>
    <w:rsid w:val="707235B2"/>
    <w:rsid w:val="72914E8F"/>
    <w:rsid w:val="73FE4CA3"/>
    <w:rsid w:val="745727B9"/>
    <w:rsid w:val="74B14009"/>
    <w:rsid w:val="753D063D"/>
    <w:rsid w:val="75F94007"/>
    <w:rsid w:val="764D5571"/>
    <w:rsid w:val="7689644C"/>
    <w:rsid w:val="78203EB1"/>
    <w:rsid w:val="787A1B78"/>
    <w:rsid w:val="78984D65"/>
    <w:rsid w:val="78C51138"/>
    <w:rsid w:val="7990561A"/>
    <w:rsid w:val="79DF0BD6"/>
    <w:rsid w:val="7A1940E8"/>
    <w:rsid w:val="7A1C38BF"/>
    <w:rsid w:val="7A2B68F9"/>
    <w:rsid w:val="7ACF47A6"/>
    <w:rsid w:val="7AD1051F"/>
    <w:rsid w:val="7AE24073"/>
    <w:rsid w:val="7AE279A0"/>
    <w:rsid w:val="7B0408F4"/>
    <w:rsid w:val="7B075EAB"/>
    <w:rsid w:val="7B1D7C08"/>
    <w:rsid w:val="7BAA06B4"/>
    <w:rsid w:val="7BB82442"/>
    <w:rsid w:val="7C3F4484"/>
    <w:rsid w:val="7C6C77D2"/>
    <w:rsid w:val="7C927C50"/>
    <w:rsid w:val="7CB65C1E"/>
    <w:rsid w:val="7D0B6E91"/>
    <w:rsid w:val="7D2565C3"/>
    <w:rsid w:val="7D731D61"/>
    <w:rsid w:val="7D747B7A"/>
    <w:rsid w:val="7DDF284E"/>
    <w:rsid w:val="7DEE0941"/>
    <w:rsid w:val="7E0C496D"/>
    <w:rsid w:val="7E4B6207"/>
    <w:rsid w:val="7E753E68"/>
    <w:rsid w:val="7EA757F0"/>
    <w:rsid w:val="7EF63C59"/>
    <w:rsid w:val="7F593BA8"/>
    <w:rsid w:val="7FC23D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0" w:semiHidden="0" w:name="heading 3"/>
    <w:lsdException w:qFormat="1" w:uiPriority="0" w:name="heading 4"/>
    <w:lsdException w:qFormat="1"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iPriority="99"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eastAsia="宋体" w:asciiTheme="minorHAnsi" w:hAnsiTheme="minorHAnsi" w:cstheme="minorBidi"/>
      <w:kern w:val="2"/>
      <w:sz w:val="24"/>
      <w:szCs w:val="24"/>
      <w:lang w:val="en-US" w:eastAsia="zh-CN" w:bidi="ar-SA"/>
    </w:rPr>
  </w:style>
  <w:style w:type="paragraph" w:styleId="3">
    <w:name w:val="heading 1"/>
    <w:basedOn w:val="1"/>
    <w:next w:val="1"/>
    <w:qFormat/>
    <w:uiPriority w:val="0"/>
    <w:pPr>
      <w:keepNext/>
      <w:keepLines/>
      <w:pageBreakBefore/>
      <w:pBdr>
        <w:top w:val="none" w:color="000000" w:sz="0" w:space="3"/>
        <w:left w:val="none" w:color="000000" w:sz="0" w:space="3"/>
        <w:bottom w:val="none" w:color="000000" w:sz="0" w:space="3"/>
        <w:right w:val="none" w:color="000000" w:sz="0" w:space="3"/>
        <w:between w:val="none" w:color="000000" w:sz="0" w:space="0"/>
      </w:pBdr>
      <w:ind w:firstLine="0" w:firstLineChars="0"/>
      <w:jc w:val="center"/>
      <w:outlineLvl w:val="0"/>
    </w:pPr>
    <w:rPr>
      <w:rFonts w:ascii="宋体" w:hAnsi="宋体" w:cs="宋体"/>
      <w:b/>
      <w:bCs/>
      <w:kern w:val="1"/>
      <w:sz w:val="30"/>
      <w:szCs w:val="44"/>
    </w:rPr>
  </w:style>
  <w:style w:type="paragraph" w:styleId="4">
    <w:name w:val="heading 2"/>
    <w:basedOn w:val="1"/>
    <w:next w:val="1"/>
    <w:unhideWhenUsed/>
    <w:qFormat/>
    <w:uiPriority w:val="0"/>
    <w:pPr>
      <w:keepNext/>
      <w:keepLines/>
      <w:ind w:firstLine="0" w:firstLineChars="0"/>
      <w:outlineLvl w:val="1"/>
    </w:pPr>
    <w:rPr>
      <w:rFonts w:asciiTheme="majorHAnsi" w:hAnsiTheme="majorHAnsi" w:cstheme="majorBidi"/>
      <w:b/>
      <w:bCs/>
      <w:szCs w:val="32"/>
    </w:rPr>
  </w:style>
  <w:style w:type="paragraph" w:styleId="5">
    <w:name w:val="heading 3"/>
    <w:basedOn w:val="1"/>
    <w:next w:val="1"/>
    <w:link w:val="43"/>
    <w:qFormat/>
    <w:uiPriority w:val="0"/>
    <w:pPr>
      <w:keepNext/>
      <w:keepLines/>
      <w:spacing w:before="260" w:after="260" w:line="413" w:lineRule="auto"/>
      <w:outlineLvl w:val="2"/>
    </w:pPr>
    <w:rPr>
      <w:b/>
      <w:sz w:val="32"/>
    </w:rPr>
  </w:style>
  <w:style w:type="paragraph" w:styleId="6">
    <w:name w:val="heading 4"/>
    <w:basedOn w:val="1"/>
    <w:next w:val="1"/>
    <w:link w:val="44"/>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2">
    <w:name w:val="Default Paragraph Font"/>
    <w:semiHidden/>
    <w:unhideWhenUsed/>
    <w:uiPriority w:val="1"/>
  </w:style>
  <w:style w:type="table" w:default="1" w:styleId="21">
    <w:name w:val="Normal Table"/>
    <w:semiHidden/>
    <w:unhideWhenUsed/>
    <w:uiPriority w:val="99"/>
    <w:tblPr>
      <w:tblCellMar>
        <w:top w:w="0" w:type="dxa"/>
        <w:left w:w="108" w:type="dxa"/>
        <w:bottom w:w="0" w:type="dxa"/>
        <w:right w:w="108" w:type="dxa"/>
      </w:tblCellMar>
    </w:tblPr>
  </w:style>
  <w:style w:type="paragraph" w:customStyle="1" w:styleId="2">
    <w:name w:val="无间隔1"/>
    <w:qFormat/>
    <w:uiPriority w:val="0"/>
    <w:rPr>
      <w:rFonts w:ascii="Times New Roman" w:hAnsi="Times New Roman" w:eastAsia="宋体" w:cs="Times New Roman"/>
      <w:sz w:val="22"/>
      <w:szCs w:val="22"/>
      <w:lang w:val="en-US" w:eastAsia="zh-CN" w:bidi="ar-SA"/>
    </w:rPr>
  </w:style>
  <w:style w:type="paragraph" w:styleId="7">
    <w:name w:val="List Number 2"/>
    <w:basedOn w:val="1"/>
    <w:unhideWhenUsed/>
    <w:qFormat/>
    <w:uiPriority w:val="99"/>
    <w:pPr>
      <w:numPr>
        <w:ilvl w:val="0"/>
        <w:numId w:val="1"/>
      </w:numPr>
      <w:contextualSpacing/>
    </w:pPr>
    <w:rPr>
      <w:rFonts w:ascii="Times New Roman" w:hAnsi="Times New Roman" w:cs="Times New Roman"/>
      <w:szCs w:val="22"/>
    </w:rPr>
  </w:style>
  <w:style w:type="paragraph" w:styleId="8">
    <w:name w:val="Normal Indent"/>
    <w:basedOn w:val="1"/>
    <w:next w:val="1"/>
    <w:qFormat/>
    <w:uiPriority w:val="0"/>
    <w:pPr>
      <w:ind w:firstLine="420"/>
    </w:pPr>
    <w:rPr>
      <w:szCs w:val="20"/>
    </w:rPr>
  </w:style>
  <w:style w:type="paragraph" w:styleId="9">
    <w:name w:val="annotation text"/>
    <w:basedOn w:val="1"/>
    <w:link w:val="45"/>
    <w:qFormat/>
    <w:uiPriority w:val="0"/>
  </w:style>
  <w:style w:type="paragraph" w:styleId="10">
    <w:name w:val="Body Text"/>
    <w:basedOn w:val="1"/>
    <w:next w:val="1"/>
    <w:qFormat/>
    <w:uiPriority w:val="0"/>
    <w:pPr>
      <w:numPr>
        <w:ilvl w:val="0"/>
        <w:numId w:val="2"/>
      </w:numPr>
      <w:tabs>
        <w:tab w:val="clear" w:pos="839"/>
      </w:tabs>
      <w:spacing w:after="120"/>
      <w:ind w:left="0" w:firstLine="0"/>
    </w:pPr>
  </w:style>
  <w:style w:type="paragraph" w:styleId="11">
    <w:name w:val="Body Text Indent"/>
    <w:basedOn w:val="1"/>
    <w:next w:val="12"/>
    <w:qFormat/>
    <w:uiPriority w:val="0"/>
    <w:pPr>
      <w:ind w:firstLine="420"/>
    </w:pPr>
    <w:rPr>
      <w:rFonts w:ascii="宋体"/>
      <w:kern w:val="0"/>
    </w:rPr>
  </w:style>
  <w:style w:type="paragraph" w:styleId="12">
    <w:name w:val="Body Text First Indent 2"/>
    <w:basedOn w:val="11"/>
    <w:qFormat/>
    <w:uiPriority w:val="0"/>
    <w:pPr>
      <w:spacing w:after="120" w:line="240" w:lineRule="auto"/>
      <w:ind w:left="420" w:leftChars="200" w:firstLine="200"/>
    </w:pPr>
    <w:rPr>
      <w:rFonts w:ascii="Calibri" w:hAnsi="Calibri"/>
      <w:kern w:val="2"/>
      <w:sz w:val="21"/>
    </w:rPr>
  </w:style>
  <w:style w:type="paragraph" w:styleId="13">
    <w:name w:val="Plain Text"/>
    <w:basedOn w:val="1"/>
    <w:qFormat/>
    <w:uiPriority w:val="0"/>
    <w:rPr>
      <w:rFonts w:ascii="宋体" w:hAnsi="Courier New"/>
      <w:kern w:val="0"/>
      <w:sz w:val="20"/>
    </w:rPr>
  </w:style>
  <w:style w:type="paragraph" w:styleId="14">
    <w:name w:val="Balloon Text"/>
    <w:basedOn w:val="1"/>
    <w:link w:val="46"/>
    <w:qFormat/>
    <w:uiPriority w:val="0"/>
    <w:pPr>
      <w:spacing w:line="240" w:lineRule="auto"/>
    </w:pPr>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envelope return"/>
    <w:basedOn w:val="1"/>
    <w:qFormat/>
    <w:uiPriority w:val="0"/>
    <w:pPr>
      <w:snapToGrid w:val="0"/>
    </w:pPr>
    <w:rPr>
      <w:rFonts w:ascii="Arial" w:hAnsi="Arial" w:cs="Times New Roman"/>
    </w:rPr>
  </w:style>
  <w:style w:type="paragraph" w:styleId="1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8">
    <w:name w:val="toc 1"/>
    <w:basedOn w:val="1"/>
    <w:next w:val="1"/>
    <w:qFormat/>
    <w:uiPriority w:val="0"/>
    <w:pPr>
      <w:pBdr>
        <w:top w:val="none" w:color="000000" w:sz="0" w:space="3"/>
        <w:left w:val="none" w:color="000000" w:sz="0" w:space="3"/>
        <w:bottom w:val="none" w:color="000000" w:sz="0" w:space="3"/>
        <w:right w:val="none" w:color="000000" w:sz="0" w:space="3"/>
        <w:between w:val="none" w:color="000000" w:sz="0" w:space="0"/>
      </w:pBdr>
      <w:tabs>
        <w:tab w:val="right" w:leader="dot" w:pos="8302"/>
      </w:tabs>
    </w:pPr>
    <w:rPr>
      <w:rFonts w:ascii="宋体" w:hAnsi="宋体" w:cs="宋体"/>
    </w:rPr>
  </w:style>
  <w:style w:type="paragraph" w:styleId="19">
    <w:name w:val="Normal (Web)"/>
    <w:basedOn w:val="1"/>
    <w:unhideWhenUsed/>
    <w:qFormat/>
    <w:uiPriority w:val="99"/>
    <w:pPr>
      <w:widowControl/>
      <w:spacing w:before="100" w:beforeAutospacing="1" w:after="100" w:afterAutospacing="1"/>
      <w:jc w:val="left"/>
    </w:pPr>
    <w:rPr>
      <w:rFonts w:ascii="宋体" w:hAnsi="宋体" w:cs="宋体"/>
      <w:kern w:val="0"/>
    </w:rPr>
  </w:style>
  <w:style w:type="paragraph" w:styleId="20">
    <w:name w:val="Body Text First Indent"/>
    <w:basedOn w:val="10"/>
    <w:qFormat/>
    <w:uiPriority w:val="0"/>
    <w:pPr>
      <w:widowControl/>
      <w:tabs>
        <w:tab w:val="left" w:pos="839"/>
      </w:tabs>
      <w:spacing w:before="120"/>
      <w:ind w:left="839" w:hanging="419"/>
    </w:pPr>
    <w:rPr>
      <w:rFonts w:ascii="Arial" w:hAnsi="Arial" w:cs="Times New Roman"/>
      <w:sz w:val="28"/>
      <w:szCs w:val="28"/>
      <w:lang w:val="en-GB" w:eastAsia="fr-FR"/>
    </w:rPr>
  </w:style>
  <w:style w:type="character" w:styleId="23">
    <w:name w:val="annotation reference"/>
    <w:qFormat/>
    <w:uiPriority w:val="99"/>
    <w:rPr>
      <w:rFonts w:ascii="Verdana" w:hAnsi="Verdana" w:eastAsia="宋体"/>
      <w:sz w:val="21"/>
      <w:szCs w:val="21"/>
      <w:lang w:val="en-US" w:eastAsia="en-US" w:bidi="ar-SA"/>
    </w:rPr>
  </w:style>
  <w:style w:type="paragraph" w:customStyle="1" w:styleId="24">
    <w:name w:val="Table Paragraph"/>
    <w:basedOn w:val="1"/>
    <w:qFormat/>
    <w:uiPriority w:val="1"/>
  </w:style>
  <w:style w:type="character" w:customStyle="1" w:styleId="25">
    <w:name w:val="Hyperlink.0"/>
    <w:basedOn w:val="26"/>
    <w:qFormat/>
    <w:uiPriority w:val="0"/>
    <w:rPr>
      <w:rFonts w:ascii="宋体" w:hAnsi="宋体" w:eastAsia="宋体" w:cs="宋体"/>
      <w:lang w:eastAsia="zh-TW"/>
    </w:rPr>
  </w:style>
  <w:style w:type="character" w:customStyle="1" w:styleId="26">
    <w:name w:val="无"/>
    <w:qFormat/>
    <w:uiPriority w:val="0"/>
  </w:style>
  <w:style w:type="paragraph" w:customStyle="1" w:styleId="27">
    <w:name w:val="正文 A"/>
    <w:next w:val="3"/>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Arial Unicode MS"/>
      <w:kern w:val="1"/>
      <w:sz w:val="24"/>
      <w:szCs w:val="24"/>
      <w:lang w:val="en-US" w:eastAsia="zh-CN" w:bidi="ar-SA"/>
    </w:rPr>
  </w:style>
  <w:style w:type="paragraph" w:styleId="28">
    <w:name w:val="List Paragraph"/>
    <w:basedOn w:val="1"/>
    <w:qFormat/>
    <w:uiPriority w:val="34"/>
    <w:pPr>
      <w:ind w:firstLine="420"/>
    </w:pPr>
    <w:rPr>
      <w:rFonts w:ascii="Calibri" w:hAnsi="Calibri"/>
      <w:szCs w:val="22"/>
    </w:rPr>
  </w:style>
  <w:style w:type="paragraph" w:customStyle="1" w:styleId="29">
    <w:name w:val="样式 标题 3标题 3 Char Char Char + 宋体 四号 加粗 非倾斜 两端对齐 段前: 7.8 磅 ..."/>
    <w:basedOn w:val="5"/>
    <w:qFormat/>
    <w:uiPriority w:val="0"/>
    <w:pPr>
      <w:spacing w:line="360" w:lineRule="auto"/>
    </w:pPr>
    <w:rPr>
      <w:rFonts w:ascii="宋体" w:hAnsi="宋体" w:cs="宋体"/>
    </w:rPr>
  </w:style>
  <w:style w:type="paragraph" w:customStyle="1" w:styleId="30">
    <w:name w:val="样式 正文文字 + 小四 段后: 0 磅 行距: 1.5 倍行距"/>
    <w:basedOn w:val="10"/>
    <w:qFormat/>
    <w:uiPriority w:val="0"/>
    <w:pPr>
      <w:tabs>
        <w:tab w:val="left" w:pos="839"/>
      </w:tabs>
      <w:spacing w:after="0"/>
      <w:ind w:firstLine="480"/>
    </w:pPr>
    <w:rPr>
      <w:rFonts w:cs="宋体"/>
      <w:szCs w:val="22"/>
      <w:lang w:eastAsia="en-US"/>
    </w:rPr>
  </w:style>
  <w:style w:type="character" w:customStyle="1" w:styleId="31">
    <w:name w:val="font31"/>
    <w:qFormat/>
    <w:uiPriority w:val="99"/>
    <w:rPr>
      <w:rFonts w:ascii="宋体" w:hAnsi="宋体" w:eastAsia="宋体" w:cs="宋体"/>
      <w:b/>
      <w:color w:val="000000"/>
      <w:sz w:val="24"/>
      <w:szCs w:val="24"/>
      <w:u w:val="none"/>
    </w:rPr>
  </w:style>
  <w:style w:type="character" w:customStyle="1" w:styleId="32">
    <w:name w:val="p12"/>
    <w:basedOn w:val="22"/>
    <w:qFormat/>
    <w:uiPriority w:val="0"/>
  </w:style>
  <w:style w:type="paragraph" w:customStyle="1" w:styleId="33">
    <w:name w:val="Default"/>
    <w:qFormat/>
    <w:uiPriority w:val="0"/>
    <w:pPr>
      <w:widowControl w:val="0"/>
      <w:autoSpaceDE w:val="0"/>
      <w:autoSpaceDN w:val="0"/>
      <w:adjustRightInd w:val="0"/>
    </w:pPr>
    <w:rPr>
      <w:rFonts w:ascii="等线" w:hAnsi="Calibri" w:eastAsia="等线" w:cs="等线"/>
      <w:color w:val="000000"/>
      <w:sz w:val="24"/>
      <w:szCs w:val="24"/>
      <w:lang w:val="en-US" w:eastAsia="zh-CN" w:bidi="ar-SA"/>
    </w:rPr>
  </w:style>
  <w:style w:type="character" w:customStyle="1" w:styleId="34">
    <w:name w:val="样式 小四"/>
    <w:qFormat/>
    <w:uiPriority w:val="0"/>
    <w:rPr>
      <w:rFonts w:eastAsia="宋体"/>
      <w:spacing w:val="0"/>
      <w:sz w:val="24"/>
    </w:rPr>
  </w:style>
  <w:style w:type="character" w:customStyle="1" w:styleId="35">
    <w:name w:val="NormalCharacter"/>
    <w:qFormat/>
    <w:uiPriority w:val="0"/>
    <w:rPr>
      <w:rFonts w:ascii="Times New Roman" w:hAnsi="Times New Roman" w:eastAsia="宋体" w:cs="Times New Roman"/>
    </w:rPr>
  </w:style>
  <w:style w:type="paragraph" w:customStyle="1" w:styleId="36">
    <w:name w:val="p0"/>
    <w:qFormat/>
    <w:uiPriority w:val="0"/>
    <w:rPr>
      <w:rFonts w:ascii="Times New Roman" w:hAnsi="Times New Roman" w:eastAsia="宋体" w:cs="Times New Roman"/>
      <w:szCs w:val="21"/>
      <w:lang w:val="en-US" w:eastAsia="zh-CN" w:bidi="ar-SA"/>
    </w:rPr>
  </w:style>
  <w:style w:type="character" w:customStyle="1" w:styleId="37">
    <w:name w:val="Other|1_"/>
    <w:basedOn w:val="22"/>
    <w:link w:val="38"/>
    <w:qFormat/>
    <w:uiPriority w:val="0"/>
    <w:rPr>
      <w:rFonts w:ascii="宋体" w:hAnsi="宋体" w:cs="宋体"/>
      <w:sz w:val="22"/>
      <w:szCs w:val="22"/>
      <w:lang w:val="zh-TW" w:eastAsia="zh-TW" w:bidi="zh-TW"/>
    </w:rPr>
  </w:style>
  <w:style w:type="paragraph" w:customStyle="1" w:styleId="38">
    <w:name w:val="Other|1"/>
    <w:basedOn w:val="1"/>
    <w:link w:val="37"/>
    <w:qFormat/>
    <w:uiPriority w:val="0"/>
    <w:pPr>
      <w:spacing w:line="444" w:lineRule="auto"/>
      <w:ind w:firstLine="400" w:firstLineChars="0"/>
      <w:jc w:val="left"/>
    </w:pPr>
    <w:rPr>
      <w:rFonts w:ascii="宋体" w:hAnsi="宋体" w:cs="宋体"/>
      <w:kern w:val="0"/>
      <w:sz w:val="22"/>
      <w:szCs w:val="22"/>
      <w:lang w:val="zh-TW" w:eastAsia="zh-TW" w:bidi="zh-TW"/>
    </w:rPr>
  </w:style>
  <w:style w:type="character" w:customStyle="1" w:styleId="39">
    <w:name w:val="Body text|1_"/>
    <w:basedOn w:val="22"/>
    <w:link w:val="40"/>
    <w:qFormat/>
    <w:uiPriority w:val="0"/>
    <w:rPr>
      <w:rFonts w:ascii="宋体" w:hAnsi="宋体" w:cs="宋体"/>
      <w:sz w:val="22"/>
      <w:szCs w:val="22"/>
      <w:lang w:val="zh-TW" w:eastAsia="zh-TW" w:bidi="zh-TW"/>
    </w:rPr>
  </w:style>
  <w:style w:type="paragraph" w:customStyle="1" w:styleId="40">
    <w:name w:val="Body text|1"/>
    <w:basedOn w:val="1"/>
    <w:link w:val="39"/>
    <w:qFormat/>
    <w:uiPriority w:val="0"/>
    <w:pPr>
      <w:spacing w:line="444" w:lineRule="auto"/>
      <w:ind w:firstLine="400" w:firstLineChars="0"/>
      <w:jc w:val="left"/>
    </w:pPr>
    <w:rPr>
      <w:rFonts w:ascii="宋体" w:hAnsi="宋体" w:cs="宋体"/>
      <w:kern w:val="0"/>
      <w:sz w:val="22"/>
      <w:szCs w:val="22"/>
      <w:lang w:val="zh-TW" w:eastAsia="zh-TW" w:bidi="zh-TW"/>
    </w:rPr>
  </w:style>
  <w:style w:type="character" w:customStyle="1" w:styleId="41">
    <w:name w:val="*正文 Char"/>
    <w:link w:val="42"/>
    <w:qFormat/>
    <w:uiPriority w:val="0"/>
    <w:rPr>
      <w:rFonts w:ascii="宋体" w:hAnsi="宋体"/>
      <w:sz w:val="24"/>
      <w:szCs w:val="24"/>
      <w:lang w:val="zh-CN"/>
    </w:rPr>
  </w:style>
  <w:style w:type="paragraph" w:customStyle="1" w:styleId="42">
    <w:name w:val="*正文"/>
    <w:basedOn w:val="1"/>
    <w:link w:val="41"/>
    <w:qFormat/>
    <w:uiPriority w:val="0"/>
    <w:rPr>
      <w:rFonts w:ascii="宋体" w:hAnsi="宋体" w:cs="Times New Roman"/>
      <w:kern w:val="0"/>
      <w:lang w:val="zh-CN"/>
    </w:rPr>
  </w:style>
  <w:style w:type="character" w:customStyle="1" w:styleId="43">
    <w:name w:val="标题 3 字符"/>
    <w:link w:val="5"/>
    <w:qFormat/>
    <w:uiPriority w:val="9"/>
    <w:rPr>
      <w:rFonts w:asciiTheme="minorHAnsi" w:hAnsiTheme="minorHAnsi" w:cstheme="minorBidi"/>
      <w:b/>
      <w:kern w:val="2"/>
      <w:sz w:val="32"/>
      <w:szCs w:val="24"/>
    </w:rPr>
  </w:style>
  <w:style w:type="character" w:customStyle="1" w:styleId="44">
    <w:name w:val="标题 4 字符"/>
    <w:basedOn w:val="22"/>
    <w:link w:val="6"/>
    <w:semiHidden/>
    <w:qFormat/>
    <w:uiPriority w:val="0"/>
    <w:rPr>
      <w:rFonts w:asciiTheme="majorHAnsi" w:hAnsiTheme="majorHAnsi" w:eastAsiaTheme="majorEastAsia" w:cstheme="majorBidi"/>
      <w:b/>
      <w:bCs/>
      <w:kern w:val="2"/>
      <w:sz w:val="28"/>
      <w:szCs w:val="28"/>
    </w:rPr>
  </w:style>
  <w:style w:type="character" w:customStyle="1" w:styleId="45">
    <w:name w:val="批注文字 字符"/>
    <w:link w:val="9"/>
    <w:qFormat/>
    <w:uiPriority w:val="0"/>
    <w:rPr>
      <w:rFonts w:asciiTheme="minorHAnsi" w:hAnsiTheme="minorHAnsi" w:cstheme="minorBidi"/>
      <w:kern w:val="2"/>
      <w:sz w:val="24"/>
      <w:szCs w:val="24"/>
    </w:rPr>
  </w:style>
  <w:style w:type="character" w:customStyle="1" w:styleId="46">
    <w:name w:val="批注框文本 字符"/>
    <w:basedOn w:val="22"/>
    <w:link w:val="14"/>
    <w:qFormat/>
    <w:uiPriority w:val="0"/>
    <w:rPr>
      <w:rFonts w:asciiTheme="minorHAnsi" w:hAnsiTheme="minorHAnsi" w:cstheme="minorBidi"/>
      <w:kern w:val="2"/>
      <w:sz w:val="18"/>
      <w:szCs w:val="18"/>
    </w:rPr>
  </w:style>
  <w:style w:type="paragraph" w:customStyle="1" w:styleId="47">
    <w:name w:val="表格正文"/>
    <w:basedOn w:val="1"/>
    <w:qFormat/>
    <w:uiPriority w:val="0"/>
    <w:pPr>
      <w:spacing w:before="10" w:beforeLines="10" w:after="10" w:afterLines="10"/>
      <w:ind w:left="24" w:leftChars="10" w:right="24" w:rightChars="10" w:firstLine="0" w:firstLineChars="0"/>
      <w:jc w:val="center"/>
    </w:pPr>
    <w:rPr>
      <w:rFonts w:ascii="Times New Roman" w:hAnsi="Times New Roman" w:cs="Times New Roman"/>
      <w:sz w:val="1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E53215-9DF4-4CAC-8B01-37E0B3BAE190}">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11624</Words>
  <Characters>12319</Characters>
  <Lines>90</Lines>
  <Paragraphs>25</Paragraphs>
  <TotalTime>23</TotalTime>
  <ScaleCrop>false</ScaleCrop>
  <LinksUpToDate>false</LinksUpToDate>
  <CharactersWithSpaces>12363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2023-01-30T01:30:00Z</dcterms:created>
  <dc:creator>李其团</dc:creator>
  <cp:lastModifiedBy>86135</cp:lastModifiedBy>
  <cp:lastPrinted>2021-04-12T01:59:00Z</cp:lastPrinted>
  <dcterms:modified xsi:type="dcterms:W3CDTF">2023-02-01T03:17:37Z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586C632CD7524EEC8D5062B202606016</vt:lpwstr>
  </property>
</Properties>
</file>