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440001-2023-13981</w:t>
      </w:r>
    </w:p>
    <w:p>
      <w:pPr>
        <w:jc w:val="center"/>
      </w:pPr>
      <w:r>
        <w:rPr>
          <w:b/>
          <w:sz w:val="24"/>
        </w:rPr>
        <w:t>采购项目编号：</w:t>
      </w:r>
      <w:r>
        <w:rPr>
          <w:b/>
          <w:sz w:val="24"/>
        </w:rPr>
        <w:t>0877-23GZTP01F263</w:t>
      </w:r>
    </w:p>
    <w:p>
      <w:pPr>
        <w:jc w:val="center"/>
      </w:pPr>
      <w:r>
        <w:rPr>
          <w:b/>
          <w:sz w:val="24"/>
        </w:rPr>
        <w:t>项目名称：</w:t>
      </w:r>
      <w:r>
        <w:rPr>
          <w:b/>
          <w:sz w:val="24"/>
        </w:rPr>
        <w:t>省林业局森林防火和林业安全生产野外监控租赁和运维（2023年）项目（专业基础设施服务）</w:t>
      </w:r>
    </w:p>
    <w:p>
      <w:pPr>
        <w:jc w:val="center"/>
      </w:pPr>
      <w:r>
        <w:rPr>
          <w:b/>
          <w:sz w:val="24"/>
        </w:rPr>
        <w:t>采购人：</w:t>
      </w:r>
      <w:r>
        <w:rPr>
          <w:b/>
          <w:sz w:val="24"/>
        </w:rPr>
        <w:t>广东省森林资源保育中心</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第一章投标邀请</w:t>
      </w:r>
    </w:p>
    <w:p>
      <w:pPr>
        <w:ind w:firstLine="480"/>
      </w:pPr>
      <w:r>
        <w:rPr/>
        <w:t>广东广招招标采购有限公司</w:t>
      </w:r>
      <w:r>
        <w:rPr/>
        <w:t>受</w:t>
      </w:r>
      <w:r>
        <w:rPr/>
        <w:t>广东省森林资源保育中心</w:t>
      </w:r>
      <w:r>
        <w:rPr/>
        <w:t>的委托，采用</w:t>
      </w:r>
      <w:r>
        <w:rPr/>
        <w:t>公开招标</w:t>
      </w:r>
      <w:r>
        <w:rPr/>
        <w:t>方式组织采购</w:t>
      </w:r>
      <w:r>
        <w:rPr/>
        <w:t>省林业局森林防火和林业安全生产野外监控租赁和运维（2023年）项目（专业基础设施服务）</w:t>
      </w:r>
      <w:r>
        <w:rPr/>
        <w:t>。欢迎符合资格条件的国内供应商参加投标。</w:t>
      </w:r>
    </w:p>
    <w:p>
      <w:r>
        <w:rPr>
          <w:b/>
          <w:sz w:val="28"/>
        </w:rPr>
        <w:t>一.项目概述</w:t>
      </w:r>
    </w:p>
    <w:p>
      <w:r>
        <w:rPr>
          <w:b/>
          <w:sz w:val="24"/>
        </w:rPr>
        <w:t>1.名称与编号</w:t>
      </w:r>
    </w:p>
    <w:p>
      <w:pPr>
        <w:ind w:firstLine="480"/>
      </w:pPr>
      <w:r>
        <w:rPr/>
        <w:t>项目名称：</w:t>
      </w:r>
      <w:r>
        <w:rPr/>
        <w:t>省林业局森林防火和林业安全生产野外监控租赁和运维（2023年）项目（专业基础设施服务）</w:t>
      </w:r>
    </w:p>
    <w:p>
      <w:pPr>
        <w:ind w:firstLine="480"/>
      </w:pPr>
      <w:r>
        <w:rPr/>
        <w:t>采购计划编号：</w:t>
      </w:r>
      <w:r>
        <w:rPr/>
        <w:t>440001-2023-13981</w:t>
      </w:r>
    </w:p>
    <w:p>
      <w:pPr>
        <w:ind w:firstLine="480"/>
      </w:pPr>
      <w:r>
        <w:rPr/>
        <w:t>采购项目编号：</w:t>
      </w:r>
      <w:r>
        <w:rPr/>
        <w:t>0877-23GZTP01F263</w:t>
      </w:r>
    </w:p>
    <w:p>
      <w:pPr>
        <w:ind w:firstLine="480"/>
      </w:pPr>
      <w:r>
        <w:rPr/>
        <w:t>采购方式：</w:t>
      </w:r>
      <w:r>
        <w:rPr/>
        <w:t>公开招标</w:t>
      </w:r>
    </w:p>
    <w:p>
      <w:pPr>
        <w:ind w:firstLine="480"/>
      </w:pPr>
      <w:r>
        <w:rPr/>
        <w:t>预算金额：</w:t>
      </w:r>
      <w:r>
        <w:rPr/>
        <w:t>2,763,000.00</w:t>
      </w:r>
      <w:r>
        <w:rPr/>
        <w:t>元</w:t>
      </w:r>
    </w:p>
    <w:p>
      <w:r>
        <w:rPr>
          <w:b/>
          <w:sz w:val="24"/>
        </w:rPr>
        <w:t>2.项目内容及需求情况（采购项目技术规格、参数及要求）</w:t>
      </w:r>
    </w:p>
    <w:p>
      <w:pPr>
        <w:ind w:firstLine="480"/>
      </w:pPr>
    </w:p>
    <w:p/>
    <w:p>
      <w:r>
        <w:rPr/>
        <w:t>采购包1(北斗巡护终端物联网卡租赁服务):</w:t>
      </w:r>
    </w:p>
    <w:p>
      <w:r>
        <w:rPr/>
        <w:t>采购包预算金额：1,487,000.00元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其他专业技术服务</w:t>
            </w:r>
          </w:p>
        </w:tc>
        <w:tc>
          <w:tcPr>
            <w:tcW w:type="dxa" w:w="2136"/>
          </w:tcPr>
          <w:p>
            <w:r>
              <w:rPr/>
              <w:t>北斗巡护终端物联网卡租赁服务</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合同履行期限：自合同签订后起20个日历日内完成29860张物联网卡（至少含12个月，不低于1G/卡/月流量）的供应与调试。</w:t>
      </w:r>
    </w:p>
    <w:p/>
    <w:p>
      <w:r>
        <w:rPr/>
        <w:t>采购包2(林场铁塔及林场通信专线租赁服务):</w:t>
      </w:r>
    </w:p>
    <w:p>
      <w:r>
        <w:rPr/>
        <w:t>采购包预算金额：670,000.00元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其他专业技术服务</w:t>
            </w:r>
          </w:p>
        </w:tc>
        <w:tc>
          <w:tcPr>
            <w:tcW w:type="dxa" w:w="2136"/>
          </w:tcPr>
          <w:p>
            <w:r>
              <w:rPr/>
              <w:t>林场的铁塔租赁</w:t>
            </w:r>
          </w:p>
        </w:tc>
        <w:tc>
          <w:tcPr>
            <w:tcW w:type="dxa" w:w="1187"/>
          </w:tcPr>
          <w:p>
            <w:r>
              <w:rPr/>
              <w:t>1(项)</w:t>
            </w:r>
          </w:p>
        </w:tc>
        <w:tc>
          <w:tcPr>
            <w:tcW w:type="dxa" w:w="1187"/>
          </w:tcPr>
          <w:p>
            <w:r>
              <w:rPr/>
              <w:t>详见第二章</w:t>
            </w:r>
          </w:p>
        </w:tc>
        <w:tc>
          <w:tcPr>
            <w:tcW w:type="dxa" w:w="1187"/>
          </w:tcPr>
          <w:p>
            <w:r>
              <w:rPr/>
              <w:t>否</w:t>
            </w:r>
          </w:p>
        </w:tc>
      </w:tr>
      <w:tr>
        <w:tc>
          <w:tcPr>
            <w:tcW w:type="dxa" w:w="1187"/>
          </w:tcPr>
          <w:p>
            <w:r>
              <w:rPr/>
              <w:t>2-2</w:t>
            </w:r>
          </w:p>
        </w:tc>
        <w:tc>
          <w:tcPr>
            <w:tcW w:type="dxa" w:w="1424"/>
          </w:tcPr>
          <w:p>
            <w:r>
              <w:rPr/>
              <w:t>其他专业技术服务</w:t>
            </w:r>
          </w:p>
        </w:tc>
        <w:tc>
          <w:tcPr>
            <w:tcW w:type="dxa" w:w="2136"/>
          </w:tcPr>
          <w:p>
            <w:r>
              <w:rPr/>
              <w:t>林场通信专线租赁服务</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合同履行期限：林场铁塔租赁：18个月；林场通信专线租赁：约12个月。</w:t>
      </w:r>
    </w:p>
    <w:p/>
    <w:p>
      <w:r>
        <w:rPr/>
        <w:t>采购包3(自然保护区防火专线及自然保护区铁塔租赁服务):</w:t>
      </w:r>
    </w:p>
    <w:p>
      <w:r>
        <w:rPr/>
        <w:t>采购包预算金额：606,000.00元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3-1</w:t>
            </w:r>
          </w:p>
        </w:tc>
        <w:tc>
          <w:tcPr>
            <w:tcW w:type="dxa" w:w="1424"/>
          </w:tcPr>
          <w:p>
            <w:r>
              <w:rPr/>
              <w:t>其他专业技术服务</w:t>
            </w:r>
          </w:p>
        </w:tc>
        <w:tc>
          <w:tcPr>
            <w:tcW w:type="dxa" w:w="2136"/>
          </w:tcPr>
          <w:p>
            <w:r>
              <w:rPr/>
              <w:t>自然保护区防火专线租赁服务</w:t>
            </w:r>
          </w:p>
        </w:tc>
        <w:tc>
          <w:tcPr>
            <w:tcW w:type="dxa" w:w="1187"/>
          </w:tcPr>
          <w:p>
            <w:r>
              <w:rPr/>
              <w:t>1(项)</w:t>
            </w:r>
          </w:p>
        </w:tc>
        <w:tc>
          <w:tcPr>
            <w:tcW w:type="dxa" w:w="1187"/>
          </w:tcPr>
          <w:p>
            <w:r>
              <w:rPr/>
              <w:t>详见第二章</w:t>
            </w:r>
          </w:p>
        </w:tc>
        <w:tc>
          <w:tcPr>
            <w:tcW w:type="dxa" w:w="1187"/>
          </w:tcPr>
          <w:p>
            <w:r>
              <w:rPr/>
              <w:t>否</w:t>
            </w:r>
          </w:p>
        </w:tc>
      </w:tr>
      <w:tr>
        <w:tc>
          <w:tcPr>
            <w:tcW w:type="dxa" w:w="1187"/>
          </w:tcPr>
          <w:p>
            <w:r>
              <w:rPr/>
              <w:t>3-2</w:t>
            </w:r>
          </w:p>
        </w:tc>
        <w:tc>
          <w:tcPr>
            <w:tcW w:type="dxa" w:w="1424"/>
          </w:tcPr>
          <w:p>
            <w:r>
              <w:rPr/>
              <w:t>其他专业技术服务</w:t>
            </w:r>
          </w:p>
        </w:tc>
        <w:tc>
          <w:tcPr>
            <w:tcW w:type="dxa" w:w="2136"/>
          </w:tcPr>
          <w:p>
            <w:r>
              <w:rPr/>
              <w:t>自然保护区铁塔租赁服务</w:t>
            </w:r>
          </w:p>
        </w:tc>
        <w:tc>
          <w:tcPr>
            <w:tcW w:type="dxa" w:w="1187"/>
          </w:tcPr>
          <w:p>
            <w:r>
              <w:rPr/>
              <w:t>1(项)</w:t>
            </w:r>
          </w:p>
        </w:tc>
        <w:tc>
          <w:tcPr>
            <w:tcW w:type="dxa" w:w="1187"/>
          </w:tcPr>
          <w:p>
            <w:r>
              <w:rPr/>
              <w:t>详见第二章</w:t>
            </w:r>
          </w:p>
        </w:tc>
        <w:tc>
          <w:tcPr>
            <w:tcW w:type="dxa" w:w="1187"/>
          </w:tcPr>
          <w:p>
            <w:r>
              <w:rPr/>
              <w:t>否</w:t>
            </w:r>
          </w:p>
        </w:tc>
      </w:tr>
    </w:tbl>
    <w:p/>
    <w:p>
      <w:r>
        <w:rPr/>
        <w:t>本采购包不接受联合体投标</w:t>
      </w:r>
    </w:p>
    <w:p/>
    <w:p>
      <w:r>
        <w:rPr/>
        <w:t>合同履行期限：自然保护区防火专线通信服务周期为12个月（2023年7月1日至2024年6月30日）；自然保护区铁塔租赁服务周期为9个月（2023年10月1日至2024年6月30日）。</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或2022年的年度财务状况报告复印件，或2023年任意1个月的财务状况报告复印件；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采购包1（北斗巡护终端物联网卡租赁服务）：</w:t>
      </w:r>
      <w:r>
        <w:rPr/>
        <w:t>本项目不属于专门面向中小企业采购的项目。仅在评审时对符合条件的小型、微型企业进行价格扣除（监狱企业、残疾人福利性单位视同为小型、微型企业）。</w:t>
      </w:r>
    </w:p>
    <w:p>
      <w:pPr>
        <w:jc w:val="left"/>
      </w:pPr>
    </w:p>
    <w:p>
      <w:r>
        <w:rPr/>
        <w:t>采购包2（林场铁塔及林场通信专线租赁服务）：</w:t>
      </w:r>
      <w:r>
        <w:rPr/>
        <w:t>本项目不属于专门面向中小企业采购的项目。仅在评审时对符合条件的小型、微型企业进行价格扣除（监狱企业、残疾人福利性单位视同为小型、微型企业）。</w:t>
      </w:r>
    </w:p>
    <w:p>
      <w:pPr>
        <w:jc w:val="left"/>
      </w:pPr>
    </w:p>
    <w:p>
      <w:r>
        <w:rPr/>
        <w:t>采购包3（自然保护区防火专线及自然保护区铁塔租赁服务）：</w:t>
      </w:r>
      <w:r>
        <w:rPr/>
        <w:t>本项目不属于专门面向中小企业采购的项目。仅在评审时对符合条件的小型、微型企业进行价格扣除（监狱企业、残疾人福利性单位视同为小型、微型企业）。</w:t>
      </w:r>
    </w:p>
    <w:p/>
    <w:p>
      <w:r>
        <w:rPr>
          <w:b/>
          <w:sz w:val="24"/>
        </w:rPr>
        <w:t>3.本项目特定的资格要求：</w:t>
      </w:r>
    </w:p>
    <w:p>
      <w:pPr>
        <w:ind w:firstLine="480"/>
      </w:pPr>
    </w:p>
    <w:p/>
    <w:p>
      <w:r>
        <w:rPr/>
        <w:t>采购包1（北斗巡护终端物联网卡租赁服务）：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采购包2（林场铁塔及林场通信专线租赁服务）：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采购包3（自然保护区防火专线及自然保护区铁塔租赁服务）：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广东广招招标采购有限公司网（http://www.gztpc.com）。</w:t>
      </w:r>
    </w:p>
    <w:p>
      <w:r>
        <w:rPr>
          <w:b/>
          <w:sz w:val="28"/>
        </w:rPr>
        <w:t>六.本项目联系方式：</w:t>
      </w:r>
    </w:p>
    <w:p>
      <w:r>
        <w:rPr>
          <w:b/>
          <w:sz w:val="24"/>
        </w:rPr>
        <w:t>1.采购人信息</w:t>
      </w:r>
    </w:p>
    <w:p>
      <w:pPr>
        <w:ind w:firstLine="480"/>
      </w:pPr>
      <w:r>
        <w:rPr/>
        <w:t>名称：</w:t>
      </w:r>
      <w:r>
        <w:rPr/>
        <w:t>广东省森林资源保育中心</w:t>
      </w:r>
    </w:p>
    <w:p>
      <w:pPr>
        <w:ind w:firstLine="480"/>
      </w:pPr>
      <w:r>
        <w:rPr/>
        <w:t>地址：</w:t>
      </w:r>
      <w:r>
        <w:rPr/>
        <w:t>中山七路343号</w:t>
      </w:r>
    </w:p>
    <w:p>
      <w:pPr>
        <w:ind w:firstLine="480"/>
      </w:pPr>
      <w:r>
        <w:rPr/>
        <w:t>联系方式：</w:t>
      </w:r>
      <w:r>
        <w:rPr/>
        <w:t>020-81722032</w:t>
      </w:r>
    </w:p>
    <w:p>
      <w:r>
        <w:rPr>
          <w:b/>
          <w:sz w:val="24"/>
        </w:rPr>
        <w:t>2.采购代理机构信息</w:t>
      </w:r>
    </w:p>
    <w:p>
      <w:pPr>
        <w:ind w:firstLine="480"/>
      </w:pPr>
      <w:r>
        <w:rPr/>
        <w:t>名称：</w:t>
      </w:r>
      <w:r>
        <w:rPr/>
        <w:t>广东广招招标采购有限公司</w:t>
      </w:r>
    </w:p>
    <w:p>
      <w:pPr>
        <w:ind w:firstLine="480"/>
      </w:pPr>
      <w:r>
        <w:rPr/>
        <w:t>地址：</w:t>
      </w:r>
      <w:r>
        <w:rPr/>
        <w:t>广州市东风东路745号东山紫园商务大厦2003单元</w:t>
      </w:r>
    </w:p>
    <w:p>
      <w:pPr>
        <w:ind w:firstLine="480"/>
      </w:pPr>
      <w:r>
        <w:rPr/>
        <w:t>联系方式：</w:t>
      </w:r>
      <w:r>
        <w:rPr/>
        <w:t>020-37816286-809</w:t>
      </w:r>
    </w:p>
    <w:p>
      <w:r>
        <w:rPr>
          <w:b/>
          <w:sz w:val="24"/>
        </w:rPr>
        <w:t>3.项目联系方式</w:t>
      </w:r>
    </w:p>
    <w:p>
      <w:pPr>
        <w:ind w:firstLine="480"/>
      </w:pPr>
      <w:r>
        <w:rPr/>
        <w:t>项目联系人：</w:t>
      </w:r>
      <w:r>
        <w:rPr/>
        <w:t>黎工</w:t>
      </w:r>
    </w:p>
    <w:p>
      <w:pPr>
        <w:ind w:firstLine="480"/>
      </w:pPr>
      <w:r>
        <w:rPr/>
        <w:t>电话：</w:t>
      </w:r>
      <w:r>
        <w:rPr/>
        <w:t>020-37816286-809</w:t>
      </w:r>
    </w:p>
    <w:p>
      <w:r>
        <w:rPr>
          <w:b/>
          <w:sz w:val="24"/>
        </w:rPr>
        <w:t>4.技术支持联系方式</w:t>
      </w:r>
    </w:p>
    <w:p>
      <w:pPr>
        <w:ind w:firstLine="480"/>
      </w:pPr>
      <w:r>
        <w:rPr/>
        <w:t>云平台联系方式：020-88696588</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1.本项目分为</w:t>
      </w:r>
      <w:r>
        <w:rPr>
          <w:sz w:val="21"/>
        </w:rPr>
        <w:t>3</w:t>
      </w:r>
      <w:r>
        <w:rPr>
          <w:sz w:val="21"/>
        </w:rPr>
        <w:t>个采购包，具体内容详见以下主要商务要求及附表。</w:t>
      </w:r>
    </w:p>
    <w:p/>
    <w:p>
      <w:pPr>
        <w:ind w:firstLine="480"/>
      </w:pPr>
    </w:p>
    <w:p/>
    <w:p>
      <w:r>
        <w:rPr/>
        <w:t>采购包1（北斗巡护终端物联网卡租赁服务）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自合同签订后起20个日历日内完成29860张物联网卡（至少含12个月，不低于1G/卡/月流量）的供应与调试。</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1期：支付比例75%,签订合同之日起，且在收到中标人提供的有效发票后十五日内，采购人向中标人支付项目合同金额的75%。</w:t>
            </w:r>
          </w:p>
          <w:p/>
          <w:p>
            <w:r>
              <w:rPr/>
              <w:t>2期：支付比例25%,采购人组织评估服务验收通过，且在收到中标人提供的有效发票后十五日内，向中标人支付项目合同金额的25%。 注：1、中标人在每次收取服务费时需向采购人开具项目当地等额的正式税务发票。 ★2、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1期：采购人将按照招标文件要求和投标人响应情况对所有标的物进行验收。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1.报价要求，★（1）项目报价：本采购包采购预算（最高限价）：1487000.00元；报价不得高于采购包的采购预算（最高限价），否则将视为无效投标。 （2）报价要求：供应商报价必须包括设备、运输、安装、调试、检测、验收、培训、技术服务、售后维护、质保期保障等一切支出，并包含关税等所有税费。</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北斗巡护终端物联网卡租赁服务</w:t>
            </w:r>
          </w:p>
        </w:tc>
        <w:tc>
          <w:tcPr>
            <w:tcW w:type="dxa" w:w="933"/>
          </w:tcPr>
          <w:p>
            <w:pPr>
              <w:jc w:val="left"/>
            </w:pPr>
            <w:r>
              <w:rPr/>
              <w:t>项</w:t>
            </w:r>
          </w:p>
        </w:tc>
        <w:tc>
          <w:tcPr>
            <w:tcW w:type="dxa" w:w="933"/>
          </w:tcPr>
          <w:p>
            <w:pPr>
              <w:jc w:val="right"/>
            </w:pPr>
            <w:r>
              <w:rPr/>
              <w:t>1.00</w:t>
            </w:r>
          </w:p>
        </w:tc>
        <w:tc>
          <w:tcPr>
            <w:tcW w:type="dxa" w:w="933"/>
          </w:tcPr>
          <w:p>
            <w:pPr>
              <w:jc w:val="right"/>
            </w:pPr>
            <w:r>
              <w:rPr/>
              <w:t>1,487,000.00</w:t>
            </w:r>
          </w:p>
        </w:tc>
        <w:tc>
          <w:tcPr>
            <w:tcW w:type="dxa" w:w="933"/>
          </w:tcPr>
          <w:p>
            <w:pPr>
              <w:jc w:val="right"/>
            </w:pPr>
            <w:r>
              <w:rPr/>
              <w:t>1,487,000.00</w:t>
            </w:r>
          </w:p>
        </w:tc>
        <w:tc>
          <w:tcPr>
            <w:tcW w:type="dxa" w:w="840"/>
          </w:tcPr>
          <w:p>
            <w:r>
              <w:rPr/>
              <w:t>软件和信息技术服务业</w:t>
            </w:r>
          </w:p>
        </w:tc>
        <w:tc>
          <w:tcPr>
            <w:tcW w:type="dxa" w:w="933"/>
          </w:tcPr>
          <w:p>
            <w:r>
              <w:rPr/>
              <w:t>详见附表一</w:t>
            </w:r>
          </w:p>
        </w:tc>
      </w:tr>
    </w:tbl>
    <w:p/>
    <w:p>
      <w:r>
        <w:rPr>
          <w:b/>
        </w:rPr>
        <w:t>附表</w:t>
      </w:r>
      <w:r>
        <w:rPr>
          <w:b/>
        </w:rPr>
        <w:t>一</w:t>
      </w:r>
      <w:r>
        <w:rPr>
          <w:b/>
        </w:rPr>
        <w:t>：</w:t>
      </w:r>
      <w:r>
        <w:rPr>
          <w:b/>
        </w:rPr>
        <w:t>北斗巡护终端物联网卡租赁服务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 xml:space="preserve"> </w:t>
            </w:r>
          </w:p>
          <w:p>
            <w:pPr>
              <w:jc w:val="both"/>
            </w:pPr>
            <w:r>
              <w:rPr>
                <w:sz w:val="21"/>
              </w:rPr>
              <w:t>一、项目目标：</w:t>
            </w:r>
          </w:p>
          <w:p>
            <w:pPr>
              <w:jc w:val="both"/>
            </w:pPr>
            <w:r>
              <w:rPr>
                <w:sz w:val="21"/>
              </w:rPr>
              <w:t>根据《关于印发广东</w:t>
            </w:r>
            <w:r>
              <w:rPr>
                <w:sz w:val="21"/>
              </w:rPr>
              <w:t>“数字政府”改革建设方案的通知》、《广东“数字政府”改革建设方案》等文件，建立与完善广东省林业局运维服务管理体系，有效利用与整合现有资源，进一步为广东省林业局的信息化基础设施、政务信息系统提供规范化、专业化和高质量的运维服务，确保政务信息系统正常运行，政务业务正常有序开展，提高工作效率和服务能力。</w:t>
            </w:r>
          </w:p>
          <w:p>
            <w:pPr>
              <w:jc w:val="both"/>
            </w:pPr>
            <w:r>
              <w:rPr>
                <w:sz w:val="21"/>
              </w:rPr>
              <w:t>二、项目需求</w:t>
            </w:r>
          </w:p>
          <w:p>
            <w:pPr>
              <w:jc w:val="both"/>
            </w:pPr>
            <w:r>
              <w:rPr>
                <w:sz w:val="21"/>
              </w:rPr>
              <w:t>▲</w:t>
            </w:r>
            <w:r>
              <w:rPr>
                <w:sz w:val="21"/>
              </w:rPr>
              <w:t>每张物联网卡至少含</w:t>
            </w:r>
            <w:r>
              <w:rPr>
                <w:sz w:val="21"/>
              </w:rPr>
              <w:t>12</w:t>
            </w:r>
            <w:r>
              <w:rPr>
                <w:sz w:val="21"/>
              </w:rPr>
              <w:t>个月，每月不低于</w:t>
            </w:r>
            <w:r>
              <w:rPr>
                <w:sz w:val="21"/>
              </w:rPr>
              <w:t>1G</w:t>
            </w:r>
            <w:r>
              <w:rPr>
                <w:sz w:val="21"/>
              </w:rPr>
              <w:t>流量，解决基层护林员巡护过程中的终端流量问题，保障护林员巡护作业终端的正常使用。</w:t>
            </w:r>
          </w:p>
          <w:p>
            <w:pPr>
              <w:jc w:val="both"/>
            </w:pPr>
            <w:r>
              <w:rPr>
                <w:sz w:val="21"/>
              </w:rPr>
              <w:t>三、项目服务要求</w:t>
            </w:r>
          </w:p>
          <w:p>
            <w:pPr>
              <w:jc w:val="both"/>
            </w:pPr>
            <w:r>
              <w:rPr>
                <w:sz w:val="21"/>
              </w:rPr>
              <w:t xml:space="preserve">1. </w:t>
            </w:r>
            <w:r>
              <w:rPr>
                <w:sz w:val="21"/>
              </w:rPr>
              <w:t>基本服务要求</w:t>
            </w:r>
          </w:p>
          <w:p>
            <w:pPr>
              <w:jc w:val="both"/>
            </w:pPr>
            <w:r>
              <w:rPr>
                <w:sz w:val="21"/>
              </w:rPr>
              <w:t>1.1.</w:t>
            </w:r>
            <w:r>
              <w:rPr>
                <w:sz w:val="21"/>
              </w:rPr>
              <w:t>中标人提供的服务应符合国家现行国家、行业及地方产品质量验收标准规范的合格标准。物联网卡保证</w:t>
            </w:r>
            <w:r>
              <w:rPr>
                <w:sz w:val="21"/>
              </w:rPr>
              <w:t>1G/</w:t>
            </w:r>
            <w:r>
              <w:rPr>
                <w:sz w:val="21"/>
              </w:rPr>
              <w:t>卡</w:t>
            </w:r>
            <w:r>
              <w:rPr>
                <w:sz w:val="21"/>
              </w:rPr>
              <w:t>/</w:t>
            </w:r>
            <w:r>
              <w:rPr>
                <w:sz w:val="21"/>
              </w:rPr>
              <w:t>月流量，提供业务确认截图或说明。</w:t>
            </w:r>
          </w:p>
          <w:p>
            <w:pPr>
              <w:jc w:val="both"/>
            </w:pPr>
            <w:r>
              <w:rPr>
                <w:sz w:val="21"/>
              </w:rPr>
              <w:t>▲</w:t>
            </w:r>
            <w:r>
              <w:rPr>
                <w:sz w:val="21"/>
              </w:rPr>
              <w:t>1.2.</w:t>
            </w:r>
            <w:r>
              <w:rPr>
                <w:sz w:val="21"/>
              </w:rPr>
              <w:t>中标人需要安排服务团队配合采购人处理物联网卡发放相关管理工作，配合完成系统的调测、验收，确保物联网卡能够正常使用。物联网卡调试完毕，中标人需要安排服务团队分别配送物联网卡到采购人指定的广东省内各市、县、镇级使用部门或管理部门，并提供相关的使用培训服务，配送及提供培训的相关费用由中标人承担。</w:t>
            </w:r>
          </w:p>
          <w:p>
            <w:pPr>
              <w:jc w:val="both"/>
            </w:pPr>
            <w:r>
              <w:rPr>
                <w:sz w:val="21"/>
              </w:rPr>
              <w:t>2.</w:t>
            </w:r>
            <w:r>
              <w:rPr>
                <w:sz w:val="21"/>
              </w:rPr>
              <w:t>售后服务要求</w:t>
            </w:r>
          </w:p>
          <w:p>
            <w:pPr>
              <w:jc w:val="both"/>
            </w:pPr>
            <w:r>
              <w:rPr>
                <w:sz w:val="21"/>
              </w:rPr>
              <w:t>2.1.</w:t>
            </w:r>
            <w:r>
              <w:rPr>
                <w:sz w:val="21"/>
              </w:rPr>
              <w:t>中标人应提供至少</w:t>
            </w:r>
            <w:r>
              <w:rPr>
                <w:sz w:val="21"/>
              </w:rPr>
              <w:t>1</w:t>
            </w:r>
            <w:r>
              <w:rPr>
                <w:sz w:val="21"/>
              </w:rPr>
              <w:t>年的售后服务。</w:t>
            </w:r>
          </w:p>
          <w:p>
            <w:pPr>
              <w:jc w:val="both"/>
            </w:pPr>
            <w:r>
              <w:rPr>
                <w:sz w:val="21"/>
              </w:rPr>
              <w:t>▲</w:t>
            </w:r>
            <w:r>
              <w:rPr>
                <w:sz w:val="21"/>
              </w:rPr>
              <w:t>2.2</w:t>
            </w:r>
            <w:r>
              <w:rPr>
                <w:sz w:val="21"/>
              </w:rPr>
              <w:t>服务期内，中标人应配专人作为服务客户经理，提供技术咨询、优化建议以及通讯管理建议，与采购人配合处理有信号故障的物联网卡，包括但不限于故障卡维修、更换、提供实地信号测试及通过加装基站等网络技术措施进行信号加强保障等。故障卡由采购人（或由采购人委托的单位）收集交由中标人负责处理，由中标人跟进处理进展并将处理好的物联网卡交回采购人接收。属于上述处理范围内的所有服务，由中标人负责提供，不得再向采购人（或由采购人委托的单位）收取任何费用。</w:t>
            </w:r>
          </w:p>
          <w:p>
            <w:pPr>
              <w:jc w:val="both"/>
            </w:pPr>
            <w:r>
              <w:rPr>
                <w:sz w:val="21"/>
              </w:rPr>
              <w:t>2.3.</w:t>
            </w:r>
            <w:r>
              <w:rPr>
                <w:sz w:val="21"/>
              </w:rPr>
              <w:t>服务期内，中标人应提供全年</w:t>
            </w:r>
            <w:r>
              <w:rPr>
                <w:sz w:val="21"/>
              </w:rPr>
              <w:t>24</w:t>
            </w:r>
            <w:r>
              <w:rPr>
                <w:sz w:val="21"/>
              </w:rPr>
              <w:t>小时的电话热线响应支持服务，包括邮件、网络即时通讯等在内的远程支持服务和现场服务等服务方式（所有费用包含在总报价内）。</w:t>
            </w:r>
          </w:p>
          <w:p>
            <w:pPr>
              <w:jc w:val="both"/>
            </w:pPr>
            <w:r>
              <w:rPr>
                <w:sz w:val="21"/>
              </w:rPr>
              <w:t>3.</w:t>
            </w:r>
            <w:r>
              <w:rPr>
                <w:sz w:val="21"/>
              </w:rPr>
              <w:t>其他服务要求</w:t>
            </w:r>
          </w:p>
          <w:p>
            <w:pPr>
              <w:jc w:val="both"/>
            </w:pPr>
            <w:r>
              <w:rPr>
                <w:sz w:val="21"/>
              </w:rPr>
              <w:t>▲</w:t>
            </w:r>
            <w:r>
              <w:rPr>
                <w:sz w:val="21"/>
              </w:rPr>
              <w:t>3.1.</w:t>
            </w:r>
            <w:r>
              <w:rPr>
                <w:sz w:val="21"/>
              </w:rPr>
              <w:t>为保证项目的运维畅顺及服务保障，投标人应在项目所在地（广东省）各地市设有固定的服务机构，或能提交合同履行期间在项目所在地（广东省）各地市设立固定服务机构的承诺书（提供相关承诺函，格式自拟）。</w:t>
            </w:r>
          </w:p>
          <w:p>
            <w:pPr>
              <w:jc w:val="both"/>
            </w:pPr>
            <w:r>
              <w:rPr>
                <w:sz w:val="21"/>
              </w:rPr>
              <w:t>▲</w:t>
            </w:r>
            <w:r>
              <w:rPr>
                <w:sz w:val="21"/>
              </w:rPr>
              <w:t>3.2.</w:t>
            </w:r>
            <w:r>
              <w:rPr>
                <w:sz w:val="21"/>
              </w:rPr>
              <w:t>投标人提供现场服务，协助用户完成物联网卡实名认证、终端设备流量使用设置、物联网卡使用故障排查等相关服务。</w:t>
            </w:r>
          </w:p>
          <w:p>
            <w:pPr>
              <w:jc w:val="both"/>
            </w:pPr>
            <w:r>
              <w:rPr>
                <w:sz w:val="21"/>
              </w:rPr>
              <w:t>★</w:t>
            </w:r>
            <w:r>
              <w:rPr>
                <w:sz w:val="21"/>
              </w:rPr>
              <w:t>3.3.</w:t>
            </w:r>
            <w:r>
              <w:rPr>
                <w:sz w:val="21"/>
              </w:rPr>
              <w:t>投标人所投物联网产品需通过合法基础电信运营商供货（提供运营商盖章的合法来源授权函），符合国家流量卡实名制规范要求，确保所登记的最终实名单位为采购人。</w:t>
            </w:r>
          </w:p>
          <w:p>
            <w:pPr>
              <w:jc w:val="both"/>
            </w:pPr>
            <w:r>
              <w:rPr>
                <w:sz w:val="21"/>
              </w:rPr>
              <w:t>▲</w:t>
            </w:r>
            <w:r>
              <w:rPr>
                <w:sz w:val="21"/>
              </w:rPr>
              <w:t>3.4.</w:t>
            </w:r>
            <w:r>
              <w:rPr>
                <w:sz w:val="21"/>
              </w:rPr>
              <w:t>投标人须提供物联网卡连接管理平台，能按客户需求管理用户每月基础流量并能控制用户每月流量上限。</w:t>
            </w:r>
          </w:p>
          <w:p>
            <w:pPr>
              <w:jc w:val="both"/>
            </w:pPr>
            <w:r>
              <w:rPr>
                <w:sz w:val="21"/>
              </w:rPr>
              <w:t>3.5.</w:t>
            </w:r>
            <w:r>
              <w:rPr>
                <w:sz w:val="21"/>
              </w:rPr>
              <w:t>投标人所提供物联网卡应在省内林区网络信号质量优良，支持</w:t>
            </w:r>
            <w:r>
              <w:rPr>
                <w:sz w:val="21"/>
              </w:rPr>
              <w:t>4G</w:t>
            </w:r>
            <w:r>
              <w:rPr>
                <w:sz w:val="21"/>
              </w:rPr>
              <w:t>网络。</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采购包2（林场铁塔及林场通信专线租赁服务）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林场铁塔租赁：18个月；林场通信专线租赁：约12个月。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1期：支付比例75%,签订合同之日起，且在收到中标人提供的有效发票后十五日内，采购人向中标人支付项目合同金额的75%。</w:t>
            </w:r>
          </w:p>
          <w:p/>
          <w:p>
            <w:r>
              <w:rPr/>
              <w:t>2期：支付比例25%,采购人组织评估服务验收通过，且在收到中标人提供的有效发票后十五日内，向中标人支付项目合同金额的25%。 注：1、中标人在每次收取服务费时需向采购人开具项目当地等额的正式税务发票。 ★2、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1期：本项目执行国家及行业相关标准，采购人将按照招标文件要求和投标人响应情况对所有标的物进行验收。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1.报价要求，★（1）项目报价：本采购包采购预算（最高限价）：670000.00元；报价不得高于本采购包的采购预算（最高限价），否则将视为无效投标。 （2）报价要求：供应商报价必须包括设备、运输、安装、调试、检测、验收、培训、技术服务、售后维护、质保期保障等一切支出，并包含关税等所有税费。</w:t>
            </w:r>
          </w:p>
          <w:p/>
          <w:p>
            <w:r>
              <w:rPr/>
              <w:t>2.服务要求，接到采购人通知后15天内提供租赁服务。</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林场的铁塔租赁</w:t>
            </w:r>
          </w:p>
        </w:tc>
        <w:tc>
          <w:tcPr>
            <w:tcW w:type="dxa" w:w="933"/>
          </w:tcPr>
          <w:p>
            <w:pPr>
              <w:jc w:val="left"/>
            </w:pPr>
            <w:r>
              <w:rPr/>
              <w:t>项</w:t>
            </w:r>
          </w:p>
        </w:tc>
        <w:tc>
          <w:tcPr>
            <w:tcW w:type="dxa" w:w="933"/>
          </w:tcPr>
          <w:p>
            <w:pPr>
              <w:jc w:val="right"/>
            </w:pPr>
            <w:r>
              <w:rPr/>
              <w:t>1.00</w:t>
            </w:r>
          </w:p>
        </w:tc>
        <w:tc>
          <w:tcPr>
            <w:tcW w:type="dxa" w:w="933"/>
          </w:tcPr>
          <w:p>
            <w:pPr>
              <w:jc w:val="right"/>
            </w:pPr>
            <w:r>
              <w:rPr/>
              <w:t>554,400.00</w:t>
            </w:r>
          </w:p>
        </w:tc>
        <w:tc>
          <w:tcPr>
            <w:tcW w:type="dxa" w:w="933"/>
          </w:tcPr>
          <w:p>
            <w:pPr>
              <w:jc w:val="right"/>
            </w:pPr>
            <w:r>
              <w:rPr/>
              <w:t>554,400.00</w:t>
            </w:r>
          </w:p>
        </w:tc>
        <w:tc>
          <w:tcPr>
            <w:tcW w:type="dxa" w:w="840"/>
          </w:tcPr>
          <w:p>
            <w:r>
              <w:rPr/>
              <w:t>软件和信息技术服务业</w:t>
            </w:r>
          </w:p>
        </w:tc>
        <w:tc>
          <w:tcPr>
            <w:tcW w:type="dxa" w:w="933"/>
          </w:tcPr>
          <w:p>
            <w:r>
              <w:rPr/>
              <w:t>详见附表一</w:t>
            </w:r>
          </w:p>
        </w:tc>
      </w:tr>
      <w:tr>
        <w:tc>
          <w:tcPr>
            <w:tcW w:type="dxa" w:w="933"/>
          </w:tcPr>
          <w:p>
            <w:pPr>
              <w:jc w:val="center"/>
            </w:pPr>
            <w:r>
              <w:rPr/>
              <w:t>2</w:t>
            </w:r>
          </w:p>
        </w:tc>
        <w:tc>
          <w:tcPr>
            <w:tcW w:type="dxa" w:w="933"/>
          </w:tcPr>
          <w:p>
            <w:pPr>
              <w:jc w:val="left"/>
            </w:pPr>
            <w:r>
              <w:rPr/>
              <w:t>其他专业技术服务</w:t>
            </w:r>
          </w:p>
        </w:tc>
        <w:tc>
          <w:tcPr>
            <w:tcW w:type="dxa" w:w="933"/>
          </w:tcPr>
          <w:p>
            <w:pPr>
              <w:jc w:val="left"/>
            </w:pPr>
            <w:r>
              <w:rPr/>
              <w:t>林场通信专线租赁服务</w:t>
            </w:r>
          </w:p>
        </w:tc>
        <w:tc>
          <w:tcPr>
            <w:tcW w:type="dxa" w:w="933"/>
          </w:tcPr>
          <w:p>
            <w:pPr>
              <w:jc w:val="left"/>
            </w:pPr>
            <w:r>
              <w:rPr/>
              <w:t>项</w:t>
            </w:r>
          </w:p>
        </w:tc>
        <w:tc>
          <w:tcPr>
            <w:tcW w:type="dxa" w:w="933"/>
          </w:tcPr>
          <w:p>
            <w:pPr>
              <w:jc w:val="right"/>
            </w:pPr>
            <w:r>
              <w:rPr/>
              <w:t>1.00</w:t>
            </w:r>
          </w:p>
        </w:tc>
        <w:tc>
          <w:tcPr>
            <w:tcW w:type="dxa" w:w="933"/>
          </w:tcPr>
          <w:p>
            <w:pPr>
              <w:jc w:val="right"/>
            </w:pPr>
            <w:r>
              <w:rPr/>
              <w:t>115,600.00</w:t>
            </w:r>
          </w:p>
        </w:tc>
        <w:tc>
          <w:tcPr>
            <w:tcW w:type="dxa" w:w="933"/>
          </w:tcPr>
          <w:p>
            <w:pPr>
              <w:jc w:val="right"/>
            </w:pPr>
            <w:r>
              <w:rPr/>
              <w:t>115,600.00</w:t>
            </w:r>
          </w:p>
        </w:tc>
        <w:tc>
          <w:tcPr>
            <w:tcW w:type="dxa" w:w="840"/>
          </w:tcPr>
          <w:p>
            <w:r>
              <w:rPr/>
              <w:t>软件和信息技术服务业</w:t>
            </w:r>
          </w:p>
        </w:tc>
        <w:tc>
          <w:tcPr>
            <w:tcW w:type="dxa" w:w="933"/>
          </w:tcPr>
          <w:p>
            <w:r>
              <w:rPr/>
              <w:t>详见附表二</w:t>
            </w:r>
          </w:p>
        </w:tc>
      </w:tr>
    </w:tbl>
    <w:p/>
    <w:p>
      <w:r>
        <w:rPr>
          <w:b/>
        </w:rPr>
        <w:t>附表</w:t>
      </w:r>
      <w:r>
        <w:rPr>
          <w:b/>
        </w:rPr>
        <w:t>一</w:t>
      </w:r>
      <w:r>
        <w:rPr>
          <w:b/>
        </w:rPr>
        <w:t>：</w:t>
      </w:r>
      <w:r>
        <w:rPr>
          <w:b/>
        </w:rPr>
        <w:t>林场的铁塔租赁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林场铁塔及林场通信专线租赁服务需求合并如下：</w:t>
            </w:r>
          </w:p>
          <w:p>
            <w:pPr>
              <w:jc w:val="both"/>
            </w:pPr>
            <w:r>
              <w:rPr>
                <w:color w:val="000000"/>
                <w:sz w:val="21"/>
              </w:rPr>
              <w:t>一</w:t>
            </w:r>
            <w:r>
              <w:rPr>
                <w:color w:val="000000"/>
                <w:sz w:val="21"/>
              </w:rPr>
              <w:t>、项目目标</w:t>
            </w:r>
          </w:p>
          <w:p>
            <w:pPr>
              <w:jc w:val="both"/>
            </w:pPr>
            <w:r>
              <w:rPr>
                <w:color w:val="000000"/>
                <w:sz w:val="21"/>
              </w:rPr>
              <w:t>根据《关于印发广东</w:t>
            </w:r>
            <w:r>
              <w:rPr>
                <w:color w:val="000000"/>
                <w:sz w:val="21"/>
              </w:rPr>
              <w:t>“数字政府”改革建设方案的通知》、《广东“数字政府”改革建设方案》等文件，建立与完善广东省林业局运维服务管理体系，有效利用与整合现有资源，进一步为广东省林业局的信息化基础设施、政务信息系统提供规范化、专业化和高质量的运维服务，确保政务信息系统正常运行，政务业务正常有序开展，提高工作效率和服务能力。</w:t>
            </w:r>
          </w:p>
          <w:p>
            <w:pPr>
              <w:jc w:val="both"/>
            </w:pPr>
            <w:r>
              <w:rPr>
                <w:color w:val="000000"/>
                <w:sz w:val="21"/>
              </w:rPr>
              <w:t>二、项目需求</w:t>
            </w:r>
          </w:p>
          <w:p>
            <w:pPr>
              <w:jc w:val="both"/>
            </w:pPr>
            <w:r>
              <w:rPr>
                <w:color w:val="000000"/>
                <w:sz w:val="21"/>
              </w:rPr>
              <w:t>1.</w:t>
            </w:r>
            <w:r>
              <w:rPr>
                <w:color w:val="000000"/>
                <w:sz w:val="21"/>
              </w:rPr>
              <w:t>林场的铁塔租赁</w:t>
            </w:r>
          </w:p>
          <w:p>
            <w:pPr>
              <w:jc w:val="both"/>
            </w:pPr>
            <w:r>
              <w:rPr>
                <w:color w:val="000000"/>
                <w:sz w:val="21"/>
              </w:rPr>
              <w:t>省属林场</w:t>
            </w:r>
            <w:r>
              <w:rPr>
                <w:color w:val="000000"/>
                <w:sz w:val="21"/>
              </w:rPr>
              <w:t>(</w:t>
            </w:r>
            <w:r>
              <w:rPr>
                <w:color w:val="000000"/>
                <w:sz w:val="21"/>
              </w:rPr>
              <w:t>省属樟木头林场、省属龙眼洞林场、省属沙头角林场、省属九连山林场</w:t>
            </w:r>
            <w:r>
              <w:rPr>
                <w:color w:val="000000"/>
                <w:sz w:val="21"/>
              </w:rPr>
              <w:t>)</w:t>
            </w:r>
            <w:r>
              <w:rPr>
                <w:color w:val="000000"/>
                <w:sz w:val="21"/>
              </w:rPr>
              <w:t>铁塔租赁服务，含</w:t>
            </w:r>
            <w:r>
              <w:rPr>
                <w:color w:val="000000"/>
                <w:sz w:val="21"/>
              </w:rPr>
              <w:t>21</w:t>
            </w:r>
            <w:r>
              <w:rPr>
                <w:color w:val="000000"/>
                <w:sz w:val="21"/>
              </w:rPr>
              <w:t>个铁塔、</w:t>
            </w:r>
            <w:r>
              <w:rPr>
                <w:color w:val="000000"/>
                <w:sz w:val="21"/>
              </w:rPr>
              <w:t>2</w:t>
            </w:r>
            <w:r>
              <w:rPr>
                <w:color w:val="000000"/>
                <w:sz w:val="21"/>
              </w:rPr>
              <w:t>个铁塔物业。</w:t>
            </w:r>
          </w:p>
          <w:p>
            <w:pPr>
              <w:jc w:val="both"/>
            </w:pPr>
            <w:r>
              <w:rPr>
                <w:color w:val="000000"/>
                <w:sz w:val="21"/>
              </w:rPr>
              <w:t>2.</w:t>
            </w:r>
            <w:r>
              <w:rPr>
                <w:color w:val="000000"/>
                <w:sz w:val="21"/>
              </w:rPr>
              <w:t>★服务期限：</w:t>
            </w:r>
            <w:r>
              <w:rPr>
                <w:color w:val="000000"/>
                <w:sz w:val="21"/>
              </w:rPr>
              <w:t>18</w:t>
            </w:r>
            <w:r>
              <w:rPr>
                <w:color w:val="000000"/>
                <w:sz w:val="21"/>
              </w:rPr>
              <w:t>个月（因本项目原服务于</w:t>
            </w:r>
            <w:r>
              <w:rPr>
                <w:color w:val="000000"/>
                <w:sz w:val="21"/>
              </w:rPr>
              <w:t>2022</w:t>
            </w:r>
            <w:r>
              <w:rPr>
                <w:color w:val="000000"/>
                <w:sz w:val="21"/>
              </w:rPr>
              <w:t>年</w:t>
            </w:r>
            <w:r>
              <w:rPr>
                <w:color w:val="000000"/>
                <w:sz w:val="21"/>
              </w:rPr>
              <w:t>12</w:t>
            </w:r>
            <w:r>
              <w:rPr>
                <w:color w:val="000000"/>
                <w:sz w:val="21"/>
              </w:rPr>
              <w:t>月</w:t>
            </w:r>
            <w:r>
              <w:rPr>
                <w:color w:val="000000"/>
                <w:sz w:val="21"/>
              </w:rPr>
              <w:t>31</w:t>
            </w:r>
            <w:r>
              <w:rPr>
                <w:color w:val="000000"/>
                <w:sz w:val="21"/>
              </w:rPr>
              <w:t>日已到期，现服务仍由原来服务机构承担，中标人收到采购人首笔付款后</w:t>
            </w:r>
            <w:r>
              <w:rPr>
                <w:color w:val="000000"/>
                <w:sz w:val="21"/>
              </w:rPr>
              <w:t>5</w:t>
            </w:r>
            <w:r>
              <w:rPr>
                <w:color w:val="000000"/>
                <w:sz w:val="21"/>
              </w:rPr>
              <w:t>个工作日内，根据延长服务天数支付给上一家服务机构）。</w:t>
            </w:r>
          </w:p>
          <w:p>
            <w:pPr>
              <w:jc w:val="both"/>
            </w:pPr>
            <w:r>
              <w:rPr>
                <w:color w:val="000000"/>
                <w:sz w:val="21"/>
              </w:rPr>
              <w:t>表格</w:t>
            </w:r>
            <w:r>
              <w:rPr>
                <w:color w:val="000000"/>
                <w:sz w:val="21"/>
              </w:rPr>
              <w:t>2?1</w:t>
            </w:r>
            <w:r>
              <w:rPr>
                <w:color w:val="000000"/>
                <w:sz w:val="21"/>
              </w:rPr>
              <w:t>林场的铁塔租赁服务清单</w:t>
            </w:r>
          </w:p>
          <w:tbl>
            <w:tblPr>
              <w:tblBorders>
                <w:top w:val="none" w:color="000000" w:sz="4"/>
                <w:left w:val="none" w:color="000000" w:sz="4"/>
                <w:bottom w:val="none" w:color="000000" w:sz="4"/>
                <w:right w:val="none" w:color="000000" w:sz="4"/>
                <w:insideH w:val="none"/>
                <w:insideV w:val="none"/>
              </w:tblBorders>
            </w:tblPr>
            <w:tblGrid>
              <w:gridCol w:w="465"/>
              <w:gridCol w:w="1740"/>
              <w:gridCol w:w="1335"/>
              <w:gridCol w:w="825"/>
              <w:gridCol w:w="795"/>
            </w:tblGrid>
            <w:tr>
              <w:tc>
                <w:tcPr>
                  <w:tcW w:type="dxa" w:w="465"/>
                  <w:tcBorders>
                    <w:top w:val="single" w:color="000000" w:sz="4"/>
                    <w:left w:val="single" w:color="000000" w:sz="4"/>
                    <w:bottom w:val="single" w:color="000000" w:sz="4"/>
                    <w:right w:val="single" w:color="000000" w:sz="4"/>
                  </w:tcBorders>
                  <w:vAlign w:val="top"/>
                </w:tcPr>
                <w:p>
                  <w:pPr>
                    <w:jc w:val="both"/>
                  </w:pPr>
                  <w:r>
                    <w:rPr>
                      <w:color w:val="000000"/>
                      <w:sz w:val="21"/>
                    </w:rPr>
                    <w:t>序号</w:t>
                  </w:r>
                </w:p>
              </w:tc>
              <w:tc>
                <w:tcPr>
                  <w:tcW w:type="dxa" w:w="1740"/>
                  <w:tcBorders>
                    <w:top w:val="single" w:color="000000" w:sz="4"/>
                    <w:left w:val="single" w:color="000000" w:sz="4"/>
                    <w:bottom w:val="single" w:color="000000" w:sz="4"/>
                    <w:right w:val="single" w:color="000000" w:sz="4"/>
                  </w:tcBorders>
                  <w:vAlign w:val="top"/>
                </w:tcPr>
                <w:p>
                  <w:pPr>
                    <w:jc w:val="both"/>
                  </w:pPr>
                  <w:r>
                    <w:rPr>
                      <w:color w:val="000000"/>
                      <w:sz w:val="21"/>
                    </w:rPr>
                    <w:t>林场名称</w:t>
                  </w:r>
                </w:p>
              </w:tc>
              <w:tc>
                <w:tcPr>
                  <w:tcW w:type="dxa" w:w="1335"/>
                  <w:tcBorders>
                    <w:top w:val="single" w:color="000000" w:sz="4"/>
                    <w:left w:val="single" w:color="000000" w:sz="4"/>
                    <w:bottom w:val="single" w:color="000000" w:sz="4"/>
                    <w:right w:val="single" w:color="000000" w:sz="4"/>
                  </w:tcBorders>
                  <w:vAlign w:val="top"/>
                </w:tcPr>
                <w:p>
                  <w:pPr>
                    <w:jc w:val="both"/>
                  </w:pPr>
                  <w:r>
                    <w:rPr>
                      <w:color w:val="000000"/>
                      <w:sz w:val="21"/>
                    </w:rPr>
                    <w:t>设备名称</w:t>
                  </w:r>
                </w:p>
              </w:tc>
              <w:tc>
                <w:tcPr>
                  <w:tcW w:type="dxa" w:w="825"/>
                  <w:tcBorders>
                    <w:top w:val="single" w:color="000000" w:sz="4"/>
                    <w:left w:val="single" w:color="000000" w:sz="4"/>
                    <w:bottom w:val="single" w:color="000000" w:sz="4"/>
                    <w:right w:val="single" w:color="000000" w:sz="4"/>
                  </w:tcBorders>
                  <w:vAlign w:val="top"/>
                </w:tcPr>
                <w:p>
                  <w:pPr>
                    <w:jc w:val="both"/>
                  </w:pPr>
                  <w:r>
                    <w:rPr>
                      <w:color w:val="000000"/>
                      <w:sz w:val="21"/>
                    </w:rPr>
                    <w:t>单位</w:t>
                  </w:r>
                </w:p>
              </w:tc>
              <w:tc>
                <w:tcPr>
                  <w:tcW w:type="dxa" w:w="795"/>
                  <w:tcBorders>
                    <w:top w:val="single" w:color="000000" w:sz="4"/>
                    <w:left w:val="single" w:color="000000" w:sz="4"/>
                    <w:bottom w:val="single" w:color="000000" w:sz="4"/>
                    <w:right w:val="single" w:color="000000" w:sz="4"/>
                  </w:tcBorders>
                  <w:vAlign w:val="top"/>
                </w:tcPr>
                <w:p>
                  <w:pPr>
                    <w:jc w:val="both"/>
                  </w:pPr>
                  <w:r>
                    <w:rPr>
                      <w:color w:val="000000"/>
                      <w:sz w:val="21"/>
                    </w:rPr>
                    <w:t>数量</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1</w:t>
                  </w:r>
                </w:p>
              </w:tc>
              <w:tc>
                <w:tcPr>
                  <w:tcW w:type="dxa" w:w="1740"/>
                  <w:vMerge w:val="restart"/>
                  <w:tcBorders>
                    <w:top w:val="none" w:color="000000" w:sz="4"/>
                    <w:left w:val="single" w:color="000000" w:sz="4"/>
                    <w:bottom w:val="single" w:color="000000" w:sz="4"/>
                    <w:right w:val="single" w:color="000000" w:sz="4"/>
                  </w:tcBorders>
                  <w:vAlign w:val="top"/>
                </w:tcPr>
                <w:p>
                  <w:pPr>
                    <w:jc w:val="both"/>
                  </w:pPr>
                  <w:r>
                    <w:rPr>
                      <w:color w:val="000000"/>
                      <w:sz w:val="21"/>
                    </w:rPr>
                    <w:t>省属樟木头林场</w:t>
                  </w: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铁塔租赁（物业）</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2</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2</w:t>
                  </w:r>
                </w:p>
              </w:tc>
              <w:tc>
                <w:tcPr>
                  <w:tcW w:type="dxa" w:w="1740"/>
                  <w:vMerge/>
                  <w:tcBorders>
                    <w:top w:val="none" w:color="000000" w:sz="4"/>
                    <w:left w:val="single" w:color="000000" w:sz="4"/>
                    <w:bottom w:val="single" w:color="000000" w:sz="4"/>
                    <w:right w:val="single" w:color="000000" w:sz="4"/>
                  </w:tcBorders>
                </w:tcP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6</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3</w:t>
                  </w:r>
                </w:p>
              </w:tc>
              <w:tc>
                <w:tcPr>
                  <w:tcW w:type="dxa" w:w="1740"/>
                  <w:tcBorders>
                    <w:top w:val="none" w:color="000000" w:sz="4"/>
                    <w:left w:val="single" w:color="000000" w:sz="4"/>
                    <w:bottom w:val="single" w:color="000000" w:sz="4"/>
                    <w:right w:val="single" w:color="000000" w:sz="4"/>
                  </w:tcBorders>
                  <w:vAlign w:val="top"/>
                </w:tcPr>
                <w:p>
                  <w:pPr>
                    <w:jc w:val="both"/>
                  </w:pPr>
                  <w:r>
                    <w:rPr>
                      <w:color w:val="000000"/>
                      <w:sz w:val="21"/>
                    </w:rPr>
                    <w:t>省属龙眼洞林场</w:t>
                  </w: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7</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4</w:t>
                  </w:r>
                </w:p>
              </w:tc>
              <w:tc>
                <w:tcPr>
                  <w:tcW w:type="dxa" w:w="1740"/>
                  <w:tcBorders>
                    <w:top w:val="none" w:color="000000" w:sz="4"/>
                    <w:left w:val="single" w:color="000000" w:sz="4"/>
                    <w:bottom w:val="single" w:color="000000" w:sz="4"/>
                    <w:right w:val="single" w:color="000000" w:sz="4"/>
                  </w:tcBorders>
                  <w:vAlign w:val="top"/>
                </w:tcPr>
                <w:p>
                  <w:pPr>
                    <w:jc w:val="both"/>
                  </w:pPr>
                  <w:r>
                    <w:rPr>
                      <w:color w:val="000000"/>
                      <w:sz w:val="21"/>
                    </w:rPr>
                    <w:t>省属沙头角林场</w:t>
                  </w: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5</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5</w:t>
                  </w:r>
                </w:p>
              </w:tc>
              <w:tc>
                <w:tcPr>
                  <w:tcW w:type="dxa" w:w="1740"/>
                  <w:tcBorders>
                    <w:top w:val="none" w:color="000000" w:sz="4"/>
                    <w:left w:val="single" w:color="000000" w:sz="4"/>
                    <w:bottom w:val="single" w:color="000000" w:sz="4"/>
                    <w:right w:val="single" w:color="000000" w:sz="4"/>
                  </w:tcBorders>
                  <w:vAlign w:val="top"/>
                </w:tcPr>
                <w:p>
                  <w:pPr>
                    <w:jc w:val="both"/>
                  </w:pPr>
                  <w:r>
                    <w:rPr>
                      <w:color w:val="000000"/>
                      <w:sz w:val="21"/>
                    </w:rPr>
                    <w:t>省属九连山林场</w:t>
                  </w: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3</w:t>
                  </w:r>
                </w:p>
              </w:tc>
            </w:tr>
            <w:tr>
              <w:tc>
                <w:tcPr>
                  <w:tcW w:type="dxa" w:w="4365"/>
                  <w:gridSpan w:val="4"/>
                  <w:tcBorders>
                    <w:top w:val="none" w:color="000000" w:sz="4"/>
                    <w:left w:val="single" w:color="000000" w:sz="4"/>
                    <w:bottom w:val="single" w:color="000000" w:sz="4"/>
                    <w:right w:val="single" w:color="000000" w:sz="4"/>
                  </w:tcBorders>
                  <w:vAlign w:val="top"/>
                </w:tcPr>
                <w:p>
                  <w:pPr>
                    <w:jc w:val="both"/>
                  </w:pPr>
                  <w:r>
                    <w:rPr>
                      <w:color w:val="000000"/>
                      <w:sz w:val="21"/>
                    </w:rPr>
                    <w:t>林场铁塔租赁小计</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23</w:t>
                  </w:r>
                </w:p>
              </w:tc>
            </w:tr>
          </w:tbl>
          <w:p>
            <w:pPr>
              <w:jc w:val="both"/>
            </w:pPr>
            <w:r>
              <w:rPr>
                <w:color w:val="000000"/>
                <w:sz w:val="21"/>
              </w:rPr>
              <w:t>3.</w:t>
            </w:r>
            <w:r>
              <w:rPr>
                <w:color w:val="000000"/>
                <w:sz w:val="21"/>
              </w:rPr>
              <w:t>林场的通信专线租赁</w:t>
            </w:r>
          </w:p>
          <w:p>
            <w:pPr>
              <w:jc w:val="both"/>
            </w:pPr>
            <w:r>
              <w:rPr>
                <w:color w:val="000000"/>
                <w:sz w:val="21"/>
              </w:rPr>
              <w:t>省属林场</w:t>
            </w:r>
            <w:r>
              <w:rPr>
                <w:color w:val="000000"/>
                <w:sz w:val="21"/>
              </w:rPr>
              <w:t>23</w:t>
            </w:r>
            <w:r>
              <w:rPr>
                <w:color w:val="000000"/>
                <w:sz w:val="21"/>
              </w:rPr>
              <w:t>条通信专线，约</w:t>
            </w:r>
            <w:r>
              <w:rPr>
                <w:color w:val="000000"/>
                <w:sz w:val="21"/>
              </w:rPr>
              <w:t>12</w:t>
            </w:r>
            <w:r>
              <w:rPr>
                <w:color w:val="000000"/>
                <w:sz w:val="21"/>
              </w:rPr>
              <w:t>个月租赁服务。服务期限：</w:t>
            </w:r>
            <w:r>
              <w:rPr>
                <w:color w:val="000000"/>
                <w:sz w:val="21"/>
              </w:rPr>
              <w:t>2023</w:t>
            </w:r>
            <w:r>
              <w:rPr>
                <w:color w:val="000000"/>
                <w:sz w:val="21"/>
              </w:rPr>
              <w:t>年</w:t>
            </w:r>
            <w:r>
              <w:rPr>
                <w:color w:val="000000"/>
                <w:sz w:val="21"/>
              </w:rPr>
              <w:t>6</w:t>
            </w:r>
            <w:r>
              <w:rPr>
                <w:color w:val="000000"/>
                <w:sz w:val="21"/>
              </w:rPr>
              <w:t>月</w:t>
            </w:r>
            <w:r>
              <w:rPr>
                <w:color w:val="000000"/>
                <w:sz w:val="21"/>
              </w:rPr>
              <w:t>23</w:t>
            </w:r>
            <w:r>
              <w:rPr>
                <w:color w:val="000000"/>
                <w:sz w:val="21"/>
              </w:rPr>
              <w:t>日至</w:t>
            </w:r>
            <w:r>
              <w:rPr>
                <w:color w:val="000000"/>
                <w:sz w:val="21"/>
              </w:rPr>
              <w:t>2024</w:t>
            </w:r>
            <w:r>
              <w:rPr>
                <w:color w:val="000000"/>
                <w:sz w:val="21"/>
              </w:rPr>
              <w:t>年</w:t>
            </w:r>
            <w:r>
              <w:rPr>
                <w:color w:val="000000"/>
                <w:sz w:val="21"/>
              </w:rPr>
              <w:t>6</w:t>
            </w:r>
            <w:r>
              <w:rPr>
                <w:color w:val="000000"/>
                <w:sz w:val="21"/>
              </w:rPr>
              <w:t>月</w:t>
            </w:r>
            <w:r>
              <w:rPr>
                <w:color w:val="000000"/>
                <w:sz w:val="21"/>
              </w:rPr>
              <w:t>30</w:t>
            </w:r>
            <w:r>
              <w:rPr>
                <w:color w:val="000000"/>
                <w:sz w:val="21"/>
              </w:rPr>
              <w:t>日</w:t>
            </w:r>
          </w:p>
          <w:p>
            <w:pPr>
              <w:jc w:val="both"/>
            </w:pPr>
            <w:r>
              <w:rPr>
                <w:color w:val="000000"/>
                <w:sz w:val="21"/>
              </w:rPr>
              <w:t>表格</w:t>
            </w:r>
            <w:r>
              <w:rPr>
                <w:color w:val="000000"/>
                <w:sz w:val="21"/>
              </w:rPr>
              <w:t>2?3</w:t>
            </w:r>
            <w:r>
              <w:rPr>
                <w:color w:val="000000"/>
                <w:sz w:val="21"/>
              </w:rPr>
              <w:t>林场的通信专线租赁服务清单</w:t>
            </w:r>
          </w:p>
          <w:tbl>
            <w:tblPr>
              <w:tblBorders>
                <w:top w:val="none" w:color="000000" w:sz="4"/>
                <w:left w:val="none" w:color="000000" w:sz="4"/>
                <w:bottom w:val="none" w:color="000000" w:sz="4"/>
                <w:right w:val="none" w:color="000000" w:sz="4"/>
                <w:insideH w:val="none"/>
                <w:insideV w:val="none"/>
              </w:tblBorders>
            </w:tblPr>
            <w:tblGrid>
              <w:gridCol w:w="585"/>
              <w:gridCol w:w="1950"/>
              <w:gridCol w:w="1500"/>
              <w:gridCol w:w="570"/>
              <w:gridCol w:w="870"/>
            </w:tblGrid>
            <w:tr>
              <w:tc>
                <w:tcPr>
                  <w:tcW w:type="dxa" w:w="58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950"/>
                  <w:tcBorders>
                    <w:top w:val="single" w:color="000000" w:sz="4"/>
                    <w:left w:val="single" w:color="000000" w:sz="4"/>
                    <w:bottom w:val="single" w:color="000000" w:sz="4"/>
                    <w:right w:val="single" w:color="000000" w:sz="4"/>
                  </w:tcBorders>
                  <w:vAlign w:val="top"/>
                </w:tcPr>
                <w:p>
                  <w:pPr>
                    <w:jc w:val="center"/>
                  </w:pPr>
                  <w:r>
                    <w:rPr>
                      <w:color w:val="000000"/>
                      <w:sz w:val="21"/>
                    </w:rPr>
                    <w:t>林场名称</w:t>
                  </w:r>
                </w:p>
              </w:tc>
              <w:tc>
                <w:tcPr>
                  <w:tcW w:type="dxa" w:w="1500"/>
                  <w:tcBorders>
                    <w:top w:val="single" w:color="000000" w:sz="4"/>
                    <w:left w:val="single" w:color="000000" w:sz="4"/>
                    <w:bottom w:val="single" w:color="000000" w:sz="4"/>
                    <w:right w:val="single" w:color="000000" w:sz="4"/>
                  </w:tcBorders>
                  <w:vAlign w:val="top"/>
                </w:tcPr>
                <w:p>
                  <w:pPr>
                    <w:jc w:val="center"/>
                  </w:pPr>
                  <w:r>
                    <w:rPr>
                      <w:color w:val="000000"/>
                      <w:sz w:val="21"/>
                    </w:rPr>
                    <w:t>摄像头</w:t>
                  </w:r>
                </w:p>
              </w:tc>
              <w:tc>
                <w:tcPr>
                  <w:tcW w:type="dxa" w:w="570"/>
                  <w:tcBorders>
                    <w:top w:val="single" w:color="000000" w:sz="4"/>
                    <w:left w:val="single" w:color="000000" w:sz="4"/>
                    <w:bottom w:val="single" w:color="000000" w:sz="4"/>
                    <w:right w:val="single" w:color="000000" w:sz="4"/>
                  </w:tcBorders>
                  <w:vAlign w:val="top"/>
                </w:tcPr>
                <w:p>
                  <w:pPr>
                    <w:jc w:val="center"/>
                  </w:pPr>
                  <w:r>
                    <w:rPr>
                      <w:color w:val="000000"/>
                      <w:sz w:val="21"/>
                    </w:rPr>
                    <w:t>规格</w:t>
                  </w:r>
                </w:p>
              </w:tc>
              <w:tc>
                <w:tcPr>
                  <w:tcW w:type="dxa" w:w="870"/>
                  <w:tcBorders>
                    <w:top w:val="single" w:color="000000" w:sz="4"/>
                    <w:left w:val="single" w:color="000000" w:sz="4"/>
                    <w:bottom w:val="single" w:color="000000" w:sz="4"/>
                    <w:right w:val="single" w:color="000000" w:sz="4"/>
                  </w:tcBorders>
                  <w:vAlign w:val="top"/>
                </w:tcPr>
                <w:p>
                  <w:pPr>
                    <w:jc w:val="center"/>
                  </w:pPr>
                  <w:r>
                    <w:rPr>
                      <w:color w:val="000000"/>
                      <w:sz w:val="21"/>
                    </w:rPr>
                    <w:t>租赁月份</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芙蓉寺基站</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r>
                    <w:rPr>
                      <w:color w:val="000000"/>
                      <w:sz w:val="21"/>
                    </w:rPr>
                    <w:t>‘’</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宝山工业区翠景花园楼</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宝山工业区温莎堡</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牛眠埔工区大钟岭水库</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五埂工区后山顶</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勒竹赤尾洞林区高速路侧</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勒竹排蛇场入口林区</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宝山瞭望塔</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帽峰山顶西北侧</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帽峰山顶西南侧</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帽峰山山顶广场</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火炉山西北侧</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龙眼洞小区</w:t>
                  </w:r>
                  <w:r>
                    <w:rPr>
                      <w:color w:val="000000"/>
                      <w:sz w:val="21"/>
                    </w:rPr>
                    <w:t>01</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龙眼洞小区</w:t>
                  </w:r>
                  <w:r>
                    <w:rPr>
                      <w:color w:val="000000"/>
                      <w:sz w:val="21"/>
                    </w:rPr>
                    <w:t>02</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火炉山西边山腰</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恩上村</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好汉坡</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五亩地</w:t>
                  </w:r>
                  <w:r>
                    <w:rPr>
                      <w:color w:val="000000"/>
                      <w:sz w:val="21"/>
                    </w:rPr>
                    <w:t>1</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五亩地</w:t>
                  </w:r>
                  <w:r>
                    <w:rPr>
                      <w:color w:val="000000"/>
                      <w:sz w:val="21"/>
                    </w:rPr>
                    <w:t>2</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凤凰楼楼顶</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省属九连山林场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田源基站</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省属九连山林场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江面基站</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省属九连山林场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增坝基站</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bl>
          <w:p>
            <w:pPr>
              <w:jc w:val="both"/>
            </w:pPr>
            <w:r>
              <w:rPr>
                <w:color w:val="000000"/>
                <w:sz w:val="21"/>
              </w:rPr>
              <w:t>4 .</w:t>
            </w:r>
            <w:r>
              <w:rPr>
                <w:color w:val="000000"/>
                <w:sz w:val="21"/>
              </w:rPr>
              <w:t>服务地址清单</w:t>
            </w:r>
          </w:p>
          <w:p>
            <w:pPr>
              <w:jc w:val="both"/>
            </w:pPr>
            <w:r>
              <w:rPr>
                <w:color w:val="000000"/>
                <w:sz w:val="21"/>
              </w:rPr>
              <w:t>省属樟木头林场、省属龙眼洞林场、省属沙头角林场、省属九连山林场前端监测点如下：</w:t>
            </w:r>
          </w:p>
          <w:tbl>
            <w:tblPr>
              <w:tblInd w:type="dxa" w:w="120"/>
              <w:tblBorders>
                <w:top w:val="none" w:color="000000" w:sz="4"/>
                <w:left w:val="none" w:color="000000" w:sz="4"/>
                <w:bottom w:val="none" w:color="000000" w:sz="4"/>
                <w:right w:val="none" w:color="000000" w:sz="4"/>
                <w:insideH w:val="none"/>
                <w:insideV w:val="none"/>
              </w:tblBorders>
            </w:tblPr>
            <w:tblGrid>
              <w:gridCol w:w="630"/>
              <w:gridCol w:w="1485"/>
              <w:gridCol w:w="2145"/>
              <w:gridCol w:w="630"/>
              <w:gridCol w:w="630"/>
            </w:tblGrid>
            <w:tr>
              <w:tc>
                <w:tcPr>
                  <w:tcW w:type="dxa" w:w="630"/>
                  <w:tcBorders>
                    <w:top w:val="single" w:color="000000" w:sz="4"/>
                    <w:left w:val="single" w:color="000000" w:sz="4"/>
                    <w:bottom w:val="single" w:color="000000" w:sz="4"/>
                    <w:right w:val="single" w:color="000000" w:sz="4"/>
                  </w:tcBorders>
                  <w:vAlign w:val="top"/>
                </w:tcPr>
                <w:p>
                  <w:pPr>
                    <w:jc w:val="both"/>
                  </w:pPr>
                  <w:r>
                    <w:rPr>
                      <w:color w:val="000000"/>
                      <w:sz w:val="21"/>
                    </w:rPr>
                    <w:t>序号</w:t>
                  </w:r>
                </w:p>
              </w:tc>
              <w:tc>
                <w:tcPr>
                  <w:tcW w:type="dxa" w:w="1485"/>
                  <w:tcBorders>
                    <w:top w:val="single" w:color="000000" w:sz="4"/>
                    <w:left w:val="none" w:color="000000" w:sz="4"/>
                    <w:bottom w:val="single" w:color="000000" w:sz="4"/>
                    <w:right w:val="single" w:color="000000" w:sz="4"/>
                  </w:tcBorders>
                  <w:vAlign w:val="top"/>
                </w:tcPr>
                <w:p>
                  <w:pPr>
                    <w:jc w:val="both"/>
                  </w:pPr>
                  <w:r>
                    <w:rPr>
                      <w:color w:val="000000"/>
                      <w:sz w:val="21"/>
                    </w:rPr>
                    <w:t>林场名称</w:t>
                  </w:r>
                </w:p>
              </w:tc>
              <w:tc>
                <w:tcPr>
                  <w:tcW w:type="dxa" w:w="2145"/>
                  <w:tcBorders>
                    <w:top w:val="single" w:color="000000" w:sz="4"/>
                    <w:left w:val="none" w:color="000000" w:sz="4"/>
                    <w:bottom w:val="single" w:color="000000" w:sz="4"/>
                    <w:right w:val="single" w:color="000000" w:sz="4"/>
                  </w:tcBorders>
                  <w:vAlign w:val="top"/>
                </w:tcPr>
                <w:p>
                  <w:pPr>
                    <w:jc w:val="both"/>
                  </w:pPr>
                  <w:r>
                    <w:rPr>
                      <w:color w:val="000000"/>
                      <w:sz w:val="21"/>
                    </w:rPr>
                    <w:t>详细安装位置</w:t>
                  </w:r>
                </w:p>
              </w:tc>
              <w:tc>
                <w:tcPr>
                  <w:tcW w:type="dxa" w:w="630"/>
                  <w:tcBorders>
                    <w:top w:val="single" w:color="000000" w:sz="4"/>
                    <w:left w:val="none" w:color="000000" w:sz="4"/>
                    <w:bottom w:val="single" w:color="000000" w:sz="4"/>
                    <w:right w:val="single" w:color="000000" w:sz="4"/>
                  </w:tcBorders>
                  <w:vAlign w:val="top"/>
                </w:tcPr>
                <w:p>
                  <w:pPr>
                    <w:jc w:val="both"/>
                  </w:pPr>
                  <w:r>
                    <w:rPr>
                      <w:color w:val="000000"/>
                      <w:sz w:val="21"/>
                    </w:rPr>
                    <w:t>数量</w:t>
                  </w:r>
                </w:p>
              </w:tc>
              <w:tc>
                <w:tcPr>
                  <w:tcW w:type="dxa" w:w="630"/>
                  <w:tcBorders>
                    <w:top w:val="single" w:color="000000" w:sz="4"/>
                    <w:left w:val="none" w:color="000000" w:sz="4"/>
                    <w:bottom w:val="single" w:color="000000" w:sz="4"/>
                    <w:right w:val="single" w:color="000000" w:sz="4"/>
                  </w:tcBorders>
                  <w:vAlign w:val="top"/>
                </w:tcPr>
                <w:p>
                  <w:pPr>
                    <w:jc w:val="both"/>
                  </w:pPr>
                  <w:r>
                    <w:rPr>
                      <w:color w:val="000000"/>
                      <w:sz w:val="21"/>
                    </w:rPr>
                    <w:t>单位</w:t>
                  </w:r>
                </w:p>
              </w:tc>
            </w:tr>
            <w:tr>
              <w:tc>
                <w:tcPr>
                  <w:tcW w:type="dxa" w:w="630"/>
                  <w:vMerge w:val="restart"/>
                  <w:tcBorders>
                    <w:top w:val="none" w:color="000000" w:sz="4"/>
                    <w:left w:val="single" w:color="000000" w:sz="4"/>
                    <w:bottom w:val="single" w:color="000000" w:sz="4"/>
                    <w:right w:val="single" w:color="000000" w:sz="4"/>
                  </w:tcBorders>
                  <w:vAlign w:val="top"/>
                </w:tcPr>
                <w:p>
                  <w:pPr>
                    <w:jc w:val="both"/>
                  </w:pPr>
                  <w:r>
                    <w:rPr>
                      <w:color w:val="000000"/>
                      <w:sz w:val="21"/>
                    </w:rPr>
                    <w:t>1</w:t>
                  </w:r>
                </w:p>
              </w:tc>
              <w:tc>
                <w:tcPr>
                  <w:tcW w:type="dxa" w:w="1485"/>
                  <w:vMerge w:val="restart"/>
                  <w:tcBorders>
                    <w:top w:val="none" w:color="000000" w:sz="4"/>
                    <w:left w:val="none" w:color="000000" w:sz="4"/>
                    <w:bottom w:val="single" w:color="000000" w:sz="4"/>
                    <w:right w:val="single" w:color="000000" w:sz="4"/>
                  </w:tcBorders>
                  <w:vAlign w:val="top"/>
                </w:tcPr>
                <w:p>
                  <w:pPr>
                    <w:jc w:val="both"/>
                  </w:pPr>
                  <w:r>
                    <w:rPr>
                      <w:color w:val="000000"/>
                      <w:sz w:val="21"/>
                    </w:rPr>
                    <w:t>省属樟木头林场</w:t>
                  </w: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五埂工区后山顶</w:t>
                  </w:r>
                </w:p>
              </w:tc>
              <w:tc>
                <w:tcPr>
                  <w:tcW w:type="dxa" w:w="630"/>
                  <w:tcBorders>
                    <w:top w:val="none" w:color="000000" w:sz="4"/>
                    <w:left w:val="none" w:color="000000" w:sz="4"/>
                    <w:bottom w:val="single" w:color="000000" w:sz="4"/>
                    <w:right w:val="none" w:color="000000" w:sz="4"/>
                  </w:tcBorders>
                  <w:vAlign w:val="top"/>
                </w:tcPr>
                <w:p>
                  <w:pPr>
                    <w:jc w:val="both"/>
                  </w:pPr>
                  <w:r>
                    <w:rPr>
                      <w:color w:val="000000"/>
                      <w:sz w:val="21"/>
                    </w:rPr>
                    <w:t>1</w:t>
                  </w:r>
                </w:p>
              </w:tc>
              <w:tc>
                <w:tcPr>
                  <w:tcW w:type="dxa" w:w="630"/>
                  <w:tcBorders>
                    <w:top w:val="none" w:color="000000" w:sz="4"/>
                    <w:left w:val="singl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宝山工业区翠景花园楼</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宝山工业区温莎堡</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勒竹赤尾洞林区高速路侧</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芙蓉寺基站</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牛眠埔工区大钟岭水库</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勒竹排蛇场入口林区</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宝山瞭望塔</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val="restart"/>
                  <w:tcBorders>
                    <w:top w:val="none" w:color="000000" w:sz="4"/>
                    <w:left w:val="single" w:color="000000" w:sz="4"/>
                    <w:bottom w:val="single" w:color="000000" w:sz="4"/>
                    <w:right w:val="single" w:color="000000" w:sz="4"/>
                  </w:tcBorders>
                  <w:vAlign w:val="top"/>
                </w:tcPr>
                <w:p>
                  <w:pPr>
                    <w:jc w:val="both"/>
                  </w:pPr>
                  <w:r>
                    <w:rPr>
                      <w:color w:val="000000"/>
                      <w:sz w:val="21"/>
                    </w:rPr>
                    <w:t>2</w:t>
                  </w:r>
                </w:p>
              </w:tc>
              <w:tc>
                <w:tcPr>
                  <w:tcW w:type="dxa" w:w="1485"/>
                  <w:vMerge w:val="restart"/>
                  <w:tcBorders>
                    <w:top w:val="none" w:color="000000" w:sz="4"/>
                    <w:left w:val="none" w:color="000000" w:sz="4"/>
                    <w:bottom w:val="single" w:color="000000" w:sz="4"/>
                    <w:right w:val="single" w:color="000000" w:sz="4"/>
                  </w:tcBorders>
                  <w:vAlign w:val="top"/>
                </w:tcPr>
                <w:p>
                  <w:pPr>
                    <w:jc w:val="both"/>
                  </w:pPr>
                  <w:r>
                    <w:rPr>
                      <w:color w:val="000000"/>
                      <w:sz w:val="21"/>
                    </w:rPr>
                    <w:t>省属龙眼洞林场</w:t>
                  </w: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帽峰山顶西北侧</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火炉山西边山腰</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帽峰山山顶广场</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火炉山西北侧</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龙眼洞小区</w:t>
                  </w:r>
                  <w:r>
                    <w:rPr>
                      <w:color w:val="000000"/>
                      <w:sz w:val="21"/>
                    </w:rPr>
                    <w:t>01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龙眼洞小区</w:t>
                  </w:r>
                  <w:r>
                    <w:rPr>
                      <w:color w:val="000000"/>
                      <w:sz w:val="21"/>
                    </w:rPr>
                    <w:t>02</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帽峰山顶西南侧</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val="restart"/>
                  <w:tcBorders>
                    <w:top w:val="none" w:color="000000" w:sz="4"/>
                    <w:left w:val="single" w:color="000000" w:sz="4"/>
                    <w:bottom w:val="single" w:color="000000" w:sz="4"/>
                    <w:right w:val="single" w:color="000000" w:sz="4"/>
                  </w:tcBorders>
                  <w:vAlign w:val="top"/>
                </w:tcPr>
                <w:p>
                  <w:pPr>
                    <w:jc w:val="both"/>
                  </w:pPr>
                  <w:r>
                    <w:rPr>
                      <w:color w:val="000000"/>
                      <w:sz w:val="21"/>
                    </w:rPr>
                    <w:t>3</w:t>
                  </w:r>
                </w:p>
              </w:tc>
              <w:tc>
                <w:tcPr>
                  <w:tcW w:type="dxa" w:w="1485"/>
                  <w:vMerge w:val="restart"/>
                  <w:tcBorders>
                    <w:top w:val="none" w:color="000000" w:sz="4"/>
                    <w:left w:val="none" w:color="000000" w:sz="4"/>
                    <w:bottom w:val="single" w:color="000000" w:sz="4"/>
                    <w:right w:val="single" w:color="000000" w:sz="4"/>
                  </w:tcBorders>
                  <w:vAlign w:val="top"/>
                </w:tcPr>
                <w:p>
                  <w:pPr>
                    <w:jc w:val="both"/>
                  </w:pPr>
                  <w:r>
                    <w:rPr>
                      <w:color w:val="000000"/>
                      <w:sz w:val="21"/>
                    </w:rPr>
                    <w:t>省属沙头角林场</w:t>
                  </w: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五亩地</w:t>
                  </w: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五亩地</w:t>
                  </w:r>
                  <w:r>
                    <w:rPr>
                      <w:color w:val="000000"/>
                      <w:sz w:val="21"/>
                    </w:rPr>
                    <w:t>2</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好汉坡</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恩上村</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凤凰楼楼顶</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val="restart"/>
                  <w:tcBorders>
                    <w:top w:val="none" w:color="000000" w:sz="4"/>
                    <w:left w:val="single" w:color="000000" w:sz="4"/>
                    <w:bottom w:val="single" w:color="000000" w:sz="4"/>
                    <w:right w:val="single" w:color="000000" w:sz="4"/>
                  </w:tcBorders>
                  <w:vAlign w:val="top"/>
                </w:tcPr>
                <w:p>
                  <w:pPr>
                    <w:jc w:val="both"/>
                  </w:pPr>
                  <w:r>
                    <w:rPr>
                      <w:color w:val="000000"/>
                      <w:sz w:val="21"/>
                    </w:rPr>
                    <w:t>4</w:t>
                  </w:r>
                </w:p>
              </w:tc>
              <w:tc>
                <w:tcPr>
                  <w:tcW w:type="dxa" w:w="1485"/>
                  <w:vMerge w:val="restart"/>
                  <w:tcBorders>
                    <w:top w:val="none" w:color="000000" w:sz="4"/>
                    <w:left w:val="none" w:color="000000" w:sz="4"/>
                    <w:bottom w:val="single" w:color="000000" w:sz="4"/>
                    <w:right w:val="single" w:color="000000" w:sz="4"/>
                  </w:tcBorders>
                  <w:vAlign w:val="top"/>
                </w:tcPr>
                <w:p>
                  <w:pPr>
                    <w:jc w:val="both"/>
                  </w:pPr>
                  <w:r>
                    <w:rPr>
                      <w:color w:val="000000"/>
                      <w:sz w:val="21"/>
                    </w:rPr>
                    <w:t>省属九连山林场</w:t>
                  </w: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田源基站</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江面基站</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增坝基站</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tcBorders>
                    <w:top w:val="none" w:color="000000" w:sz="4"/>
                    <w:left w:val="single" w:color="000000" w:sz="4"/>
                    <w:bottom w:val="single" w:color="000000" w:sz="4"/>
                    <w:right w:val="single" w:color="000000" w:sz="4"/>
                  </w:tcBorders>
                  <w:vAlign w:val="top"/>
                </w:tcPr>
                <w:p>
                  <w:pPr>
                    <w:jc w:val="both"/>
                  </w:pPr>
                  <w:r>
                    <w:rPr>
                      <w:color w:val="000000"/>
                      <w:sz w:val="21"/>
                    </w:rPr>
                    <w:t>5</w:t>
                  </w:r>
                </w:p>
              </w:tc>
              <w:tc>
                <w:tcPr>
                  <w:tcW w:type="dxa" w:w="3630"/>
                  <w:gridSpan w:val="2"/>
                  <w:tcBorders>
                    <w:top w:val="none" w:color="000000" w:sz="4"/>
                    <w:left w:val="none" w:color="000000" w:sz="4"/>
                    <w:bottom w:val="single" w:color="000000" w:sz="4"/>
                    <w:right w:val="single" w:color="000000" w:sz="4"/>
                  </w:tcBorders>
                  <w:vAlign w:val="top"/>
                </w:tcPr>
                <w:p>
                  <w:pPr>
                    <w:jc w:val="both"/>
                  </w:pPr>
                  <w:r>
                    <w:rPr>
                      <w:color w:val="000000"/>
                      <w:sz w:val="21"/>
                    </w:rPr>
                    <w:t>合计</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23</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bl>
          <w:p>
            <w:pPr>
              <w:jc w:val="both"/>
            </w:pPr>
            <w:r>
              <w:rPr>
                <w:color w:val="000000"/>
                <w:sz w:val="21"/>
              </w:rPr>
              <w:t>三、项目服务要求</w:t>
            </w:r>
          </w:p>
          <w:p>
            <w:pPr>
              <w:jc w:val="both"/>
            </w:pPr>
            <w:r>
              <w:rPr>
                <w:color w:val="000000"/>
                <w:sz w:val="21"/>
              </w:rPr>
              <w:t>1.</w:t>
            </w:r>
            <w:r>
              <w:rPr>
                <w:color w:val="000000"/>
                <w:sz w:val="21"/>
              </w:rPr>
              <w:t>铁塔租赁服务要求</w:t>
            </w:r>
          </w:p>
          <w:p>
            <w:pPr>
              <w:jc w:val="both"/>
            </w:pPr>
            <w:r>
              <w:rPr>
                <w:color w:val="000000"/>
                <w:sz w:val="21"/>
              </w:rPr>
              <w:t>（</w:t>
            </w:r>
            <w:r>
              <w:rPr>
                <w:color w:val="000000"/>
                <w:sz w:val="21"/>
              </w:rPr>
              <w:t>1</w:t>
            </w:r>
            <w:r>
              <w:rPr>
                <w:color w:val="000000"/>
                <w:sz w:val="21"/>
              </w:rPr>
              <w:t>）本项目铁塔租赁服务</w:t>
            </w:r>
            <w:r>
              <w:rPr>
                <w:color w:val="000000"/>
                <w:sz w:val="21"/>
              </w:rPr>
              <w:t>23</w:t>
            </w:r>
            <w:r>
              <w:rPr>
                <w:color w:val="000000"/>
                <w:sz w:val="21"/>
              </w:rPr>
              <w:t>项【其中</w:t>
            </w:r>
            <w:r>
              <w:rPr>
                <w:color w:val="000000"/>
                <w:sz w:val="21"/>
              </w:rPr>
              <w:t>:</w:t>
            </w:r>
            <w:r>
              <w:rPr>
                <w:color w:val="000000"/>
                <w:sz w:val="21"/>
              </w:rPr>
              <w:t>林场</w:t>
            </w:r>
            <w:r>
              <w:rPr>
                <w:color w:val="000000"/>
                <w:sz w:val="21"/>
              </w:rPr>
              <w:t>23</w:t>
            </w:r>
            <w:r>
              <w:rPr>
                <w:color w:val="000000"/>
                <w:sz w:val="21"/>
              </w:rPr>
              <w:t>项（含物业</w:t>
            </w:r>
            <w:r>
              <w:rPr>
                <w:color w:val="000000"/>
                <w:sz w:val="21"/>
              </w:rPr>
              <w:t>2</w:t>
            </w:r>
            <w:r>
              <w:rPr>
                <w:color w:val="000000"/>
                <w:sz w:val="21"/>
              </w:rPr>
              <w:t>项）】，铁塔作为视频监控前端的支撑点，应具备相应的挂设空间，保障其处于安全、稳定状态，出现自然灾害破坏的情况时，需要及时进行维修。为了保证视频监测点位的视野，周边无明显的建筑物阻挡。</w:t>
            </w:r>
          </w:p>
          <w:p>
            <w:pPr>
              <w:jc w:val="both"/>
            </w:pPr>
            <w:r>
              <w:rPr>
                <w:color w:val="000000"/>
                <w:sz w:val="21"/>
              </w:rPr>
              <w:t>（</w:t>
            </w:r>
            <w:r>
              <w:rPr>
                <w:color w:val="000000"/>
                <w:sz w:val="21"/>
              </w:rPr>
              <w:t>2</w:t>
            </w:r>
            <w:r>
              <w:rPr>
                <w:color w:val="000000"/>
                <w:sz w:val="21"/>
              </w:rPr>
              <w:t>）电力输送运营维护服务：电力输送包括运营和维护两部分。其中电力输送运营内容主要是前端视频监测点位的电力费用，需及时向电网单位缴存，多与电力部门沟通，了解随时掌握用电余量，避免欠费断电。中标人不得将电费等相关费用另行向采购单位收取。</w:t>
            </w:r>
          </w:p>
          <w:p>
            <w:pPr>
              <w:jc w:val="both"/>
            </w:pPr>
            <w:r>
              <w:rPr>
                <w:color w:val="000000"/>
                <w:sz w:val="21"/>
              </w:rPr>
              <w:t>2.</w:t>
            </w:r>
            <w:r>
              <w:rPr>
                <w:color w:val="000000"/>
                <w:sz w:val="21"/>
              </w:rPr>
              <w:t>通信服务租赁要求</w:t>
            </w:r>
          </w:p>
          <w:p>
            <w:pPr>
              <w:jc w:val="both"/>
            </w:pPr>
            <w:r>
              <w:rPr>
                <w:color w:val="000000"/>
                <w:sz w:val="21"/>
              </w:rPr>
              <w:t>（</w:t>
            </w:r>
            <w:r>
              <w:rPr>
                <w:color w:val="000000"/>
                <w:sz w:val="21"/>
              </w:rPr>
              <w:t>1</w:t>
            </w:r>
            <w:r>
              <w:rPr>
                <w:color w:val="000000"/>
                <w:sz w:val="21"/>
              </w:rPr>
              <w:t>）通信租赁服务专线</w:t>
            </w:r>
            <w:r>
              <w:rPr>
                <w:color w:val="000000"/>
                <w:sz w:val="21"/>
              </w:rPr>
              <w:t>23</w:t>
            </w:r>
            <w:r>
              <w:rPr>
                <w:color w:val="000000"/>
                <w:sz w:val="21"/>
              </w:rPr>
              <w:t>条，中标人应尽可能采用各种有效方式实现采购人租用的线路连通，最大限度地保证采购租用线路的安全运行。</w:t>
            </w:r>
          </w:p>
          <w:p>
            <w:pPr>
              <w:jc w:val="both"/>
            </w:pPr>
            <w:r>
              <w:rPr>
                <w:color w:val="000000"/>
                <w:sz w:val="21"/>
              </w:rPr>
              <w:t>（</w:t>
            </w:r>
            <w:r>
              <w:rPr>
                <w:color w:val="000000"/>
                <w:sz w:val="21"/>
              </w:rPr>
              <w:t>2</w:t>
            </w:r>
            <w:r>
              <w:rPr>
                <w:color w:val="000000"/>
                <w:sz w:val="21"/>
              </w:rPr>
              <w:t>）中标人应负责对向采购人所提供专用线路以及相关设备的定期检查、日常维护、修缮及保养，加强值班和监测，保证线路不中断，网络故障修复后，中标人应及时通知采购人。</w:t>
            </w:r>
          </w:p>
          <w:p>
            <w:pPr>
              <w:jc w:val="both"/>
            </w:pPr>
            <w:r>
              <w:rPr>
                <w:color w:val="000000"/>
                <w:sz w:val="21"/>
              </w:rPr>
              <w:t>（</w:t>
            </w:r>
            <w:r>
              <w:rPr>
                <w:color w:val="000000"/>
                <w:sz w:val="21"/>
              </w:rPr>
              <w:t>3</w:t>
            </w:r>
            <w:r>
              <w:rPr>
                <w:color w:val="000000"/>
                <w:sz w:val="21"/>
              </w:rPr>
              <w:t>）中标人由于割接、维修等正常计划原因需中断采购人租用的线路时，应提前</w:t>
            </w:r>
            <w:r>
              <w:rPr>
                <w:color w:val="000000"/>
                <w:sz w:val="21"/>
              </w:rPr>
              <w:t>72</w:t>
            </w:r>
            <w:r>
              <w:rPr>
                <w:color w:val="000000"/>
                <w:sz w:val="21"/>
              </w:rPr>
              <w:t>小时书面通知采购人，并安排相应措施尽量保证该线路的畅通，对于紧急情况，采购人与中标人双方另行协商。</w:t>
            </w:r>
          </w:p>
          <w:p>
            <w:pPr>
              <w:jc w:val="both"/>
            </w:pPr>
            <w:r>
              <w:rPr>
                <w:color w:val="000000"/>
                <w:sz w:val="21"/>
              </w:rPr>
              <w:t>3.</w:t>
            </w:r>
            <w:r>
              <w:rPr>
                <w:color w:val="000000"/>
                <w:sz w:val="21"/>
              </w:rPr>
              <w:t>服务其他要求</w:t>
            </w:r>
          </w:p>
          <w:p>
            <w:pPr>
              <w:jc w:val="both"/>
            </w:pPr>
            <w:r>
              <w:rPr>
                <w:color w:val="000000"/>
                <w:sz w:val="21"/>
              </w:rPr>
              <w:t>1</w:t>
            </w:r>
            <w:r>
              <w:rPr>
                <w:color w:val="000000"/>
                <w:sz w:val="21"/>
              </w:rPr>
              <w:t>、中标人应根据本项目的实际情况，组织安排固定服务于本项目技术人员，正常运行率≥</w:t>
            </w:r>
            <w:r>
              <w:rPr>
                <w:color w:val="000000"/>
                <w:sz w:val="21"/>
              </w:rPr>
              <w:t>85%</w:t>
            </w:r>
            <w:r>
              <w:rPr>
                <w:color w:val="000000"/>
                <w:sz w:val="21"/>
              </w:rPr>
              <w:t>（因不可抗力的自然灾害除外，但需双方及时沟通）。</w:t>
            </w:r>
          </w:p>
          <w:p>
            <w:pPr>
              <w:jc w:val="both"/>
            </w:pPr>
            <w:r>
              <w:rPr>
                <w:color w:val="000000"/>
                <w:sz w:val="21"/>
              </w:rPr>
              <w:t>四、售后维护服务要求</w:t>
            </w:r>
          </w:p>
          <w:p>
            <w:pPr>
              <w:jc w:val="both"/>
            </w:pPr>
            <w:r>
              <w:rPr>
                <w:color w:val="000000"/>
                <w:sz w:val="21"/>
              </w:rPr>
              <w:t>售后服务须包括但不限于以下内容：</w:t>
            </w:r>
          </w:p>
          <w:p>
            <w:pPr>
              <w:jc w:val="both"/>
            </w:pPr>
            <w:r>
              <w:rPr>
                <w:color w:val="000000"/>
                <w:sz w:val="21"/>
              </w:rPr>
              <w:t>1.</w:t>
            </w:r>
            <w:r>
              <w:rPr>
                <w:color w:val="000000"/>
                <w:sz w:val="21"/>
              </w:rPr>
              <w:t>维修服务类型</w:t>
            </w:r>
          </w:p>
          <w:p>
            <w:pPr>
              <w:jc w:val="both"/>
            </w:pPr>
            <w:r>
              <w:rPr>
                <w:color w:val="000000"/>
                <w:sz w:val="21"/>
              </w:rPr>
              <w:t>服务期内，中标人提供维保服务。（因不可抗力因素导致的除外）</w:t>
            </w:r>
          </w:p>
          <w:p>
            <w:pPr>
              <w:jc w:val="both"/>
            </w:pPr>
            <w:r>
              <w:rPr>
                <w:color w:val="000000"/>
                <w:sz w:val="21"/>
              </w:rPr>
              <w:t>2 .</w:t>
            </w:r>
            <w:r>
              <w:rPr>
                <w:color w:val="000000"/>
                <w:sz w:val="21"/>
              </w:rPr>
              <w:t>维修服务收费标准</w:t>
            </w:r>
          </w:p>
          <w:p>
            <w:pPr>
              <w:jc w:val="both"/>
            </w:pPr>
            <w:r>
              <w:rPr>
                <w:color w:val="000000"/>
                <w:sz w:val="21"/>
              </w:rPr>
              <w:t>2.1</w:t>
            </w:r>
            <w:r>
              <w:rPr>
                <w:color w:val="000000"/>
                <w:sz w:val="21"/>
              </w:rPr>
              <w:t>、在服务期内，中标人负责对其提供的铁塔及线路进行定期的维修保养和故障排除，不再向用户单位收取费用。</w:t>
            </w:r>
          </w:p>
          <w:p>
            <w:pPr>
              <w:jc w:val="both"/>
            </w:pPr>
            <w:r>
              <w:rPr>
                <w:color w:val="000000"/>
                <w:sz w:val="21"/>
              </w:rPr>
              <w:t>3.7</w:t>
            </w:r>
            <w:r>
              <w:rPr>
                <w:color w:val="000000"/>
                <w:sz w:val="21"/>
              </w:rPr>
              <w:t>×</w:t>
            </w:r>
            <w:r>
              <w:rPr>
                <w:color w:val="000000"/>
                <w:sz w:val="21"/>
              </w:rPr>
              <w:t>24</w:t>
            </w:r>
            <w:r>
              <w:rPr>
                <w:color w:val="000000"/>
                <w:sz w:val="21"/>
              </w:rPr>
              <w:t>小时电话服务</w:t>
            </w:r>
          </w:p>
          <w:p>
            <w:pPr>
              <w:jc w:val="both"/>
            </w:pPr>
            <w:r>
              <w:rPr>
                <w:color w:val="000000"/>
                <w:sz w:val="21"/>
              </w:rPr>
              <w:t>中标人必须提供</w:t>
            </w:r>
            <w:r>
              <w:rPr>
                <w:color w:val="000000"/>
                <w:sz w:val="21"/>
              </w:rPr>
              <w:t>7</w:t>
            </w:r>
            <w:r>
              <w:rPr>
                <w:color w:val="000000"/>
                <w:sz w:val="21"/>
              </w:rPr>
              <w:t>×</w:t>
            </w:r>
            <w:r>
              <w:rPr>
                <w:color w:val="000000"/>
                <w:sz w:val="21"/>
              </w:rPr>
              <w:t>24</w:t>
            </w:r>
            <w:r>
              <w:rPr>
                <w:color w:val="000000"/>
                <w:sz w:val="21"/>
              </w:rPr>
              <w:t>小时电话服务，若出现故障，或用户单位有相关的技术问题，均可拨打服务电话，向中标人提出服务申请。中标人必须立即响应，提供技术支持，并对问题进行跟踪。</w:t>
            </w:r>
          </w:p>
          <w:p>
            <w:pPr>
              <w:jc w:val="both"/>
            </w:pPr>
            <w:r>
              <w:rPr>
                <w:color w:val="000000"/>
                <w:sz w:val="21"/>
              </w:rPr>
              <w:t>4.</w:t>
            </w:r>
            <w:r>
              <w:rPr>
                <w:color w:val="000000"/>
                <w:sz w:val="21"/>
              </w:rPr>
              <w:t>全面巡检服务</w:t>
            </w:r>
          </w:p>
          <w:p>
            <w:pPr>
              <w:jc w:val="both"/>
            </w:pPr>
            <w:r>
              <w:rPr>
                <w:color w:val="000000"/>
                <w:sz w:val="21"/>
              </w:rPr>
              <w:t>中标人必须提供</w:t>
            </w:r>
            <w:r>
              <w:rPr>
                <w:color w:val="000000"/>
                <w:sz w:val="21"/>
              </w:rPr>
              <w:t>1</w:t>
            </w:r>
            <w:r>
              <w:rPr>
                <w:color w:val="000000"/>
                <w:sz w:val="21"/>
              </w:rPr>
              <w:t>个年度至少一次的全面（预防性）巡检服务。如发现问题，应及时按要求修复。</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林场通信专线租赁服务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林场铁塔及林场通信专线租赁服务需求合并如下：</w:t>
            </w:r>
          </w:p>
          <w:p>
            <w:pPr>
              <w:jc w:val="both"/>
            </w:pPr>
            <w:r>
              <w:rPr>
                <w:color w:val="000000"/>
                <w:sz w:val="21"/>
              </w:rPr>
              <w:t>一</w:t>
            </w:r>
            <w:r>
              <w:rPr>
                <w:color w:val="000000"/>
                <w:sz w:val="21"/>
              </w:rPr>
              <w:t>、项目目标</w:t>
            </w:r>
          </w:p>
          <w:p>
            <w:pPr>
              <w:jc w:val="both"/>
            </w:pPr>
            <w:r>
              <w:rPr>
                <w:color w:val="000000"/>
                <w:sz w:val="21"/>
              </w:rPr>
              <w:t>根据《关于印发广东</w:t>
            </w:r>
            <w:r>
              <w:rPr>
                <w:color w:val="000000"/>
                <w:sz w:val="21"/>
              </w:rPr>
              <w:t>“数字政府”改革建设方案的通知》、《广东“数字政府”改革建设方案》等文件，建立与完善广东省林业局运维服务管理体系，有效利用与整合现有资源，进一步为广东省林业局的信息化基础设施、政务信息系统提供规范化、专业化和高质量的运维服务，确保政务信息系统正常运行，政务业务正常有序开展，提高工作效率和服务能力。</w:t>
            </w:r>
          </w:p>
          <w:p>
            <w:pPr>
              <w:jc w:val="both"/>
            </w:pPr>
            <w:r>
              <w:rPr>
                <w:color w:val="000000"/>
                <w:sz w:val="21"/>
              </w:rPr>
              <w:t>二、项目需求</w:t>
            </w:r>
          </w:p>
          <w:p>
            <w:pPr>
              <w:jc w:val="both"/>
            </w:pPr>
            <w:r>
              <w:rPr>
                <w:color w:val="000000"/>
                <w:sz w:val="21"/>
              </w:rPr>
              <w:t>1.</w:t>
            </w:r>
            <w:r>
              <w:rPr>
                <w:color w:val="000000"/>
                <w:sz w:val="21"/>
              </w:rPr>
              <w:t>林场的铁塔租赁</w:t>
            </w:r>
          </w:p>
          <w:p>
            <w:pPr>
              <w:jc w:val="both"/>
            </w:pPr>
            <w:r>
              <w:rPr>
                <w:color w:val="000000"/>
                <w:sz w:val="21"/>
              </w:rPr>
              <w:t>省属林场</w:t>
            </w:r>
            <w:r>
              <w:rPr>
                <w:color w:val="000000"/>
                <w:sz w:val="21"/>
              </w:rPr>
              <w:t>(</w:t>
            </w:r>
            <w:r>
              <w:rPr>
                <w:color w:val="000000"/>
                <w:sz w:val="21"/>
              </w:rPr>
              <w:t>省属樟木头林场、省属龙眼洞林场、省属沙头角林场、省属九连山林场</w:t>
            </w:r>
            <w:r>
              <w:rPr>
                <w:color w:val="000000"/>
                <w:sz w:val="21"/>
              </w:rPr>
              <w:t>)</w:t>
            </w:r>
            <w:r>
              <w:rPr>
                <w:color w:val="000000"/>
                <w:sz w:val="21"/>
              </w:rPr>
              <w:t>铁塔租赁服务，含</w:t>
            </w:r>
            <w:r>
              <w:rPr>
                <w:color w:val="000000"/>
                <w:sz w:val="21"/>
              </w:rPr>
              <w:t>21</w:t>
            </w:r>
            <w:r>
              <w:rPr>
                <w:color w:val="000000"/>
                <w:sz w:val="21"/>
              </w:rPr>
              <w:t>个铁塔、</w:t>
            </w:r>
            <w:r>
              <w:rPr>
                <w:color w:val="000000"/>
                <w:sz w:val="21"/>
              </w:rPr>
              <w:t>2</w:t>
            </w:r>
            <w:r>
              <w:rPr>
                <w:color w:val="000000"/>
                <w:sz w:val="21"/>
              </w:rPr>
              <w:t>个铁塔物业。</w:t>
            </w:r>
          </w:p>
          <w:p>
            <w:pPr>
              <w:jc w:val="both"/>
            </w:pPr>
            <w:r>
              <w:rPr>
                <w:color w:val="000000"/>
                <w:sz w:val="21"/>
              </w:rPr>
              <w:t>2.</w:t>
            </w:r>
            <w:r>
              <w:rPr>
                <w:color w:val="000000"/>
                <w:sz w:val="21"/>
              </w:rPr>
              <w:t>★服务期限：</w:t>
            </w:r>
            <w:r>
              <w:rPr>
                <w:color w:val="000000"/>
                <w:sz w:val="21"/>
              </w:rPr>
              <w:t>18</w:t>
            </w:r>
            <w:r>
              <w:rPr>
                <w:color w:val="000000"/>
                <w:sz w:val="21"/>
              </w:rPr>
              <w:t>个月（因本项目原服务于</w:t>
            </w:r>
            <w:r>
              <w:rPr>
                <w:color w:val="000000"/>
                <w:sz w:val="21"/>
              </w:rPr>
              <w:t>2022</w:t>
            </w:r>
            <w:r>
              <w:rPr>
                <w:color w:val="000000"/>
                <w:sz w:val="21"/>
              </w:rPr>
              <w:t>年</w:t>
            </w:r>
            <w:r>
              <w:rPr>
                <w:color w:val="000000"/>
                <w:sz w:val="21"/>
              </w:rPr>
              <w:t>12</w:t>
            </w:r>
            <w:r>
              <w:rPr>
                <w:color w:val="000000"/>
                <w:sz w:val="21"/>
              </w:rPr>
              <w:t>月</w:t>
            </w:r>
            <w:r>
              <w:rPr>
                <w:color w:val="000000"/>
                <w:sz w:val="21"/>
              </w:rPr>
              <w:t>31</w:t>
            </w:r>
            <w:r>
              <w:rPr>
                <w:color w:val="000000"/>
                <w:sz w:val="21"/>
              </w:rPr>
              <w:t>日已到期，现服务仍由原来服务机构承担，中标人收到采购人首笔付款后</w:t>
            </w:r>
            <w:r>
              <w:rPr>
                <w:color w:val="000000"/>
                <w:sz w:val="21"/>
              </w:rPr>
              <w:t>5</w:t>
            </w:r>
            <w:r>
              <w:rPr>
                <w:color w:val="000000"/>
                <w:sz w:val="21"/>
              </w:rPr>
              <w:t>个工作日内，根据延长服务天数支付给上一家服务机构）。</w:t>
            </w:r>
          </w:p>
          <w:p>
            <w:pPr>
              <w:jc w:val="both"/>
            </w:pPr>
            <w:r>
              <w:rPr>
                <w:color w:val="000000"/>
                <w:sz w:val="21"/>
              </w:rPr>
              <w:t>表格</w:t>
            </w:r>
            <w:r>
              <w:rPr>
                <w:color w:val="000000"/>
                <w:sz w:val="21"/>
              </w:rPr>
              <w:t>2?1</w:t>
            </w:r>
            <w:r>
              <w:rPr>
                <w:color w:val="000000"/>
                <w:sz w:val="21"/>
              </w:rPr>
              <w:t>林场的铁塔租赁服务清单</w:t>
            </w:r>
          </w:p>
          <w:tbl>
            <w:tblPr>
              <w:tblBorders>
                <w:top w:val="none" w:color="000000" w:sz="4"/>
                <w:left w:val="none" w:color="000000" w:sz="4"/>
                <w:bottom w:val="none" w:color="000000" w:sz="4"/>
                <w:right w:val="none" w:color="000000" w:sz="4"/>
                <w:insideH w:val="none"/>
                <w:insideV w:val="none"/>
              </w:tblBorders>
            </w:tblPr>
            <w:tblGrid>
              <w:gridCol w:w="465"/>
              <w:gridCol w:w="1740"/>
              <w:gridCol w:w="1335"/>
              <w:gridCol w:w="825"/>
              <w:gridCol w:w="795"/>
            </w:tblGrid>
            <w:tr>
              <w:tc>
                <w:tcPr>
                  <w:tcW w:type="dxa" w:w="465"/>
                  <w:tcBorders>
                    <w:top w:val="single" w:color="000000" w:sz="4"/>
                    <w:left w:val="single" w:color="000000" w:sz="4"/>
                    <w:bottom w:val="single" w:color="000000" w:sz="4"/>
                    <w:right w:val="single" w:color="000000" w:sz="4"/>
                  </w:tcBorders>
                  <w:vAlign w:val="top"/>
                </w:tcPr>
                <w:p>
                  <w:pPr>
                    <w:jc w:val="both"/>
                  </w:pPr>
                  <w:r>
                    <w:rPr>
                      <w:color w:val="000000"/>
                      <w:sz w:val="21"/>
                    </w:rPr>
                    <w:t>序号</w:t>
                  </w:r>
                </w:p>
              </w:tc>
              <w:tc>
                <w:tcPr>
                  <w:tcW w:type="dxa" w:w="1740"/>
                  <w:tcBorders>
                    <w:top w:val="single" w:color="000000" w:sz="4"/>
                    <w:left w:val="single" w:color="000000" w:sz="4"/>
                    <w:bottom w:val="single" w:color="000000" w:sz="4"/>
                    <w:right w:val="single" w:color="000000" w:sz="4"/>
                  </w:tcBorders>
                  <w:vAlign w:val="top"/>
                </w:tcPr>
                <w:p>
                  <w:pPr>
                    <w:jc w:val="both"/>
                  </w:pPr>
                  <w:r>
                    <w:rPr>
                      <w:color w:val="000000"/>
                      <w:sz w:val="21"/>
                    </w:rPr>
                    <w:t>林场名称</w:t>
                  </w:r>
                </w:p>
              </w:tc>
              <w:tc>
                <w:tcPr>
                  <w:tcW w:type="dxa" w:w="1335"/>
                  <w:tcBorders>
                    <w:top w:val="single" w:color="000000" w:sz="4"/>
                    <w:left w:val="single" w:color="000000" w:sz="4"/>
                    <w:bottom w:val="single" w:color="000000" w:sz="4"/>
                    <w:right w:val="single" w:color="000000" w:sz="4"/>
                  </w:tcBorders>
                  <w:vAlign w:val="top"/>
                </w:tcPr>
                <w:p>
                  <w:pPr>
                    <w:jc w:val="both"/>
                  </w:pPr>
                  <w:r>
                    <w:rPr>
                      <w:color w:val="000000"/>
                      <w:sz w:val="21"/>
                    </w:rPr>
                    <w:t>设备名称</w:t>
                  </w:r>
                </w:p>
              </w:tc>
              <w:tc>
                <w:tcPr>
                  <w:tcW w:type="dxa" w:w="825"/>
                  <w:tcBorders>
                    <w:top w:val="single" w:color="000000" w:sz="4"/>
                    <w:left w:val="single" w:color="000000" w:sz="4"/>
                    <w:bottom w:val="single" w:color="000000" w:sz="4"/>
                    <w:right w:val="single" w:color="000000" w:sz="4"/>
                  </w:tcBorders>
                  <w:vAlign w:val="top"/>
                </w:tcPr>
                <w:p>
                  <w:pPr>
                    <w:jc w:val="both"/>
                  </w:pPr>
                  <w:r>
                    <w:rPr>
                      <w:color w:val="000000"/>
                      <w:sz w:val="21"/>
                    </w:rPr>
                    <w:t>单位</w:t>
                  </w:r>
                </w:p>
              </w:tc>
              <w:tc>
                <w:tcPr>
                  <w:tcW w:type="dxa" w:w="795"/>
                  <w:tcBorders>
                    <w:top w:val="single" w:color="000000" w:sz="4"/>
                    <w:left w:val="single" w:color="000000" w:sz="4"/>
                    <w:bottom w:val="single" w:color="000000" w:sz="4"/>
                    <w:right w:val="single" w:color="000000" w:sz="4"/>
                  </w:tcBorders>
                  <w:vAlign w:val="top"/>
                </w:tcPr>
                <w:p>
                  <w:pPr>
                    <w:jc w:val="both"/>
                  </w:pPr>
                  <w:r>
                    <w:rPr>
                      <w:color w:val="000000"/>
                      <w:sz w:val="21"/>
                    </w:rPr>
                    <w:t>数量</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1</w:t>
                  </w:r>
                </w:p>
              </w:tc>
              <w:tc>
                <w:tcPr>
                  <w:tcW w:type="dxa" w:w="1740"/>
                  <w:vMerge w:val="restart"/>
                  <w:tcBorders>
                    <w:top w:val="none" w:color="000000" w:sz="4"/>
                    <w:left w:val="single" w:color="000000" w:sz="4"/>
                    <w:bottom w:val="single" w:color="000000" w:sz="4"/>
                    <w:right w:val="single" w:color="000000" w:sz="4"/>
                  </w:tcBorders>
                  <w:vAlign w:val="top"/>
                </w:tcPr>
                <w:p>
                  <w:pPr>
                    <w:jc w:val="both"/>
                  </w:pPr>
                  <w:r>
                    <w:rPr>
                      <w:color w:val="000000"/>
                      <w:sz w:val="21"/>
                    </w:rPr>
                    <w:t>省属樟木头林场</w:t>
                  </w: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铁塔租赁（物业）</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2</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2</w:t>
                  </w:r>
                </w:p>
              </w:tc>
              <w:tc>
                <w:tcPr>
                  <w:tcW w:type="dxa" w:w="1740"/>
                  <w:vMerge/>
                  <w:tcBorders>
                    <w:top w:val="none" w:color="000000" w:sz="4"/>
                    <w:left w:val="single" w:color="000000" w:sz="4"/>
                    <w:bottom w:val="single" w:color="000000" w:sz="4"/>
                    <w:right w:val="single" w:color="000000" w:sz="4"/>
                  </w:tcBorders>
                </w:tcP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6</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3</w:t>
                  </w:r>
                </w:p>
              </w:tc>
              <w:tc>
                <w:tcPr>
                  <w:tcW w:type="dxa" w:w="1740"/>
                  <w:tcBorders>
                    <w:top w:val="none" w:color="000000" w:sz="4"/>
                    <w:left w:val="single" w:color="000000" w:sz="4"/>
                    <w:bottom w:val="single" w:color="000000" w:sz="4"/>
                    <w:right w:val="single" w:color="000000" w:sz="4"/>
                  </w:tcBorders>
                  <w:vAlign w:val="top"/>
                </w:tcPr>
                <w:p>
                  <w:pPr>
                    <w:jc w:val="both"/>
                  </w:pPr>
                  <w:r>
                    <w:rPr>
                      <w:color w:val="000000"/>
                      <w:sz w:val="21"/>
                    </w:rPr>
                    <w:t>省属龙眼洞林场</w:t>
                  </w: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7</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4</w:t>
                  </w:r>
                </w:p>
              </w:tc>
              <w:tc>
                <w:tcPr>
                  <w:tcW w:type="dxa" w:w="1740"/>
                  <w:tcBorders>
                    <w:top w:val="none" w:color="000000" w:sz="4"/>
                    <w:left w:val="single" w:color="000000" w:sz="4"/>
                    <w:bottom w:val="single" w:color="000000" w:sz="4"/>
                    <w:right w:val="single" w:color="000000" w:sz="4"/>
                  </w:tcBorders>
                  <w:vAlign w:val="top"/>
                </w:tcPr>
                <w:p>
                  <w:pPr>
                    <w:jc w:val="both"/>
                  </w:pPr>
                  <w:r>
                    <w:rPr>
                      <w:color w:val="000000"/>
                      <w:sz w:val="21"/>
                    </w:rPr>
                    <w:t>省属沙头角林场</w:t>
                  </w: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5</w:t>
                  </w:r>
                </w:p>
              </w:tc>
            </w:tr>
            <w:tr>
              <w:tc>
                <w:tcPr>
                  <w:tcW w:type="dxa" w:w="465"/>
                  <w:tcBorders>
                    <w:top w:val="none" w:color="000000" w:sz="4"/>
                    <w:left w:val="single" w:color="000000" w:sz="4"/>
                    <w:bottom w:val="single" w:color="000000" w:sz="4"/>
                    <w:right w:val="single" w:color="000000" w:sz="4"/>
                  </w:tcBorders>
                  <w:vAlign w:val="top"/>
                </w:tcPr>
                <w:p>
                  <w:pPr>
                    <w:jc w:val="both"/>
                  </w:pPr>
                  <w:r>
                    <w:rPr>
                      <w:color w:val="000000"/>
                      <w:sz w:val="21"/>
                    </w:rPr>
                    <w:t>5</w:t>
                  </w:r>
                </w:p>
              </w:tc>
              <w:tc>
                <w:tcPr>
                  <w:tcW w:type="dxa" w:w="1740"/>
                  <w:tcBorders>
                    <w:top w:val="none" w:color="000000" w:sz="4"/>
                    <w:left w:val="single" w:color="000000" w:sz="4"/>
                    <w:bottom w:val="single" w:color="000000" w:sz="4"/>
                    <w:right w:val="single" w:color="000000" w:sz="4"/>
                  </w:tcBorders>
                  <w:vAlign w:val="top"/>
                </w:tcPr>
                <w:p>
                  <w:pPr>
                    <w:jc w:val="both"/>
                  </w:pPr>
                  <w:r>
                    <w:rPr>
                      <w:color w:val="000000"/>
                      <w:sz w:val="21"/>
                    </w:rPr>
                    <w:t>省属九连山林场</w:t>
                  </w:r>
                </w:p>
              </w:tc>
              <w:tc>
                <w:tcPr>
                  <w:tcW w:type="dxa" w:w="1335"/>
                  <w:tcBorders>
                    <w:top w:val="none" w:color="000000" w:sz="4"/>
                    <w:left w:val="single" w:color="000000" w:sz="4"/>
                    <w:bottom w:val="single" w:color="000000" w:sz="4"/>
                    <w:right w:val="single" w:color="000000" w:sz="4"/>
                  </w:tcBorders>
                  <w:vAlign w:val="top"/>
                </w:tcPr>
                <w:p>
                  <w:pPr>
                    <w:jc w:val="both"/>
                  </w:pPr>
                  <w:r>
                    <w:rPr>
                      <w:color w:val="000000"/>
                      <w:sz w:val="21"/>
                    </w:rPr>
                    <w:t>铁塔租赁</w:t>
                  </w:r>
                </w:p>
              </w:tc>
              <w:tc>
                <w:tcPr>
                  <w:tcW w:type="dxa" w:w="825"/>
                  <w:tcBorders>
                    <w:top w:val="none" w:color="000000" w:sz="4"/>
                    <w:left w:val="single" w:color="000000" w:sz="4"/>
                    <w:bottom w:val="single" w:color="000000" w:sz="4"/>
                    <w:right w:val="single" w:color="000000" w:sz="4"/>
                  </w:tcBorders>
                  <w:vAlign w:val="top"/>
                </w:tcPr>
                <w:p>
                  <w:pPr>
                    <w:jc w:val="both"/>
                  </w:pPr>
                  <w:r>
                    <w:rPr>
                      <w:color w:val="000000"/>
                      <w:sz w:val="21"/>
                    </w:rPr>
                    <w:t>项</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3</w:t>
                  </w:r>
                </w:p>
              </w:tc>
            </w:tr>
            <w:tr>
              <w:tc>
                <w:tcPr>
                  <w:tcW w:type="dxa" w:w="4365"/>
                  <w:gridSpan w:val="4"/>
                  <w:tcBorders>
                    <w:top w:val="none" w:color="000000" w:sz="4"/>
                    <w:left w:val="single" w:color="000000" w:sz="4"/>
                    <w:bottom w:val="single" w:color="000000" w:sz="4"/>
                    <w:right w:val="single" w:color="000000" w:sz="4"/>
                  </w:tcBorders>
                  <w:vAlign w:val="top"/>
                </w:tcPr>
                <w:p>
                  <w:pPr>
                    <w:jc w:val="both"/>
                  </w:pPr>
                  <w:r>
                    <w:rPr>
                      <w:color w:val="000000"/>
                      <w:sz w:val="21"/>
                    </w:rPr>
                    <w:t>林场铁塔租赁小计</w:t>
                  </w:r>
                </w:p>
              </w:tc>
              <w:tc>
                <w:tcPr>
                  <w:tcW w:type="dxa" w:w="795"/>
                  <w:tcBorders>
                    <w:top w:val="none" w:color="000000" w:sz="4"/>
                    <w:left w:val="single" w:color="000000" w:sz="4"/>
                    <w:bottom w:val="single" w:color="000000" w:sz="4"/>
                    <w:right w:val="single" w:color="000000" w:sz="4"/>
                  </w:tcBorders>
                  <w:vAlign w:val="top"/>
                </w:tcPr>
                <w:p>
                  <w:pPr>
                    <w:jc w:val="both"/>
                  </w:pPr>
                  <w:r>
                    <w:rPr>
                      <w:color w:val="000000"/>
                      <w:sz w:val="21"/>
                    </w:rPr>
                    <w:t>23</w:t>
                  </w:r>
                </w:p>
              </w:tc>
            </w:tr>
          </w:tbl>
          <w:p>
            <w:pPr>
              <w:jc w:val="both"/>
            </w:pPr>
            <w:r>
              <w:rPr>
                <w:color w:val="000000"/>
                <w:sz w:val="21"/>
              </w:rPr>
              <w:t>3.</w:t>
            </w:r>
            <w:r>
              <w:rPr>
                <w:color w:val="000000"/>
                <w:sz w:val="21"/>
              </w:rPr>
              <w:t>林场的通信专线租赁</w:t>
            </w:r>
          </w:p>
          <w:p>
            <w:pPr>
              <w:jc w:val="both"/>
            </w:pPr>
            <w:r>
              <w:rPr>
                <w:color w:val="000000"/>
                <w:sz w:val="21"/>
              </w:rPr>
              <w:t>省属林场</w:t>
            </w:r>
            <w:r>
              <w:rPr>
                <w:color w:val="000000"/>
                <w:sz w:val="21"/>
              </w:rPr>
              <w:t>23</w:t>
            </w:r>
            <w:r>
              <w:rPr>
                <w:color w:val="000000"/>
                <w:sz w:val="21"/>
              </w:rPr>
              <w:t>条通信专线，约</w:t>
            </w:r>
            <w:r>
              <w:rPr>
                <w:color w:val="000000"/>
                <w:sz w:val="21"/>
              </w:rPr>
              <w:t>12</w:t>
            </w:r>
            <w:r>
              <w:rPr>
                <w:color w:val="000000"/>
                <w:sz w:val="21"/>
              </w:rPr>
              <w:t>个月租赁服务。服务期限：</w:t>
            </w:r>
            <w:r>
              <w:rPr>
                <w:color w:val="000000"/>
                <w:sz w:val="21"/>
              </w:rPr>
              <w:t>2023</w:t>
            </w:r>
            <w:r>
              <w:rPr>
                <w:color w:val="000000"/>
                <w:sz w:val="21"/>
              </w:rPr>
              <w:t>年</w:t>
            </w:r>
            <w:r>
              <w:rPr>
                <w:color w:val="000000"/>
                <w:sz w:val="21"/>
              </w:rPr>
              <w:t>6</w:t>
            </w:r>
            <w:r>
              <w:rPr>
                <w:color w:val="000000"/>
                <w:sz w:val="21"/>
              </w:rPr>
              <w:t>月</w:t>
            </w:r>
            <w:r>
              <w:rPr>
                <w:color w:val="000000"/>
                <w:sz w:val="21"/>
              </w:rPr>
              <w:t>23</w:t>
            </w:r>
            <w:r>
              <w:rPr>
                <w:color w:val="000000"/>
                <w:sz w:val="21"/>
              </w:rPr>
              <w:t>日至</w:t>
            </w:r>
            <w:r>
              <w:rPr>
                <w:color w:val="000000"/>
                <w:sz w:val="21"/>
              </w:rPr>
              <w:t>2024</w:t>
            </w:r>
            <w:r>
              <w:rPr>
                <w:color w:val="000000"/>
                <w:sz w:val="21"/>
              </w:rPr>
              <w:t>年</w:t>
            </w:r>
            <w:r>
              <w:rPr>
                <w:color w:val="000000"/>
                <w:sz w:val="21"/>
              </w:rPr>
              <w:t>6</w:t>
            </w:r>
            <w:r>
              <w:rPr>
                <w:color w:val="000000"/>
                <w:sz w:val="21"/>
              </w:rPr>
              <w:t>月</w:t>
            </w:r>
            <w:r>
              <w:rPr>
                <w:color w:val="000000"/>
                <w:sz w:val="21"/>
              </w:rPr>
              <w:t>30</w:t>
            </w:r>
            <w:r>
              <w:rPr>
                <w:color w:val="000000"/>
                <w:sz w:val="21"/>
              </w:rPr>
              <w:t>日</w:t>
            </w:r>
          </w:p>
          <w:p>
            <w:pPr>
              <w:jc w:val="both"/>
            </w:pPr>
            <w:r>
              <w:rPr>
                <w:color w:val="000000"/>
                <w:sz w:val="21"/>
              </w:rPr>
              <w:t>表格</w:t>
            </w:r>
            <w:r>
              <w:rPr>
                <w:color w:val="000000"/>
                <w:sz w:val="21"/>
              </w:rPr>
              <w:t>2?3</w:t>
            </w:r>
            <w:r>
              <w:rPr>
                <w:color w:val="000000"/>
                <w:sz w:val="21"/>
              </w:rPr>
              <w:t>林场的通信专线租赁服务清单</w:t>
            </w:r>
          </w:p>
          <w:tbl>
            <w:tblPr>
              <w:tblBorders>
                <w:top w:val="none" w:color="000000" w:sz="4"/>
                <w:left w:val="none" w:color="000000" w:sz="4"/>
                <w:bottom w:val="none" w:color="000000" w:sz="4"/>
                <w:right w:val="none" w:color="000000" w:sz="4"/>
                <w:insideH w:val="none"/>
                <w:insideV w:val="none"/>
              </w:tblBorders>
            </w:tblPr>
            <w:tblGrid>
              <w:gridCol w:w="585"/>
              <w:gridCol w:w="1950"/>
              <w:gridCol w:w="1500"/>
              <w:gridCol w:w="570"/>
              <w:gridCol w:w="870"/>
            </w:tblGrid>
            <w:tr>
              <w:tc>
                <w:tcPr>
                  <w:tcW w:type="dxa" w:w="58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950"/>
                  <w:tcBorders>
                    <w:top w:val="single" w:color="000000" w:sz="4"/>
                    <w:left w:val="single" w:color="000000" w:sz="4"/>
                    <w:bottom w:val="single" w:color="000000" w:sz="4"/>
                    <w:right w:val="single" w:color="000000" w:sz="4"/>
                  </w:tcBorders>
                  <w:vAlign w:val="top"/>
                </w:tcPr>
                <w:p>
                  <w:pPr>
                    <w:jc w:val="center"/>
                  </w:pPr>
                  <w:r>
                    <w:rPr>
                      <w:color w:val="000000"/>
                      <w:sz w:val="21"/>
                    </w:rPr>
                    <w:t>林场名称</w:t>
                  </w:r>
                </w:p>
              </w:tc>
              <w:tc>
                <w:tcPr>
                  <w:tcW w:type="dxa" w:w="1500"/>
                  <w:tcBorders>
                    <w:top w:val="single" w:color="000000" w:sz="4"/>
                    <w:left w:val="single" w:color="000000" w:sz="4"/>
                    <w:bottom w:val="single" w:color="000000" w:sz="4"/>
                    <w:right w:val="single" w:color="000000" w:sz="4"/>
                  </w:tcBorders>
                  <w:vAlign w:val="top"/>
                </w:tcPr>
                <w:p>
                  <w:pPr>
                    <w:jc w:val="center"/>
                  </w:pPr>
                  <w:r>
                    <w:rPr>
                      <w:color w:val="000000"/>
                      <w:sz w:val="21"/>
                    </w:rPr>
                    <w:t>摄像头</w:t>
                  </w:r>
                </w:p>
              </w:tc>
              <w:tc>
                <w:tcPr>
                  <w:tcW w:type="dxa" w:w="570"/>
                  <w:tcBorders>
                    <w:top w:val="single" w:color="000000" w:sz="4"/>
                    <w:left w:val="single" w:color="000000" w:sz="4"/>
                    <w:bottom w:val="single" w:color="000000" w:sz="4"/>
                    <w:right w:val="single" w:color="000000" w:sz="4"/>
                  </w:tcBorders>
                  <w:vAlign w:val="top"/>
                </w:tcPr>
                <w:p>
                  <w:pPr>
                    <w:jc w:val="center"/>
                  </w:pPr>
                  <w:r>
                    <w:rPr>
                      <w:color w:val="000000"/>
                      <w:sz w:val="21"/>
                    </w:rPr>
                    <w:t>规格</w:t>
                  </w:r>
                </w:p>
              </w:tc>
              <w:tc>
                <w:tcPr>
                  <w:tcW w:type="dxa" w:w="870"/>
                  <w:tcBorders>
                    <w:top w:val="single" w:color="000000" w:sz="4"/>
                    <w:left w:val="single" w:color="000000" w:sz="4"/>
                    <w:bottom w:val="single" w:color="000000" w:sz="4"/>
                    <w:right w:val="single" w:color="000000" w:sz="4"/>
                  </w:tcBorders>
                  <w:vAlign w:val="top"/>
                </w:tcPr>
                <w:p>
                  <w:pPr>
                    <w:jc w:val="center"/>
                  </w:pPr>
                  <w:r>
                    <w:rPr>
                      <w:color w:val="000000"/>
                      <w:sz w:val="21"/>
                    </w:rPr>
                    <w:t>租赁月份</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芙蓉寺基站</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r>
                    <w:rPr>
                      <w:color w:val="000000"/>
                      <w:sz w:val="21"/>
                    </w:rPr>
                    <w:t>‘’</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宝山工业区翠景花园楼</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宝山工业区温莎堡</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牛眠埔工区大钟岭水库</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五埂工区后山顶</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勒竹赤尾洞林区高速路侧</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勒竹排蛇场入口林区</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省属樟木头林场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宝山瞭望塔</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帽峰山顶西北侧</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帽峰山顶西南侧</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帽峰山山顶广场</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火炉山西北侧</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龙眼洞小区</w:t>
                  </w:r>
                  <w:r>
                    <w:rPr>
                      <w:color w:val="000000"/>
                      <w:sz w:val="21"/>
                    </w:rPr>
                    <w:t>01</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龙眼洞小区</w:t>
                  </w:r>
                  <w:r>
                    <w:rPr>
                      <w:color w:val="000000"/>
                      <w:sz w:val="21"/>
                    </w:rPr>
                    <w:t>02</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省属龙眼洞林场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火炉山西边山腰</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恩上村</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好汉坡</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五亩地</w:t>
                  </w:r>
                  <w:r>
                    <w:rPr>
                      <w:color w:val="000000"/>
                      <w:sz w:val="21"/>
                    </w:rPr>
                    <w:t>1</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五亩地</w:t>
                  </w:r>
                  <w:r>
                    <w:rPr>
                      <w:color w:val="000000"/>
                      <w:sz w:val="21"/>
                    </w:rPr>
                    <w:t>2</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省属沙头角林场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凤凰楼楼顶</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省属九连山林场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田源基站</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省属九连山林场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江面基站</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r>
              <w:tc>
                <w:tcPr>
                  <w:tcW w:type="dxa" w:w="585"/>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950"/>
                  <w:tcBorders>
                    <w:top w:val="none" w:color="000000" w:sz="4"/>
                    <w:left w:val="single" w:color="000000" w:sz="4"/>
                    <w:bottom w:val="single" w:color="000000" w:sz="4"/>
                    <w:right w:val="single" w:color="000000" w:sz="4"/>
                  </w:tcBorders>
                  <w:vAlign w:val="top"/>
                </w:tcPr>
                <w:p>
                  <w:pPr>
                    <w:jc w:val="center"/>
                  </w:pPr>
                  <w:r>
                    <w:rPr>
                      <w:color w:val="000000"/>
                      <w:sz w:val="21"/>
                    </w:rPr>
                    <w:t>省属九连山林场</w:t>
                  </w:r>
                </w:p>
              </w:tc>
              <w:tc>
                <w:tcPr>
                  <w:tcW w:type="dxa" w:w="1500"/>
                  <w:tcBorders>
                    <w:top w:val="none" w:color="000000" w:sz="4"/>
                    <w:left w:val="single" w:color="000000" w:sz="4"/>
                    <w:bottom w:val="single" w:color="000000" w:sz="4"/>
                    <w:right w:val="single" w:color="000000" w:sz="4"/>
                  </w:tcBorders>
                  <w:vAlign w:val="top"/>
                </w:tcPr>
                <w:p>
                  <w:pPr>
                    <w:jc w:val="center"/>
                  </w:pPr>
                  <w:r>
                    <w:rPr>
                      <w:color w:val="000000"/>
                      <w:sz w:val="21"/>
                    </w:rPr>
                    <w:t>增坝基站</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8M</w:t>
                  </w:r>
                </w:p>
              </w:tc>
              <w:tc>
                <w:tcPr>
                  <w:tcW w:type="dxa" w:w="870"/>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2</w:t>
                  </w:r>
                </w:p>
              </w:tc>
            </w:tr>
          </w:tbl>
          <w:p>
            <w:pPr>
              <w:jc w:val="both"/>
            </w:pPr>
            <w:r>
              <w:rPr>
                <w:color w:val="000000"/>
                <w:sz w:val="21"/>
              </w:rPr>
              <w:t>4 .</w:t>
            </w:r>
            <w:r>
              <w:rPr>
                <w:color w:val="000000"/>
                <w:sz w:val="21"/>
              </w:rPr>
              <w:t>服务地址清单</w:t>
            </w:r>
          </w:p>
          <w:p>
            <w:pPr>
              <w:jc w:val="both"/>
            </w:pPr>
            <w:r>
              <w:rPr>
                <w:color w:val="000000"/>
                <w:sz w:val="21"/>
              </w:rPr>
              <w:t>省属樟木头林场、省属龙眼洞林场、省属沙头角林场、省属九连山林场前端监测点如下：</w:t>
            </w:r>
          </w:p>
          <w:tbl>
            <w:tblPr>
              <w:tblInd w:type="dxa" w:w="120"/>
              <w:tblBorders>
                <w:top w:val="none" w:color="000000" w:sz="4"/>
                <w:left w:val="none" w:color="000000" w:sz="4"/>
                <w:bottom w:val="none" w:color="000000" w:sz="4"/>
                <w:right w:val="none" w:color="000000" w:sz="4"/>
                <w:insideH w:val="none"/>
                <w:insideV w:val="none"/>
              </w:tblBorders>
            </w:tblPr>
            <w:tblGrid>
              <w:gridCol w:w="630"/>
              <w:gridCol w:w="1485"/>
              <w:gridCol w:w="2145"/>
              <w:gridCol w:w="630"/>
              <w:gridCol w:w="630"/>
            </w:tblGrid>
            <w:tr>
              <w:tc>
                <w:tcPr>
                  <w:tcW w:type="dxa" w:w="630"/>
                  <w:tcBorders>
                    <w:top w:val="single" w:color="000000" w:sz="4"/>
                    <w:left w:val="single" w:color="000000" w:sz="4"/>
                    <w:bottom w:val="single" w:color="000000" w:sz="4"/>
                    <w:right w:val="single" w:color="000000" w:sz="4"/>
                  </w:tcBorders>
                  <w:vAlign w:val="top"/>
                </w:tcPr>
                <w:p>
                  <w:pPr>
                    <w:jc w:val="both"/>
                  </w:pPr>
                  <w:r>
                    <w:rPr>
                      <w:color w:val="000000"/>
                      <w:sz w:val="21"/>
                    </w:rPr>
                    <w:t>序号</w:t>
                  </w:r>
                </w:p>
              </w:tc>
              <w:tc>
                <w:tcPr>
                  <w:tcW w:type="dxa" w:w="1485"/>
                  <w:tcBorders>
                    <w:top w:val="single" w:color="000000" w:sz="4"/>
                    <w:left w:val="none" w:color="000000" w:sz="4"/>
                    <w:bottom w:val="single" w:color="000000" w:sz="4"/>
                    <w:right w:val="single" w:color="000000" w:sz="4"/>
                  </w:tcBorders>
                  <w:vAlign w:val="top"/>
                </w:tcPr>
                <w:p>
                  <w:pPr>
                    <w:jc w:val="both"/>
                  </w:pPr>
                  <w:r>
                    <w:rPr>
                      <w:color w:val="000000"/>
                      <w:sz w:val="21"/>
                    </w:rPr>
                    <w:t>林场名称</w:t>
                  </w:r>
                </w:p>
              </w:tc>
              <w:tc>
                <w:tcPr>
                  <w:tcW w:type="dxa" w:w="2145"/>
                  <w:tcBorders>
                    <w:top w:val="single" w:color="000000" w:sz="4"/>
                    <w:left w:val="none" w:color="000000" w:sz="4"/>
                    <w:bottom w:val="single" w:color="000000" w:sz="4"/>
                    <w:right w:val="single" w:color="000000" w:sz="4"/>
                  </w:tcBorders>
                  <w:vAlign w:val="top"/>
                </w:tcPr>
                <w:p>
                  <w:pPr>
                    <w:jc w:val="both"/>
                  </w:pPr>
                  <w:r>
                    <w:rPr>
                      <w:color w:val="000000"/>
                      <w:sz w:val="21"/>
                    </w:rPr>
                    <w:t>详细安装位置</w:t>
                  </w:r>
                </w:p>
              </w:tc>
              <w:tc>
                <w:tcPr>
                  <w:tcW w:type="dxa" w:w="630"/>
                  <w:tcBorders>
                    <w:top w:val="single" w:color="000000" w:sz="4"/>
                    <w:left w:val="none" w:color="000000" w:sz="4"/>
                    <w:bottom w:val="single" w:color="000000" w:sz="4"/>
                    <w:right w:val="single" w:color="000000" w:sz="4"/>
                  </w:tcBorders>
                  <w:vAlign w:val="top"/>
                </w:tcPr>
                <w:p>
                  <w:pPr>
                    <w:jc w:val="both"/>
                  </w:pPr>
                  <w:r>
                    <w:rPr>
                      <w:color w:val="000000"/>
                      <w:sz w:val="21"/>
                    </w:rPr>
                    <w:t>数量</w:t>
                  </w:r>
                </w:p>
              </w:tc>
              <w:tc>
                <w:tcPr>
                  <w:tcW w:type="dxa" w:w="630"/>
                  <w:tcBorders>
                    <w:top w:val="single" w:color="000000" w:sz="4"/>
                    <w:left w:val="none" w:color="000000" w:sz="4"/>
                    <w:bottom w:val="single" w:color="000000" w:sz="4"/>
                    <w:right w:val="single" w:color="000000" w:sz="4"/>
                  </w:tcBorders>
                  <w:vAlign w:val="top"/>
                </w:tcPr>
                <w:p>
                  <w:pPr>
                    <w:jc w:val="both"/>
                  </w:pPr>
                  <w:r>
                    <w:rPr>
                      <w:color w:val="000000"/>
                      <w:sz w:val="21"/>
                    </w:rPr>
                    <w:t>单位</w:t>
                  </w:r>
                </w:p>
              </w:tc>
            </w:tr>
            <w:tr>
              <w:tc>
                <w:tcPr>
                  <w:tcW w:type="dxa" w:w="630"/>
                  <w:vMerge w:val="restart"/>
                  <w:tcBorders>
                    <w:top w:val="none" w:color="000000" w:sz="4"/>
                    <w:left w:val="single" w:color="000000" w:sz="4"/>
                    <w:bottom w:val="single" w:color="000000" w:sz="4"/>
                    <w:right w:val="single" w:color="000000" w:sz="4"/>
                  </w:tcBorders>
                  <w:vAlign w:val="top"/>
                </w:tcPr>
                <w:p>
                  <w:pPr>
                    <w:jc w:val="both"/>
                  </w:pPr>
                  <w:r>
                    <w:rPr>
                      <w:color w:val="000000"/>
                      <w:sz w:val="21"/>
                    </w:rPr>
                    <w:t>1</w:t>
                  </w:r>
                </w:p>
              </w:tc>
              <w:tc>
                <w:tcPr>
                  <w:tcW w:type="dxa" w:w="1485"/>
                  <w:vMerge w:val="restart"/>
                  <w:tcBorders>
                    <w:top w:val="none" w:color="000000" w:sz="4"/>
                    <w:left w:val="none" w:color="000000" w:sz="4"/>
                    <w:bottom w:val="single" w:color="000000" w:sz="4"/>
                    <w:right w:val="single" w:color="000000" w:sz="4"/>
                  </w:tcBorders>
                  <w:vAlign w:val="top"/>
                </w:tcPr>
                <w:p>
                  <w:pPr>
                    <w:jc w:val="both"/>
                  </w:pPr>
                  <w:r>
                    <w:rPr>
                      <w:color w:val="000000"/>
                      <w:sz w:val="21"/>
                    </w:rPr>
                    <w:t>省属樟木头林场</w:t>
                  </w: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五埂工区后山顶</w:t>
                  </w:r>
                </w:p>
              </w:tc>
              <w:tc>
                <w:tcPr>
                  <w:tcW w:type="dxa" w:w="630"/>
                  <w:tcBorders>
                    <w:top w:val="none" w:color="000000" w:sz="4"/>
                    <w:left w:val="none" w:color="000000" w:sz="4"/>
                    <w:bottom w:val="single" w:color="000000" w:sz="4"/>
                    <w:right w:val="none" w:color="000000" w:sz="4"/>
                  </w:tcBorders>
                  <w:vAlign w:val="top"/>
                </w:tcPr>
                <w:p>
                  <w:pPr>
                    <w:jc w:val="both"/>
                  </w:pPr>
                  <w:r>
                    <w:rPr>
                      <w:color w:val="000000"/>
                      <w:sz w:val="21"/>
                    </w:rPr>
                    <w:t>1</w:t>
                  </w:r>
                </w:p>
              </w:tc>
              <w:tc>
                <w:tcPr>
                  <w:tcW w:type="dxa" w:w="630"/>
                  <w:tcBorders>
                    <w:top w:val="none" w:color="000000" w:sz="4"/>
                    <w:left w:val="singl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宝山工业区翠景花园楼</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宝山工业区温莎堡</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勒竹赤尾洞林区高速路侧</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芙蓉寺基站</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牛眠埔工区大钟岭水库</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勒竹排蛇场入口林区</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宝山瞭望塔</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val="restart"/>
                  <w:tcBorders>
                    <w:top w:val="none" w:color="000000" w:sz="4"/>
                    <w:left w:val="single" w:color="000000" w:sz="4"/>
                    <w:bottom w:val="single" w:color="000000" w:sz="4"/>
                    <w:right w:val="single" w:color="000000" w:sz="4"/>
                  </w:tcBorders>
                  <w:vAlign w:val="top"/>
                </w:tcPr>
                <w:p>
                  <w:pPr>
                    <w:jc w:val="both"/>
                  </w:pPr>
                  <w:r>
                    <w:rPr>
                      <w:color w:val="000000"/>
                      <w:sz w:val="21"/>
                    </w:rPr>
                    <w:t>2</w:t>
                  </w:r>
                </w:p>
              </w:tc>
              <w:tc>
                <w:tcPr>
                  <w:tcW w:type="dxa" w:w="1485"/>
                  <w:vMerge w:val="restart"/>
                  <w:tcBorders>
                    <w:top w:val="none" w:color="000000" w:sz="4"/>
                    <w:left w:val="none" w:color="000000" w:sz="4"/>
                    <w:bottom w:val="single" w:color="000000" w:sz="4"/>
                    <w:right w:val="single" w:color="000000" w:sz="4"/>
                  </w:tcBorders>
                  <w:vAlign w:val="top"/>
                </w:tcPr>
                <w:p>
                  <w:pPr>
                    <w:jc w:val="both"/>
                  </w:pPr>
                  <w:r>
                    <w:rPr>
                      <w:color w:val="000000"/>
                      <w:sz w:val="21"/>
                    </w:rPr>
                    <w:t>省属龙眼洞林场</w:t>
                  </w: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帽峰山顶西北侧</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火炉山西边山腰</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帽峰山山顶广场</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火炉山西北侧</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龙眼洞小区</w:t>
                  </w:r>
                  <w:r>
                    <w:rPr>
                      <w:color w:val="000000"/>
                      <w:sz w:val="21"/>
                    </w:rPr>
                    <w:t>01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龙眼洞小区</w:t>
                  </w:r>
                  <w:r>
                    <w:rPr>
                      <w:color w:val="000000"/>
                      <w:sz w:val="21"/>
                    </w:rPr>
                    <w:t>02</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帽峰山顶西南侧</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val="restart"/>
                  <w:tcBorders>
                    <w:top w:val="none" w:color="000000" w:sz="4"/>
                    <w:left w:val="single" w:color="000000" w:sz="4"/>
                    <w:bottom w:val="single" w:color="000000" w:sz="4"/>
                    <w:right w:val="single" w:color="000000" w:sz="4"/>
                  </w:tcBorders>
                  <w:vAlign w:val="top"/>
                </w:tcPr>
                <w:p>
                  <w:pPr>
                    <w:jc w:val="both"/>
                  </w:pPr>
                  <w:r>
                    <w:rPr>
                      <w:color w:val="000000"/>
                      <w:sz w:val="21"/>
                    </w:rPr>
                    <w:t>3</w:t>
                  </w:r>
                </w:p>
              </w:tc>
              <w:tc>
                <w:tcPr>
                  <w:tcW w:type="dxa" w:w="1485"/>
                  <w:vMerge w:val="restart"/>
                  <w:tcBorders>
                    <w:top w:val="none" w:color="000000" w:sz="4"/>
                    <w:left w:val="none" w:color="000000" w:sz="4"/>
                    <w:bottom w:val="single" w:color="000000" w:sz="4"/>
                    <w:right w:val="single" w:color="000000" w:sz="4"/>
                  </w:tcBorders>
                  <w:vAlign w:val="top"/>
                </w:tcPr>
                <w:p>
                  <w:pPr>
                    <w:jc w:val="both"/>
                  </w:pPr>
                  <w:r>
                    <w:rPr>
                      <w:color w:val="000000"/>
                      <w:sz w:val="21"/>
                    </w:rPr>
                    <w:t>省属沙头角林场</w:t>
                  </w: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五亩地</w:t>
                  </w: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五亩地</w:t>
                  </w:r>
                  <w:r>
                    <w:rPr>
                      <w:color w:val="000000"/>
                      <w:sz w:val="21"/>
                    </w:rPr>
                    <w:t>2</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好汉坡</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恩上村</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凤凰楼楼顶</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val="restart"/>
                  <w:tcBorders>
                    <w:top w:val="none" w:color="000000" w:sz="4"/>
                    <w:left w:val="single" w:color="000000" w:sz="4"/>
                    <w:bottom w:val="single" w:color="000000" w:sz="4"/>
                    <w:right w:val="single" w:color="000000" w:sz="4"/>
                  </w:tcBorders>
                  <w:vAlign w:val="top"/>
                </w:tcPr>
                <w:p>
                  <w:pPr>
                    <w:jc w:val="both"/>
                  </w:pPr>
                  <w:r>
                    <w:rPr>
                      <w:color w:val="000000"/>
                      <w:sz w:val="21"/>
                    </w:rPr>
                    <w:t>4</w:t>
                  </w:r>
                </w:p>
              </w:tc>
              <w:tc>
                <w:tcPr>
                  <w:tcW w:type="dxa" w:w="1485"/>
                  <w:vMerge w:val="restart"/>
                  <w:tcBorders>
                    <w:top w:val="none" w:color="000000" w:sz="4"/>
                    <w:left w:val="none" w:color="000000" w:sz="4"/>
                    <w:bottom w:val="single" w:color="000000" w:sz="4"/>
                    <w:right w:val="single" w:color="000000" w:sz="4"/>
                  </w:tcBorders>
                  <w:vAlign w:val="top"/>
                </w:tcPr>
                <w:p>
                  <w:pPr>
                    <w:jc w:val="both"/>
                  </w:pPr>
                  <w:r>
                    <w:rPr>
                      <w:color w:val="000000"/>
                      <w:sz w:val="21"/>
                    </w:rPr>
                    <w:t>省属九连山林场</w:t>
                  </w: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田源基站</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江面基站</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vMerge/>
                  <w:tcBorders>
                    <w:top w:val="none" w:color="000000" w:sz="4"/>
                    <w:left w:val="single" w:color="000000" w:sz="4"/>
                    <w:bottom w:val="single" w:color="000000" w:sz="4"/>
                    <w:right w:val="single" w:color="000000" w:sz="4"/>
                  </w:tcBorders>
                </w:tcPr>
                <w:p/>
              </w:tc>
              <w:tc>
                <w:tcPr>
                  <w:tcW w:type="dxa" w:w="1485"/>
                  <w:vMerge/>
                  <w:tcBorders>
                    <w:top w:val="none" w:color="000000" w:sz="4"/>
                    <w:left w:val="none" w:color="000000" w:sz="4"/>
                    <w:bottom w:val="single" w:color="000000" w:sz="4"/>
                    <w:right w:val="single" w:color="000000" w:sz="4"/>
                  </w:tcBorders>
                </w:tcPr>
                <w:p/>
              </w:tc>
              <w:tc>
                <w:tcPr>
                  <w:tcW w:type="dxa" w:w="2145"/>
                  <w:tcBorders>
                    <w:top w:val="none" w:color="000000" w:sz="4"/>
                    <w:left w:val="none" w:color="000000" w:sz="4"/>
                    <w:bottom w:val="single" w:color="000000" w:sz="4"/>
                    <w:right w:val="single" w:color="000000" w:sz="4"/>
                  </w:tcBorders>
                  <w:vAlign w:val="top"/>
                </w:tcPr>
                <w:p>
                  <w:pPr>
                    <w:jc w:val="both"/>
                  </w:pPr>
                  <w:r>
                    <w:rPr>
                      <w:color w:val="000000"/>
                      <w:sz w:val="21"/>
                    </w:rPr>
                    <w:t>增坝基站</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r>
              <w:tc>
                <w:tcPr>
                  <w:tcW w:type="dxa" w:w="630"/>
                  <w:tcBorders>
                    <w:top w:val="none" w:color="000000" w:sz="4"/>
                    <w:left w:val="single" w:color="000000" w:sz="4"/>
                    <w:bottom w:val="single" w:color="000000" w:sz="4"/>
                    <w:right w:val="single" w:color="000000" w:sz="4"/>
                  </w:tcBorders>
                  <w:vAlign w:val="top"/>
                </w:tcPr>
                <w:p>
                  <w:pPr>
                    <w:jc w:val="both"/>
                  </w:pPr>
                  <w:r>
                    <w:rPr>
                      <w:color w:val="000000"/>
                      <w:sz w:val="21"/>
                    </w:rPr>
                    <w:t>5</w:t>
                  </w:r>
                </w:p>
              </w:tc>
              <w:tc>
                <w:tcPr>
                  <w:tcW w:type="dxa" w:w="3630"/>
                  <w:gridSpan w:val="2"/>
                  <w:tcBorders>
                    <w:top w:val="none" w:color="000000" w:sz="4"/>
                    <w:left w:val="none" w:color="000000" w:sz="4"/>
                    <w:bottom w:val="single" w:color="000000" w:sz="4"/>
                    <w:right w:val="single" w:color="000000" w:sz="4"/>
                  </w:tcBorders>
                  <w:vAlign w:val="top"/>
                </w:tcPr>
                <w:p>
                  <w:pPr>
                    <w:jc w:val="both"/>
                  </w:pPr>
                  <w:r>
                    <w:rPr>
                      <w:color w:val="000000"/>
                      <w:sz w:val="21"/>
                    </w:rPr>
                    <w:t>合计</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23</w:t>
                  </w:r>
                </w:p>
              </w:tc>
              <w:tc>
                <w:tcPr>
                  <w:tcW w:type="dxa" w:w="630"/>
                  <w:tcBorders>
                    <w:top w:val="none" w:color="000000" w:sz="4"/>
                    <w:left w:val="none" w:color="000000" w:sz="4"/>
                    <w:bottom w:val="single" w:color="000000" w:sz="4"/>
                    <w:right w:val="single" w:color="000000" w:sz="4"/>
                  </w:tcBorders>
                  <w:vAlign w:val="top"/>
                </w:tcPr>
                <w:p>
                  <w:pPr>
                    <w:jc w:val="both"/>
                  </w:pPr>
                  <w:r>
                    <w:rPr>
                      <w:color w:val="000000"/>
                      <w:sz w:val="21"/>
                    </w:rPr>
                    <w:t>处</w:t>
                  </w:r>
                </w:p>
              </w:tc>
            </w:tr>
          </w:tbl>
          <w:p>
            <w:pPr>
              <w:jc w:val="both"/>
            </w:pPr>
            <w:r>
              <w:rPr>
                <w:color w:val="000000"/>
                <w:sz w:val="21"/>
              </w:rPr>
              <w:t>三、项目服务要求</w:t>
            </w:r>
          </w:p>
          <w:p>
            <w:pPr>
              <w:jc w:val="both"/>
            </w:pPr>
            <w:r>
              <w:rPr>
                <w:color w:val="000000"/>
                <w:sz w:val="21"/>
              </w:rPr>
              <w:t>1.</w:t>
            </w:r>
            <w:r>
              <w:rPr>
                <w:color w:val="000000"/>
                <w:sz w:val="21"/>
              </w:rPr>
              <w:t>铁塔租赁服务要求</w:t>
            </w:r>
          </w:p>
          <w:p>
            <w:pPr>
              <w:jc w:val="both"/>
            </w:pPr>
            <w:r>
              <w:rPr>
                <w:color w:val="000000"/>
                <w:sz w:val="21"/>
              </w:rPr>
              <w:t>（</w:t>
            </w:r>
            <w:r>
              <w:rPr>
                <w:color w:val="000000"/>
                <w:sz w:val="21"/>
              </w:rPr>
              <w:t>1</w:t>
            </w:r>
            <w:r>
              <w:rPr>
                <w:color w:val="000000"/>
                <w:sz w:val="21"/>
              </w:rPr>
              <w:t>）本项目铁塔租赁服务</w:t>
            </w:r>
            <w:r>
              <w:rPr>
                <w:color w:val="000000"/>
                <w:sz w:val="21"/>
              </w:rPr>
              <w:t>23</w:t>
            </w:r>
            <w:r>
              <w:rPr>
                <w:color w:val="000000"/>
                <w:sz w:val="21"/>
              </w:rPr>
              <w:t>项【其中</w:t>
            </w:r>
            <w:r>
              <w:rPr>
                <w:color w:val="000000"/>
                <w:sz w:val="21"/>
              </w:rPr>
              <w:t>:</w:t>
            </w:r>
            <w:r>
              <w:rPr>
                <w:color w:val="000000"/>
                <w:sz w:val="21"/>
              </w:rPr>
              <w:t>林场</w:t>
            </w:r>
            <w:r>
              <w:rPr>
                <w:color w:val="000000"/>
                <w:sz w:val="21"/>
              </w:rPr>
              <w:t>23</w:t>
            </w:r>
            <w:r>
              <w:rPr>
                <w:color w:val="000000"/>
                <w:sz w:val="21"/>
              </w:rPr>
              <w:t>项（含物业</w:t>
            </w:r>
            <w:r>
              <w:rPr>
                <w:color w:val="000000"/>
                <w:sz w:val="21"/>
              </w:rPr>
              <w:t>2</w:t>
            </w:r>
            <w:r>
              <w:rPr>
                <w:color w:val="000000"/>
                <w:sz w:val="21"/>
              </w:rPr>
              <w:t>项）】，铁塔作为视频监控前端的支撑点，应具备相应的挂设空间，保障其处于安全、稳定状态，出现自然灾害破坏的情况时，需要及时进行维修。为了保证视频监测点位的视野，周边无明显的建筑物阻挡。</w:t>
            </w:r>
          </w:p>
          <w:p>
            <w:pPr>
              <w:jc w:val="both"/>
            </w:pPr>
            <w:r>
              <w:rPr>
                <w:color w:val="000000"/>
                <w:sz w:val="21"/>
              </w:rPr>
              <w:t>（</w:t>
            </w:r>
            <w:r>
              <w:rPr>
                <w:color w:val="000000"/>
                <w:sz w:val="21"/>
              </w:rPr>
              <w:t>2</w:t>
            </w:r>
            <w:r>
              <w:rPr>
                <w:color w:val="000000"/>
                <w:sz w:val="21"/>
              </w:rPr>
              <w:t>）电力输送运营维护服务：电力输送包括运营和维护两部分。其中电力输送运营内容主要是前端视频监测点位的电力费用，需及时向电网单位缴存，多与电力部门沟通，了解随时掌握用电余量，避免欠费断电。中标人不得将电费等相关费用另行向采购单位收取。</w:t>
            </w:r>
          </w:p>
          <w:p>
            <w:pPr>
              <w:jc w:val="both"/>
            </w:pPr>
            <w:r>
              <w:rPr>
                <w:color w:val="000000"/>
                <w:sz w:val="21"/>
              </w:rPr>
              <w:t>2.</w:t>
            </w:r>
            <w:r>
              <w:rPr>
                <w:color w:val="000000"/>
                <w:sz w:val="21"/>
              </w:rPr>
              <w:t>通信服务租赁要求</w:t>
            </w:r>
          </w:p>
          <w:p>
            <w:pPr>
              <w:jc w:val="both"/>
            </w:pPr>
            <w:r>
              <w:rPr>
                <w:color w:val="000000"/>
                <w:sz w:val="21"/>
              </w:rPr>
              <w:t>（</w:t>
            </w:r>
            <w:r>
              <w:rPr>
                <w:color w:val="000000"/>
                <w:sz w:val="21"/>
              </w:rPr>
              <w:t>1</w:t>
            </w:r>
            <w:r>
              <w:rPr>
                <w:color w:val="000000"/>
                <w:sz w:val="21"/>
              </w:rPr>
              <w:t>）通信租赁服务专线</w:t>
            </w:r>
            <w:r>
              <w:rPr>
                <w:color w:val="000000"/>
                <w:sz w:val="21"/>
              </w:rPr>
              <w:t>23</w:t>
            </w:r>
            <w:r>
              <w:rPr>
                <w:color w:val="000000"/>
                <w:sz w:val="21"/>
              </w:rPr>
              <w:t>条，中标人应尽可能采用各种有效方式实现采购人租用的线路连通，最大限度地保证采购租用线路的安全运行。</w:t>
            </w:r>
          </w:p>
          <w:p>
            <w:pPr>
              <w:jc w:val="both"/>
            </w:pPr>
            <w:r>
              <w:rPr>
                <w:color w:val="000000"/>
                <w:sz w:val="21"/>
              </w:rPr>
              <w:t>（</w:t>
            </w:r>
            <w:r>
              <w:rPr>
                <w:color w:val="000000"/>
                <w:sz w:val="21"/>
              </w:rPr>
              <w:t>2</w:t>
            </w:r>
            <w:r>
              <w:rPr>
                <w:color w:val="000000"/>
                <w:sz w:val="21"/>
              </w:rPr>
              <w:t>）中标人应负责对向采购人所提供专用线路以及相关设备的定期检查、日常维护、修缮及保养，加强值班和监测，保证线路不中断，网络故障修复后，中标人应及时通知采购人。</w:t>
            </w:r>
          </w:p>
          <w:p>
            <w:pPr>
              <w:jc w:val="both"/>
            </w:pPr>
            <w:r>
              <w:rPr>
                <w:color w:val="000000"/>
                <w:sz w:val="21"/>
              </w:rPr>
              <w:t>（</w:t>
            </w:r>
            <w:r>
              <w:rPr>
                <w:color w:val="000000"/>
                <w:sz w:val="21"/>
              </w:rPr>
              <w:t>3</w:t>
            </w:r>
            <w:r>
              <w:rPr>
                <w:color w:val="000000"/>
                <w:sz w:val="21"/>
              </w:rPr>
              <w:t>）中标人由于割接、维修等正常计划原因需中断采购人租用的线路时，应提前</w:t>
            </w:r>
            <w:r>
              <w:rPr>
                <w:color w:val="000000"/>
                <w:sz w:val="21"/>
              </w:rPr>
              <w:t>72</w:t>
            </w:r>
            <w:r>
              <w:rPr>
                <w:color w:val="000000"/>
                <w:sz w:val="21"/>
              </w:rPr>
              <w:t>小时书面通知采购人，并安排相应措施尽量保证该线路的畅通，对于紧急情况，采购人与中标人双方另行协商。</w:t>
            </w:r>
          </w:p>
          <w:p>
            <w:pPr>
              <w:jc w:val="both"/>
            </w:pPr>
            <w:r>
              <w:rPr>
                <w:color w:val="000000"/>
                <w:sz w:val="21"/>
              </w:rPr>
              <w:t>3.</w:t>
            </w:r>
            <w:r>
              <w:rPr>
                <w:color w:val="000000"/>
                <w:sz w:val="21"/>
              </w:rPr>
              <w:t>服务其他要求</w:t>
            </w:r>
          </w:p>
          <w:p>
            <w:pPr>
              <w:jc w:val="both"/>
            </w:pPr>
            <w:r>
              <w:rPr>
                <w:color w:val="000000"/>
                <w:sz w:val="21"/>
              </w:rPr>
              <w:t>1</w:t>
            </w:r>
            <w:r>
              <w:rPr>
                <w:color w:val="000000"/>
                <w:sz w:val="21"/>
              </w:rPr>
              <w:t>、中标人应根据本项目的实际情况，组织安排固定服务于本项目技术人员，正常运行率≥</w:t>
            </w:r>
            <w:r>
              <w:rPr>
                <w:color w:val="000000"/>
                <w:sz w:val="21"/>
              </w:rPr>
              <w:t>85%</w:t>
            </w:r>
            <w:r>
              <w:rPr>
                <w:color w:val="000000"/>
                <w:sz w:val="21"/>
              </w:rPr>
              <w:t>（因不可抗力的自然灾害除外，但需双方及时沟通）。</w:t>
            </w:r>
          </w:p>
          <w:p>
            <w:pPr>
              <w:jc w:val="both"/>
            </w:pPr>
            <w:r>
              <w:rPr>
                <w:color w:val="000000"/>
                <w:sz w:val="21"/>
              </w:rPr>
              <w:t>四、售后维护服务要求</w:t>
            </w:r>
          </w:p>
          <w:p>
            <w:pPr>
              <w:jc w:val="both"/>
            </w:pPr>
            <w:r>
              <w:rPr>
                <w:color w:val="000000"/>
                <w:sz w:val="21"/>
              </w:rPr>
              <w:t>售后服务须包括但不限于以下内容：</w:t>
            </w:r>
          </w:p>
          <w:p>
            <w:pPr>
              <w:jc w:val="both"/>
            </w:pPr>
            <w:r>
              <w:rPr>
                <w:color w:val="000000"/>
                <w:sz w:val="21"/>
              </w:rPr>
              <w:t>1.</w:t>
            </w:r>
            <w:r>
              <w:rPr>
                <w:color w:val="000000"/>
                <w:sz w:val="21"/>
              </w:rPr>
              <w:t>维修服务类型</w:t>
            </w:r>
          </w:p>
          <w:p>
            <w:pPr>
              <w:jc w:val="both"/>
            </w:pPr>
            <w:r>
              <w:rPr>
                <w:color w:val="000000"/>
                <w:sz w:val="21"/>
              </w:rPr>
              <w:t>服务期内，中标人提供维保服务。（因不可抗力因素导致的除外）</w:t>
            </w:r>
          </w:p>
          <w:p>
            <w:pPr>
              <w:jc w:val="both"/>
            </w:pPr>
            <w:r>
              <w:rPr>
                <w:color w:val="000000"/>
                <w:sz w:val="21"/>
              </w:rPr>
              <w:t>2 .</w:t>
            </w:r>
            <w:r>
              <w:rPr>
                <w:color w:val="000000"/>
                <w:sz w:val="21"/>
              </w:rPr>
              <w:t>维修服务收费标准</w:t>
            </w:r>
          </w:p>
          <w:p>
            <w:pPr>
              <w:jc w:val="both"/>
            </w:pPr>
            <w:r>
              <w:rPr>
                <w:color w:val="000000"/>
                <w:sz w:val="21"/>
              </w:rPr>
              <w:t>2.1</w:t>
            </w:r>
            <w:r>
              <w:rPr>
                <w:color w:val="000000"/>
                <w:sz w:val="21"/>
              </w:rPr>
              <w:t>、在服务期内，中标人负责对其提供的铁塔及线路进行定期的维修保养和故障排除，不再向用户单位收取费用。</w:t>
            </w:r>
          </w:p>
          <w:p>
            <w:pPr>
              <w:jc w:val="both"/>
            </w:pPr>
            <w:r>
              <w:rPr>
                <w:color w:val="000000"/>
                <w:sz w:val="21"/>
              </w:rPr>
              <w:t>3.7</w:t>
            </w:r>
            <w:r>
              <w:rPr>
                <w:color w:val="000000"/>
                <w:sz w:val="21"/>
              </w:rPr>
              <w:t>×</w:t>
            </w:r>
            <w:r>
              <w:rPr>
                <w:color w:val="000000"/>
                <w:sz w:val="21"/>
              </w:rPr>
              <w:t>24</w:t>
            </w:r>
            <w:r>
              <w:rPr>
                <w:color w:val="000000"/>
                <w:sz w:val="21"/>
              </w:rPr>
              <w:t>小时电话服务</w:t>
            </w:r>
          </w:p>
          <w:p>
            <w:pPr>
              <w:jc w:val="both"/>
            </w:pPr>
            <w:r>
              <w:rPr>
                <w:color w:val="000000"/>
                <w:sz w:val="21"/>
              </w:rPr>
              <w:t>中标人必须提供</w:t>
            </w:r>
            <w:r>
              <w:rPr>
                <w:color w:val="000000"/>
                <w:sz w:val="21"/>
              </w:rPr>
              <w:t>7</w:t>
            </w:r>
            <w:r>
              <w:rPr>
                <w:color w:val="000000"/>
                <w:sz w:val="21"/>
              </w:rPr>
              <w:t>×</w:t>
            </w:r>
            <w:r>
              <w:rPr>
                <w:color w:val="000000"/>
                <w:sz w:val="21"/>
              </w:rPr>
              <w:t>24</w:t>
            </w:r>
            <w:r>
              <w:rPr>
                <w:color w:val="000000"/>
                <w:sz w:val="21"/>
              </w:rPr>
              <w:t>小时电话服务，若出现故障，或用户单位有相关的技术问题，均可拨打服务电话，向中标人提出服务申请。中标人必须立即响应，提供技术支持，并对问题进行跟踪。</w:t>
            </w:r>
          </w:p>
          <w:p>
            <w:pPr>
              <w:jc w:val="both"/>
            </w:pPr>
            <w:r>
              <w:rPr>
                <w:color w:val="000000"/>
                <w:sz w:val="21"/>
              </w:rPr>
              <w:t>4.</w:t>
            </w:r>
            <w:r>
              <w:rPr>
                <w:color w:val="000000"/>
                <w:sz w:val="21"/>
              </w:rPr>
              <w:t>全面巡检服务</w:t>
            </w:r>
          </w:p>
          <w:p>
            <w:pPr>
              <w:jc w:val="both"/>
            </w:pPr>
            <w:r>
              <w:rPr>
                <w:color w:val="000000"/>
                <w:sz w:val="21"/>
              </w:rPr>
              <w:t>中标人必须提供</w:t>
            </w:r>
            <w:r>
              <w:rPr>
                <w:color w:val="000000"/>
                <w:sz w:val="21"/>
              </w:rPr>
              <w:t>1</w:t>
            </w:r>
            <w:r>
              <w:rPr>
                <w:color w:val="000000"/>
                <w:sz w:val="21"/>
              </w:rPr>
              <w:t>个年度至少一次的全面（预防性）巡检服务。如发现问题，应及时按要求修复。</w:t>
            </w:r>
          </w:p>
          <w:p>
            <w:pPr>
              <w:jc w:val="both"/>
            </w:pPr>
            <w:r>
              <w:rPr/>
              <w:t xml:space="preserve"> </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采购包3（自然保护区防火专线及自然保护区铁塔租赁服务）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自然保护区防火专线通信服务周期为12个月（2023年7月1日至2024年6月30日）；自然保护区铁塔租赁服务周期为9个月（2023年10月1日至2024年6月30日）。</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1期：支付比例75%,签订合同之日起，且在收到中标人提供的有效发票后十五日内，采购人向中标人支付项目合同金额的75%。</w:t>
            </w:r>
          </w:p>
          <w:p/>
          <w:p>
            <w:r>
              <w:rPr/>
              <w:t>2期：支付比例25%,采购人组织评估服务验收通过，且在收到中标人提供的有效发票后十五日内，向中标人支付项目合同金额的25%。 注：1、中标人在每次收取服务费时需向采购人开具项目当地等额的正式税务发票。 ★2、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1期：本项目执行国家及行业相关标准，采购人将按照招标文件要求和投标人响应情况对所有标的物进行验收。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1.报价要求，★（1）项目报价：本采购包采购预算（最高限价）：606000元；报价不得高于本采购包的采购预算（最高限价），否则将视为无效投标。 （2）报价要求：供应商报价必须包括设备、运输、安装、调试、检测、验收、培训、技术服务、售后维护、质保期保障等一切支出，并包含关税等所有税费。</w:t>
            </w:r>
          </w:p>
          <w:p/>
          <w:p>
            <w:r>
              <w:rPr/>
              <w:t>2.服务要求，接到采购人通知后15天内提供租赁服务。</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自然保护区防火专线租赁服务</w:t>
            </w:r>
          </w:p>
        </w:tc>
        <w:tc>
          <w:tcPr>
            <w:tcW w:type="dxa" w:w="933"/>
          </w:tcPr>
          <w:p>
            <w:pPr>
              <w:jc w:val="left"/>
            </w:pPr>
            <w:r>
              <w:rPr/>
              <w:t>项</w:t>
            </w:r>
          </w:p>
        </w:tc>
        <w:tc>
          <w:tcPr>
            <w:tcW w:type="dxa" w:w="933"/>
          </w:tcPr>
          <w:p>
            <w:pPr>
              <w:jc w:val="right"/>
            </w:pPr>
            <w:r>
              <w:rPr/>
              <w:t>1.00</w:t>
            </w:r>
          </w:p>
        </w:tc>
        <w:tc>
          <w:tcPr>
            <w:tcW w:type="dxa" w:w="933"/>
          </w:tcPr>
          <w:p>
            <w:pPr>
              <w:jc w:val="right"/>
            </w:pPr>
            <w:r>
              <w:rPr/>
              <w:t>440,000.00</w:t>
            </w:r>
          </w:p>
        </w:tc>
        <w:tc>
          <w:tcPr>
            <w:tcW w:type="dxa" w:w="933"/>
          </w:tcPr>
          <w:p>
            <w:pPr>
              <w:jc w:val="right"/>
            </w:pPr>
            <w:r>
              <w:rPr/>
              <w:t>440,000.00</w:t>
            </w:r>
          </w:p>
        </w:tc>
        <w:tc>
          <w:tcPr>
            <w:tcW w:type="dxa" w:w="840"/>
          </w:tcPr>
          <w:p>
            <w:r>
              <w:rPr/>
              <w:t>软件和信息技术服务业</w:t>
            </w:r>
          </w:p>
        </w:tc>
        <w:tc>
          <w:tcPr>
            <w:tcW w:type="dxa" w:w="933"/>
          </w:tcPr>
          <w:p>
            <w:r>
              <w:rPr/>
              <w:t>详见附表一</w:t>
            </w:r>
          </w:p>
        </w:tc>
      </w:tr>
      <w:tr>
        <w:tc>
          <w:tcPr>
            <w:tcW w:type="dxa" w:w="933"/>
          </w:tcPr>
          <w:p>
            <w:pPr>
              <w:jc w:val="center"/>
            </w:pPr>
            <w:r>
              <w:rPr/>
              <w:t>2</w:t>
            </w:r>
          </w:p>
        </w:tc>
        <w:tc>
          <w:tcPr>
            <w:tcW w:type="dxa" w:w="933"/>
          </w:tcPr>
          <w:p>
            <w:pPr>
              <w:jc w:val="left"/>
            </w:pPr>
            <w:r>
              <w:rPr/>
              <w:t>其他专业技术服务</w:t>
            </w:r>
          </w:p>
        </w:tc>
        <w:tc>
          <w:tcPr>
            <w:tcW w:type="dxa" w:w="933"/>
          </w:tcPr>
          <w:p>
            <w:pPr>
              <w:jc w:val="left"/>
            </w:pPr>
            <w:r>
              <w:rPr/>
              <w:t>自然保护区铁塔租赁服务</w:t>
            </w:r>
          </w:p>
        </w:tc>
        <w:tc>
          <w:tcPr>
            <w:tcW w:type="dxa" w:w="933"/>
          </w:tcPr>
          <w:p>
            <w:pPr>
              <w:jc w:val="left"/>
            </w:pPr>
            <w:r>
              <w:rPr/>
              <w:t>项</w:t>
            </w:r>
          </w:p>
        </w:tc>
        <w:tc>
          <w:tcPr>
            <w:tcW w:type="dxa" w:w="933"/>
          </w:tcPr>
          <w:p>
            <w:pPr>
              <w:jc w:val="right"/>
            </w:pPr>
            <w:r>
              <w:rPr/>
              <w:t>1.00</w:t>
            </w:r>
          </w:p>
        </w:tc>
        <w:tc>
          <w:tcPr>
            <w:tcW w:type="dxa" w:w="933"/>
          </w:tcPr>
          <w:p>
            <w:pPr>
              <w:jc w:val="right"/>
            </w:pPr>
            <w:r>
              <w:rPr/>
              <w:t>166,000.00</w:t>
            </w:r>
          </w:p>
        </w:tc>
        <w:tc>
          <w:tcPr>
            <w:tcW w:type="dxa" w:w="933"/>
          </w:tcPr>
          <w:p>
            <w:pPr>
              <w:jc w:val="right"/>
            </w:pPr>
            <w:r>
              <w:rPr/>
              <w:t>166,000.00</w:t>
            </w:r>
          </w:p>
        </w:tc>
        <w:tc>
          <w:tcPr>
            <w:tcW w:type="dxa" w:w="840"/>
          </w:tcPr>
          <w:p>
            <w:r>
              <w:rPr/>
              <w:t>软件和信息技术服务业</w:t>
            </w:r>
          </w:p>
        </w:tc>
        <w:tc>
          <w:tcPr>
            <w:tcW w:type="dxa" w:w="933"/>
          </w:tcPr>
          <w:p>
            <w:r>
              <w:rPr/>
              <w:t>详见附表二</w:t>
            </w:r>
          </w:p>
        </w:tc>
      </w:tr>
    </w:tbl>
    <w:p/>
    <w:p>
      <w:r>
        <w:rPr>
          <w:b/>
        </w:rPr>
        <w:t>附表</w:t>
      </w:r>
      <w:r>
        <w:rPr>
          <w:b/>
        </w:rPr>
        <w:t>一</w:t>
      </w:r>
      <w:r>
        <w:rPr>
          <w:b/>
        </w:rPr>
        <w:t>：</w:t>
      </w:r>
      <w:r>
        <w:rPr>
          <w:b/>
        </w:rPr>
        <w:t>自然保护区防火专线租赁服务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自然保护区防火专线及自然保护区铁塔租赁服务需求合并如下：</w:t>
            </w:r>
          </w:p>
          <w:p>
            <w:pPr>
              <w:jc w:val="both"/>
            </w:pPr>
            <w:r>
              <w:rPr>
                <w:sz w:val="21"/>
              </w:rPr>
              <w:t>一、</w:t>
            </w:r>
            <w:r>
              <w:rPr>
                <w:sz w:val="21"/>
              </w:rPr>
              <w:t>项目目标</w:t>
            </w:r>
          </w:p>
          <w:p>
            <w:pPr>
              <w:jc w:val="both"/>
            </w:pPr>
            <w:r>
              <w:rPr>
                <w:sz w:val="21"/>
              </w:rPr>
              <w:t>1.</w:t>
            </w:r>
            <w:r>
              <w:rPr>
                <w:sz w:val="21"/>
              </w:rPr>
              <w:t>根据《关于印发广东“数字政府”改革建设方案的通知》、《广东“数字政府”改革建设方案》等文件，建立与完善广东省林业局运维服务管理体系，有效利用与整合现有资源，进一步为广东省林业局的信息化基础设施、政务信息系统提供规范化、专业化和高质量的运维服务，确保政务信息系统正常运行，政务业务正常有序开展，提高工作效率和服务能力</w:t>
            </w:r>
          </w:p>
          <w:p>
            <w:pPr>
              <w:jc w:val="both"/>
            </w:pPr>
            <w:r>
              <w:rPr>
                <w:sz w:val="21"/>
              </w:rPr>
              <w:t>二、项目需求</w:t>
            </w:r>
          </w:p>
          <w:p>
            <w:pPr>
              <w:jc w:val="both"/>
            </w:pPr>
            <w:r>
              <w:rPr>
                <w:sz w:val="21"/>
              </w:rPr>
              <w:t>1.</w:t>
            </w:r>
            <w:r>
              <w:rPr>
                <w:sz w:val="21"/>
              </w:rPr>
              <w:t>自然保护区防火专线租赁服务</w:t>
            </w:r>
          </w:p>
          <w:p>
            <w:pPr>
              <w:jc w:val="both"/>
            </w:pPr>
            <w:r>
              <w:rPr>
                <w:sz w:val="21"/>
              </w:rPr>
              <w:t>自然保护区</w:t>
            </w:r>
            <w:r>
              <w:rPr>
                <w:sz w:val="21"/>
              </w:rPr>
              <w:t>75</w:t>
            </w:r>
            <w:r>
              <w:rPr>
                <w:sz w:val="21"/>
              </w:rPr>
              <w:t>条防火专线。</w:t>
            </w:r>
          </w:p>
          <w:p>
            <w:pPr>
              <w:jc w:val="both"/>
            </w:pPr>
            <w:r>
              <w:rPr>
                <w:sz w:val="21"/>
              </w:rPr>
              <w:t>表格</w:t>
            </w:r>
            <w:r>
              <w:rPr>
                <w:sz w:val="21"/>
              </w:rPr>
              <w:t>2?1</w:t>
            </w:r>
            <w:r>
              <w:rPr>
                <w:sz w:val="21"/>
              </w:rPr>
              <w:t>自然保护区防火专线通信服务清单</w:t>
            </w:r>
          </w:p>
          <w:tbl>
            <w:tblPr>
              <w:tblBorders>
                <w:top w:val="none" w:color="000000" w:sz="4"/>
                <w:left w:val="none" w:color="000000" w:sz="4"/>
                <w:bottom w:val="none" w:color="000000" w:sz="4"/>
                <w:right w:val="none" w:color="000000" w:sz="4"/>
                <w:insideH w:val="none"/>
                <w:insideV w:val="none"/>
              </w:tblBorders>
            </w:tblPr>
            <w:tblGrid>
              <w:gridCol w:w="540"/>
              <w:gridCol w:w="1770"/>
              <w:gridCol w:w="1770"/>
              <w:gridCol w:w="705"/>
              <w:gridCol w:w="765"/>
            </w:tblGrid>
            <w:tr>
              <w:tc>
                <w:tcPr>
                  <w:tcW w:type="dxa" w:w="54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770"/>
                  <w:tcBorders>
                    <w:top w:val="single" w:color="000000" w:sz="4"/>
                    <w:left w:val="none" w:color="000000" w:sz="4"/>
                    <w:bottom w:val="single" w:color="000000" w:sz="4"/>
                    <w:right w:val="single" w:color="000000" w:sz="4"/>
                  </w:tcBorders>
                  <w:vAlign w:val="top"/>
                </w:tcPr>
                <w:p>
                  <w:pPr>
                    <w:jc w:val="center"/>
                  </w:pPr>
                  <w:r>
                    <w:rPr>
                      <w:sz w:val="21"/>
                    </w:rPr>
                    <w:t>单位名称（A端）</w:t>
                  </w:r>
                </w:p>
              </w:tc>
              <w:tc>
                <w:tcPr>
                  <w:tcW w:type="dxa" w:w="1770"/>
                  <w:tcBorders>
                    <w:top w:val="single" w:color="000000" w:sz="4"/>
                    <w:left w:val="none" w:color="000000" w:sz="4"/>
                    <w:bottom w:val="single" w:color="000000" w:sz="4"/>
                    <w:right w:val="single" w:color="000000" w:sz="4"/>
                  </w:tcBorders>
                  <w:vAlign w:val="top"/>
                </w:tcPr>
                <w:p>
                  <w:pPr>
                    <w:jc w:val="center"/>
                  </w:pPr>
                  <w:r>
                    <w:rPr>
                      <w:sz w:val="21"/>
                    </w:rPr>
                    <w:t>单位名称（Z端）</w:t>
                  </w:r>
                </w:p>
              </w:tc>
              <w:tc>
                <w:tcPr>
                  <w:tcW w:type="dxa" w:w="705"/>
                  <w:tcBorders>
                    <w:top w:val="single" w:color="000000" w:sz="4"/>
                    <w:left w:val="none" w:color="000000" w:sz="4"/>
                    <w:bottom w:val="single" w:color="000000" w:sz="4"/>
                    <w:right w:val="single" w:color="000000" w:sz="4"/>
                  </w:tcBorders>
                  <w:vAlign w:val="top"/>
                </w:tcPr>
                <w:p>
                  <w:pPr>
                    <w:jc w:val="center"/>
                  </w:pPr>
                  <w:r>
                    <w:rPr>
                      <w:sz w:val="21"/>
                    </w:rPr>
                    <w:t>规格</w:t>
                  </w:r>
                </w:p>
              </w:tc>
              <w:tc>
                <w:tcPr>
                  <w:tcW w:type="dxa" w:w="765"/>
                  <w:tcBorders>
                    <w:top w:val="single" w:color="000000" w:sz="4"/>
                    <w:left w:val="none" w:color="000000" w:sz="4"/>
                    <w:bottom w:val="single" w:color="000000" w:sz="4"/>
                    <w:right w:val="single" w:color="000000" w:sz="4"/>
                  </w:tcBorders>
                  <w:vAlign w:val="top"/>
                </w:tcPr>
                <w:p>
                  <w:pPr>
                    <w:jc w:val="center"/>
                  </w:pPr>
                  <w:r>
                    <w:rPr>
                      <w:sz w:val="21"/>
                    </w:rPr>
                    <w:t>租赁月份</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广东连平黄牛石省级自然保护区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黄牛石基站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广东连平黄牛石省级自然保护区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尖山矿基站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广东连平黄牛石省级自然保护区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合水四级发电站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紫金搓山基站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紫金科普教育径</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紫金散滩基站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紫金白溪管理处楼顶</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紫金白溪茶山头</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紫金大坪岗</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紫金白溪基站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紫金梅子坑桥</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紫金四级发电站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酒甑墩</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寨顶</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管理处楼顶</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新桥</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白人石顶</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上冲（湿岭）</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江门市林业局</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大湾冲</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大众径</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三甲电站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佛仔凹（白地水库）</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九头电站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38</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39</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龙文–黄田省级自然保护区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43</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44</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主田管护站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46</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47</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南雄帽子峰林场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48</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49</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南雄主田管护站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南雄主田管护站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南雄主田管护站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南雄主田管护站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53</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54</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56</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57</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58</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59</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60</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肇庆林业局</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七星村</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63</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848高山</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64</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光明村</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黑石河矿山</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66</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保护区管理中心后山</w:t>
                  </w:r>
                </w:p>
              </w:tc>
              <w:tc>
                <w:tcPr>
                  <w:tcW w:type="dxa" w:w="705"/>
                  <w:tcBorders>
                    <w:top w:val="none" w:color="000000" w:sz="4"/>
                    <w:left w:val="none" w:color="000000" w:sz="4"/>
                    <w:bottom w:val="single" w:color="000000" w:sz="4"/>
                    <w:right w:val="single" w:color="000000" w:sz="4"/>
                  </w:tcBorders>
                  <w:vAlign w:val="top"/>
                </w:tcPr>
                <w:p>
                  <w:pPr>
                    <w:jc w:val="center"/>
                  </w:pPr>
                  <w:r>
                    <w:rPr>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67</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盐水田管护站</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68</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保护区管理中心</w:t>
                  </w:r>
                </w:p>
              </w:tc>
              <w:tc>
                <w:tcPr>
                  <w:tcW w:type="dxa" w:w="705"/>
                  <w:tcBorders>
                    <w:top w:val="none" w:color="000000" w:sz="4"/>
                    <w:left w:val="none" w:color="000000" w:sz="4"/>
                    <w:bottom w:val="single" w:color="000000" w:sz="4"/>
                    <w:right w:val="single" w:color="000000" w:sz="4"/>
                  </w:tcBorders>
                  <w:vAlign w:val="top"/>
                </w:tcPr>
                <w:p>
                  <w:pPr>
                    <w:jc w:val="center"/>
                  </w:pPr>
                  <w:r>
                    <w:rPr>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69</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湛江市林业局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广东雷州珍稀海洋生物国家级自然保护区管理局</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70</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河源市林业局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广东紫金白溪省级自然保护区管理处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71</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惠州市林业局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广东惠东古田省级自然保护区管理处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72</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惠州市林业局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广东龙门南昆山省级自然保护区管理处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73</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梅州市林业局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广东平远龙文-黄田省级自然保护区管理处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74</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韶关市林业局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广东翁源青云山省级自然保护区管理处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sz w:val="21"/>
                    </w:rPr>
                    <w:t>75</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韶关市林业局</w:t>
                  </w:r>
                </w:p>
              </w:tc>
              <w:tc>
                <w:tcPr>
                  <w:tcW w:type="dxa" w:w="1770"/>
                  <w:tcBorders>
                    <w:top w:val="none" w:color="000000" w:sz="4"/>
                    <w:left w:val="none" w:color="000000" w:sz="4"/>
                    <w:bottom w:val="single" w:color="000000" w:sz="4"/>
                    <w:right w:val="single" w:color="000000" w:sz="4"/>
                  </w:tcBorders>
                  <w:vAlign w:val="top"/>
                </w:tcPr>
                <w:p>
                  <w:pPr>
                    <w:jc w:val="center"/>
                  </w:pPr>
                  <w:r>
                    <w:rPr>
                      <w:sz w:val="21"/>
                    </w:rPr>
                    <w:t>广东南雄小流坑-青嶂山省级自然保护区管理处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sz w:val="21"/>
                    </w:rPr>
                    <w:t>12</w:t>
                  </w:r>
                </w:p>
              </w:tc>
            </w:tr>
          </w:tbl>
          <w:p>
            <w:pPr>
              <w:jc w:val="both"/>
            </w:pPr>
          </w:p>
          <w:p>
            <w:pPr>
              <w:jc w:val="both"/>
            </w:pPr>
            <w:r>
              <w:rPr>
                <w:sz w:val="21"/>
              </w:rPr>
              <w:t>2.自然保护区铁塔租赁服务</w:t>
            </w:r>
          </w:p>
          <w:p>
            <w:pPr>
              <w:jc w:val="both"/>
            </w:pPr>
            <w:r>
              <w:rPr>
                <w:sz w:val="21"/>
              </w:rPr>
              <w:t>省级自然保护区(广东恩平七星坑省级自然保护区、广东封开黑石顶省级自然保护区、广东连平黄牛石省级自然保护区、广东紫金白溪省级自然保护区、广东龙门南昆山省级自然保护区、广东平远龙文-黄田省级自然保护区、广东翁源青云山省级自然保护区、广东南雄小流坑—青嶂山省级自然保护区)铁塔租赁服务，含34个铁塔。</w:t>
            </w:r>
          </w:p>
          <w:p>
            <w:pPr>
              <w:jc w:val="both"/>
            </w:pPr>
            <w:r>
              <w:rPr>
                <w:sz w:val="21"/>
              </w:rPr>
              <w:t>表格 2?2 自然保护区铁塔租赁服务清单</w:t>
            </w:r>
          </w:p>
          <w:tbl>
            <w:tblPr>
              <w:tblInd w:type="dxa" w:w="120"/>
              <w:tblBorders>
                <w:top w:val="none" w:color="000000" w:sz="4"/>
                <w:left w:val="none" w:color="000000" w:sz="4"/>
                <w:bottom w:val="none" w:color="000000" w:sz="4"/>
                <w:right w:val="none" w:color="000000" w:sz="4"/>
                <w:insideH w:val="none"/>
                <w:insideV w:val="none"/>
              </w:tblBorders>
            </w:tblPr>
            <w:tblGrid>
              <w:gridCol w:w="525"/>
              <w:gridCol w:w="4545"/>
              <w:gridCol w:w="525"/>
            </w:tblGrid>
            <w:tr>
              <w:tc>
                <w:tcPr>
                  <w:tcW w:type="dxa" w:w="525"/>
                  <w:vMerge w:val="restart"/>
                  <w:tcBorders>
                    <w:top w:val="single" w:color="000000" w:sz="4"/>
                    <w:left w:val="single" w:color="000000" w:sz="4"/>
                    <w:bottom w:val="single" w:color="000000" w:sz="4"/>
                    <w:right w:val="single" w:color="000000" w:sz="4"/>
                  </w:tcBorders>
                  <w:shd w:fill="F1F1F1"/>
                  <w:vAlign w:val="top"/>
                </w:tcPr>
                <w:p>
                  <w:pPr>
                    <w:jc w:val="center"/>
                  </w:pPr>
                  <w:r>
                    <w:rPr>
                      <w:sz w:val="21"/>
                    </w:rPr>
                    <w:t>序号</w:t>
                  </w:r>
                </w:p>
              </w:tc>
              <w:tc>
                <w:tcPr>
                  <w:tcW w:type="dxa" w:w="4545"/>
                  <w:vMerge w:val="restart"/>
                  <w:tcBorders>
                    <w:top w:val="single" w:color="000000" w:sz="4"/>
                    <w:left w:val="none" w:color="000000" w:sz="4"/>
                    <w:bottom w:val="single" w:color="000000" w:sz="4"/>
                    <w:right w:val="single" w:color="000000" w:sz="4"/>
                  </w:tcBorders>
                  <w:shd w:fill="F1F1F1"/>
                  <w:vAlign w:val="top"/>
                </w:tcPr>
                <w:p>
                  <w:pPr>
                    <w:jc w:val="center"/>
                  </w:pPr>
                  <w:r>
                    <w:rPr>
                      <w:sz w:val="21"/>
                    </w:rPr>
                    <w:t>名称</w:t>
                  </w:r>
                </w:p>
              </w:tc>
              <w:tc>
                <w:tcPr>
                  <w:tcW w:type="dxa" w:w="525"/>
                  <w:vMerge w:val="restart"/>
                  <w:tcBorders>
                    <w:top w:val="single" w:color="000000" w:sz="4"/>
                    <w:left w:val="none" w:color="000000" w:sz="4"/>
                    <w:bottom w:val="single" w:color="000000" w:sz="4"/>
                    <w:right w:val="single" w:color="000000" w:sz="4"/>
                  </w:tcBorders>
                  <w:shd w:fill="F1F1F1"/>
                  <w:vAlign w:val="top"/>
                </w:tcPr>
                <w:p>
                  <w:pPr>
                    <w:jc w:val="center"/>
                  </w:pPr>
                  <w:r>
                    <w:rPr>
                      <w:sz w:val="21"/>
                    </w:rPr>
                    <w:t>数量</w:t>
                  </w:r>
                </w:p>
              </w:tc>
            </w:tr>
            <w:tr/>
            <w:tr>
              <w:tc>
                <w:tcPr>
                  <w:tcW w:type="dxa" w:w="52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45"/>
                  <w:tcBorders>
                    <w:top w:val="none" w:color="000000" w:sz="4"/>
                    <w:left w:val="none" w:color="000000" w:sz="4"/>
                    <w:bottom w:val="single" w:color="000000" w:sz="4"/>
                    <w:right w:val="single" w:color="000000" w:sz="4"/>
                  </w:tcBorders>
                  <w:vAlign w:val="top"/>
                </w:tcPr>
                <w:p>
                  <w:pPr>
                    <w:jc w:val="center"/>
                  </w:pPr>
                  <w:r>
                    <w:rPr>
                      <w:sz w:val="21"/>
                    </w:rPr>
                    <w:t>广东恩平七星坑省级自然保护区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52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545"/>
                  <w:tcBorders>
                    <w:top w:val="none" w:color="000000" w:sz="4"/>
                    <w:left w:val="none" w:color="000000" w:sz="4"/>
                    <w:bottom w:val="single" w:color="000000" w:sz="4"/>
                    <w:right w:val="single" w:color="000000" w:sz="4"/>
                  </w:tcBorders>
                  <w:vAlign w:val="top"/>
                </w:tcPr>
                <w:p>
                  <w:pPr>
                    <w:jc w:val="center"/>
                  </w:pPr>
                  <w:r>
                    <w:rPr>
                      <w:sz w:val="21"/>
                    </w:rPr>
                    <w:t>广东封开黑石顶省级自然保护区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52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545"/>
                  <w:tcBorders>
                    <w:top w:val="none" w:color="000000" w:sz="4"/>
                    <w:left w:val="none" w:color="000000" w:sz="4"/>
                    <w:bottom w:val="single" w:color="000000" w:sz="4"/>
                    <w:right w:val="single" w:color="000000" w:sz="4"/>
                  </w:tcBorders>
                  <w:vAlign w:val="top"/>
                </w:tcPr>
                <w:p>
                  <w:pPr>
                    <w:jc w:val="center"/>
                  </w:pPr>
                  <w:r>
                    <w:rPr>
                      <w:sz w:val="21"/>
                    </w:rPr>
                    <w:t>广东连平黄牛石省级自然保护区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52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545"/>
                  <w:tcBorders>
                    <w:top w:val="none" w:color="000000" w:sz="4"/>
                    <w:left w:val="none" w:color="000000" w:sz="4"/>
                    <w:bottom w:val="single" w:color="000000" w:sz="4"/>
                    <w:right w:val="single" w:color="000000" w:sz="4"/>
                  </w:tcBorders>
                  <w:vAlign w:val="top"/>
                </w:tcPr>
                <w:p>
                  <w:pPr>
                    <w:jc w:val="center"/>
                  </w:pPr>
                  <w:r>
                    <w:rPr>
                      <w:sz w:val="21"/>
                    </w:rPr>
                    <w:t>广东紫金白溪省级自然保护区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52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545"/>
                  <w:tcBorders>
                    <w:top w:val="none" w:color="000000" w:sz="4"/>
                    <w:left w:val="none" w:color="000000" w:sz="4"/>
                    <w:bottom w:val="single" w:color="000000" w:sz="4"/>
                    <w:right w:val="single" w:color="000000" w:sz="4"/>
                  </w:tcBorders>
                  <w:vAlign w:val="top"/>
                </w:tcPr>
                <w:p>
                  <w:pPr>
                    <w:jc w:val="center"/>
                  </w:pPr>
                  <w:r>
                    <w:rPr>
                      <w:sz w:val="21"/>
                    </w:rPr>
                    <w:t>广东龙门南昆山省级自然保护区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52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545"/>
                  <w:tcBorders>
                    <w:top w:val="none" w:color="000000" w:sz="4"/>
                    <w:left w:val="none" w:color="000000" w:sz="4"/>
                    <w:bottom w:val="single" w:color="000000" w:sz="4"/>
                    <w:right w:val="single" w:color="000000" w:sz="4"/>
                  </w:tcBorders>
                  <w:vAlign w:val="top"/>
                </w:tcPr>
                <w:p>
                  <w:pPr>
                    <w:jc w:val="center"/>
                  </w:pPr>
                  <w:r>
                    <w:rPr>
                      <w:sz w:val="21"/>
                    </w:rPr>
                    <w:t>广东平远龙文</w:t>
                  </w:r>
                  <w:r>
                    <w:rPr>
                      <w:sz w:val="21"/>
                    </w:rPr>
                    <w:t>-</w:t>
                  </w:r>
                  <w:r>
                    <w:rPr>
                      <w:sz w:val="21"/>
                    </w:rPr>
                    <w:t>黄田省级自然保护区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sz w:val="21"/>
                    </w:rPr>
                    <w:t>11</w:t>
                  </w:r>
                </w:p>
              </w:tc>
            </w:tr>
            <w:tr>
              <w:tc>
                <w:tcPr>
                  <w:tcW w:type="dxa" w:w="52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545"/>
                  <w:tcBorders>
                    <w:top w:val="none" w:color="000000" w:sz="4"/>
                    <w:left w:val="none" w:color="000000" w:sz="4"/>
                    <w:bottom w:val="single" w:color="000000" w:sz="4"/>
                    <w:right w:val="single" w:color="000000" w:sz="4"/>
                  </w:tcBorders>
                  <w:vAlign w:val="top"/>
                </w:tcPr>
                <w:p>
                  <w:pPr>
                    <w:jc w:val="center"/>
                  </w:pPr>
                  <w:r>
                    <w:rPr>
                      <w:sz w:val="21"/>
                    </w:rPr>
                    <w:t>广东翁源青云山省级自然保护区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52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545"/>
                  <w:tcBorders>
                    <w:top w:val="none" w:color="000000" w:sz="4"/>
                    <w:left w:val="none" w:color="000000" w:sz="4"/>
                    <w:bottom w:val="single" w:color="000000" w:sz="4"/>
                    <w:right w:val="single" w:color="000000" w:sz="4"/>
                  </w:tcBorders>
                  <w:vAlign w:val="top"/>
                </w:tcPr>
                <w:p>
                  <w:pPr>
                    <w:jc w:val="center"/>
                  </w:pPr>
                  <w:r>
                    <w:rPr>
                      <w:sz w:val="21"/>
                    </w:rPr>
                    <w:t>广东南雄小流坑</w:t>
                  </w:r>
                  <w:r>
                    <w:rPr>
                      <w:sz w:val="21"/>
                    </w:rPr>
                    <w:t>—青嶂山省级自然保护区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5070"/>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525"/>
                  <w:tcBorders>
                    <w:top w:val="none" w:color="000000" w:sz="4"/>
                    <w:left w:val="none" w:color="000000" w:sz="4"/>
                    <w:bottom w:val="single" w:color="000000" w:sz="4"/>
                    <w:right w:val="single" w:color="000000" w:sz="4"/>
                  </w:tcBorders>
                  <w:vAlign w:val="top"/>
                </w:tcPr>
                <w:p>
                  <w:pPr>
                    <w:jc w:val="center"/>
                  </w:pPr>
                  <w:r>
                    <w:rPr>
                      <w:sz w:val="21"/>
                    </w:rPr>
                    <w:t>34</w:t>
                  </w:r>
                </w:p>
              </w:tc>
            </w:tr>
          </w:tbl>
          <w:p>
            <w:pPr>
              <w:jc w:val="both"/>
            </w:pPr>
            <w:r>
              <w:rPr>
                <w:sz w:val="21"/>
              </w:rPr>
              <w:t>三、项目服务要求</w:t>
            </w:r>
          </w:p>
          <w:p>
            <w:pPr>
              <w:jc w:val="both"/>
            </w:pPr>
            <w:r>
              <w:rPr>
                <w:sz w:val="21"/>
              </w:rPr>
              <w:t>1</w:t>
            </w:r>
            <w:r>
              <w:rPr>
                <w:sz w:val="21"/>
              </w:rPr>
              <w:t>自然保护区防火专线租赁服务要求</w:t>
            </w:r>
          </w:p>
          <w:p>
            <w:pPr>
              <w:jc w:val="both"/>
            </w:pPr>
            <w:r>
              <w:rPr>
                <w:sz w:val="21"/>
              </w:rPr>
              <w:t>1.1.</w:t>
            </w:r>
            <w:r>
              <w:rPr>
                <w:sz w:val="21"/>
              </w:rPr>
              <w:t>通信租赁服务专线</w:t>
            </w:r>
            <w:r>
              <w:rPr>
                <w:sz w:val="21"/>
              </w:rPr>
              <w:t>75</w:t>
            </w:r>
            <w:r>
              <w:rPr>
                <w:sz w:val="21"/>
              </w:rPr>
              <w:t>条，中标人应尽可能采用各种有效方式实现采购人租用的线路连通，最大限度地保证采购租用线路的安全运行。</w:t>
            </w:r>
          </w:p>
          <w:p>
            <w:pPr>
              <w:jc w:val="both"/>
            </w:pPr>
            <w:r>
              <w:rPr>
                <w:sz w:val="21"/>
              </w:rPr>
              <w:t>1.2.</w:t>
            </w:r>
            <w:r>
              <w:rPr>
                <w:sz w:val="21"/>
              </w:rPr>
              <w:t>中标人应负责对向采购人所提供专用线路以及相关设备的定期检查、日常维护、修缮及保养，加强值班和监测，保证线路不中断，网络故障修复后，中标人应及时通知采购人。</w:t>
            </w:r>
          </w:p>
          <w:p>
            <w:pPr>
              <w:jc w:val="both"/>
            </w:pPr>
            <w:r>
              <w:rPr>
                <w:sz w:val="21"/>
              </w:rPr>
              <w:t>1.3.</w:t>
            </w:r>
            <w:r>
              <w:rPr>
                <w:sz w:val="21"/>
              </w:rPr>
              <w:t>中标人由于割接、维修等正常计划原因需中断采购人租用的线路时，应提前</w:t>
            </w:r>
            <w:r>
              <w:rPr>
                <w:sz w:val="21"/>
              </w:rPr>
              <w:t>72</w:t>
            </w:r>
            <w:r>
              <w:rPr>
                <w:sz w:val="21"/>
              </w:rPr>
              <w:t>小时书面通知采购人，并安排相应措施尽量保证该线路的畅通，对于紧急情况，采购人与中标人双方另行协商。</w:t>
            </w:r>
          </w:p>
          <w:p>
            <w:pPr>
              <w:jc w:val="both"/>
            </w:pPr>
            <w:r>
              <w:rPr>
                <w:sz w:val="21"/>
              </w:rPr>
              <w:t>2 .</w:t>
            </w:r>
            <w:r>
              <w:rPr>
                <w:sz w:val="21"/>
              </w:rPr>
              <w:t>铁塔租赁服务要求</w:t>
            </w:r>
          </w:p>
          <w:p>
            <w:pPr>
              <w:jc w:val="both"/>
            </w:pPr>
            <w:r>
              <w:rPr>
                <w:sz w:val="21"/>
              </w:rPr>
              <w:t>2.1.</w:t>
            </w:r>
            <w:r>
              <w:rPr>
                <w:sz w:val="21"/>
              </w:rPr>
              <w:t>本项目铁塔租赁服务</w:t>
            </w:r>
            <w:r>
              <w:rPr>
                <w:sz w:val="21"/>
              </w:rPr>
              <w:t>34</w:t>
            </w:r>
            <w:r>
              <w:rPr>
                <w:sz w:val="21"/>
              </w:rPr>
              <w:t>项，铁塔作为视频监控前端的支撑点，应具备相应的挂设空间，保障其处于安全、稳定状态，出现自然灾害破坏的情况时，需要及时进行维修。为了保证视频监测点位的视野，周边无明显的建筑物阻挡。</w:t>
            </w:r>
          </w:p>
          <w:p>
            <w:pPr>
              <w:jc w:val="both"/>
            </w:pPr>
            <w:r>
              <w:rPr>
                <w:sz w:val="21"/>
              </w:rPr>
              <w:t>2.2.</w:t>
            </w:r>
            <w:r>
              <w:rPr>
                <w:sz w:val="21"/>
              </w:rPr>
              <w:t>电力输送运营维护服务：电力输送包括运营和维护两部分。其中电力输送运营内容主要是前端视频监测点位的电力费用，需及时向电网单位缴存，多与电力部门沟通，了解随时掌握用电余量，避免欠费断电。中标人不得将电费等相关费用另行向采购单位收取。</w:t>
            </w:r>
          </w:p>
          <w:p>
            <w:pPr>
              <w:jc w:val="both"/>
            </w:pPr>
            <w:r>
              <w:rPr>
                <w:sz w:val="21"/>
              </w:rPr>
              <w:t>3.</w:t>
            </w:r>
            <w:r>
              <w:rPr>
                <w:sz w:val="21"/>
              </w:rPr>
              <w:t>其他服务要求</w:t>
            </w:r>
          </w:p>
          <w:p>
            <w:pPr>
              <w:jc w:val="both"/>
            </w:pPr>
            <w:r>
              <w:rPr>
                <w:sz w:val="21"/>
              </w:rPr>
              <w:t>中标人应根据本项目的实际情况，组织安排固定服务于本项目技术人员，保障项目正常运行率</w:t>
            </w:r>
            <w:r>
              <w:rPr>
                <w:sz w:val="21"/>
              </w:rPr>
              <w:t>≥</w:t>
            </w:r>
            <w:r>
              <w:rPr>
                <w:sz w:val="21"/>
              </w:rPr>
              <w:t>85%</w:t>
            </w:r>
            <w:r>
              <w:rPr>
                <w:sz w:val="21"/>
              </w:rPr>
              <w:t>（因不可抗力的自然灾害除外，但需双方及时沟通）。</w:t>
            </w:r>
          </w:p>
          <w:p>
            <w:pPr>
              <w:jc w:val="both"/>
            </w:pPr>
            <w:r>
              <w:rPr>
                <w:sz w:val="21"/>
              </w:rPr>
              <w:t>四、售后服务要求</w:t>
            </w:r>
          </w:p>
          <w:p>
            <w:pPr>
              <w:jc w:val="both"/>
            </w:pPr>
            <w:r>
              <w:rPr>
                <w:sz w:val="21"/>
              </w:rPr>
              <w:t>售后服务须包括但不限于以下内容：</w:t>
            </w:r>
          </w:p>
          <w:p>
            <w:pPr>
              <w:jc w:val="both"/>
            </w:pPr>
            <w:r>
              <w:rPr>
                <w:sz w:val="21"/>
              </w:rPr>
              <w:t>1.</w:t>
            </w:r>
            <w:r>
              <w:rPr>
                <w:sz w:val="21"/>
              </w:rPr>
              <w:t>售后服务类型</w:t>
            </w:r>
          </w:p>
          <w:p>
            <w:pPr>
              <w:jc w:val="both"/>
            </w:pPr>
            <w:r>
              <w:rPr>
                <w:sz w:val="21"/>
              </w:rPr>
              <w:t>服务期内，中标人提供维保服务。（因不可抗力因素导致的除外）</w:t>
            </w:r>
          </w:p>
          <w:p>
            <w:pPr>
              <w:jc w:val="both"/>
            </w:pPr>
            <w:r>
              <w:rPr>
                <w:sz w:val="21"/>
              </w:rPr>
              <w:t>2.</w:t>
            </w:r>
            <w:r>
              <w:rPr>
                <w:sz w:val="21"/>
              </w:rPr>
              <w:t>售后服务收费标准</w:t>
            </w:r>
          </w:p>
          <w:p>
            <w:pPr>
              <w:jc w:val="both"/>
            </w:pPr>
            <w:r>
              <w:rPr>
                <w:sz w:val="21"/>
              </w:rPr>
              <w:t>在服务期内，中标人负责对其提供的铁塔及线路进行定期的维修保养和故障排除，不再向用户单位收取费用。</w:t>
            </w:r>
          </w:p>
          <w:p>
            <w:pPr>
              <w:jc w:val="both"/>
            </w:pPr>
            <w:r>
              <w:rPr>
                <w:sz w:val="21"/>
              </w:rPr>
              <w:t>3.7</w:t>
            </w:r>
            <w:r>
              <w:rPr>
                <w:sz w:val="21"/>
              </w:rPr>
              <w:t>×</w:t>
            </w:r>
            <w:r>
              <w:rPr>
                <w:sz w:val="21"/>
              </w:rPr>
              <w:t>24</w:t>
            </w:r>
            <w:r>
              <w:rPr>
                <w:sz w:val="21"/>
              </w:rPr>
              <w:t>小时电话服务</w:t>
            </w:r>
          </w:p>
          <w:p>
            <w:pPr>
              <w:jc w:val="both"/>
            </w:pPr>
            <w:r>
              <w:rPr>
                <w:sz w:val="21"/>
              </w:rPr>
              <w:t>中标人必须提供</w:t>
            </w:r>
            <w:r>
              <w:rPr>
                <w:sz w:val="21"/>
              </w:rPr>
              <w:t>7</w:t>
            </w:r>
            <w:r>
              <w:rPr>
                <w:sz w:val="21"/>
              </w:rPr>
              <w:t>×</w:t>
            </w:r>
            <w:r>
              <w:rPr>
                <w:sz w:val="21"/>
              </w:rPr>
              <w:t>24</w:t>
            </w:r>
            <w:r>
              <w:rPr>
                <w:sz w:val="21"/>
              </w:rPr>
              <w:t>小时电话服务，若出现故障，或用户单位有相关的技术问题，均可拨打服务电话，向中标人提出服务申请。中标人必须立即响应，提供技术支持，并对问题进行跟踪。</w:t>
            </w:r>
          </w:p>
          <w:p>
            <w:pPr>
              <w:jc w:val="both"/>
            </w:pPr>
            <w:r>
              <w:rPr>
                <w:sz w:val="21"/>
              </w:rPr>
              <w:t>4.</w:t>
            </w:r>
            <w:r>
              <w:rPr>
                <w:sz w:val="21"/>
              </w:rPr>
              <w:t>全面巡检服务</w:t>
            </w:r>
          </w:p>
          <w:p>
            <w:pPr>
              <w:jc w:val="both"/>
            </w:pPr>
            <w:r>
              <w:rPr>
                <w:sz w:val="21"/>
              </w:rPr>
              <w:t>中标人必须提供</w:t>
            </w:r>
            <w:r>
              <w:rPr>
                <w:sz w:val="21"/>
              </w:rPr>
              <w:t>1</w:t>
            </w:r>
            <w:r>
              <w:rPr>
                <w:sz w:val="21"/>
              </w:rPr>
              <w:t>个年度至少一次的全面（预防性）巡检服务。如发现问题，应及时按要求修复。</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自然保护区铁塔租赁服务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rPr>
              <w:t>自然保护区防火专线及自然保护区铁塔租赁服务需求合并如下：</w:t>
            </w:r>
          </w:p>
          <w:p>
            <w:r>
              <w:rPr/>
              <w:t xml:space="preserve"> </w:t>
            </w:r>
          </w:p>
          <w:p>
            <w:pPr>
              <w:jc w:val="both"/>
            </w:pPr>
            <w:r>
              <w:rPr>
                <w:color w:val="000000"/>
                <w:sz w:val="21"/>
              </w:rPr>
              <w:t>一、</w:t>
            </w:r>
            <w:r>
              <w:rPr>
                <w:color w:val="000000"/>
                <w:sz w:val="21"/>
              </w:rPr>
              <w:t>项目目标</w:t>
            </w:r>
          </w:p>
          <w:p>
            <w:pPr>
              <w:jc w:val="both"/>
            </w:pPr>
            <w:r>
              <w:rPr>
                <w:color w:val="000000"/>
                <w:sz w:val="21"/>
              </w:rPr>
              <w:t>1.</w:t>
            </w:r>
            <w:r>
              <w:rPr>
                <w:color w:val="000000"/>
                <w:sz w:val="21"/>
              </w:rPr>
              <w:t>根据《关于印发广东“数字政府”改革建设方案的通知》、《广东“数字政府”改革建设方案》等文件，建立与完善广东省林业局运维服务管理体系，有效利用与整合现有资源，进一步为广东省林业局的信息化基础设施、政务信息系统提供规范化、专业化和高质量的运维服务，确保政务信息系统正常运行，政务业务正常有序开展，提高工作效率和服务能力</w:t>
            </w:r>
          </w:p>
          <w:p>
            <w:pPr>
              <w:jc w:val="both"/>
            </w:pPr>
            <w:r>
              <w:rPr>
                <w:color w:val="000000"/>
                <w:sz w:val="21"/>
              </w:rPr>
              <w:t>二、项目需求</w:t>
            </w:r>
          </w:p>
          <w:p>
            <w:pPr>
              <w:jc w:val="both"/>
            </w:pPr>
            <w:r>
              <w:rPr>
                <w:color w:val="000000"/>
                <w:sz w:val="21"/>
              </w:rPr>
              <w:t>1.</w:t>
            </w:r>
            <w:r>
              <w:rPr>
                <w:color w:val="000000"/>
                <w:sz w:val="21"/>
              </w:rPr>
              <w:t>自然保护区防火专线租赁服务</w:t>
            </w:r>
          </w:p>
          <w:p>
            <w:pPr>
              <w:jc w:val="both"/>
            </w:pPr>
            <w:r>
              <w:rPr>
                <w:color w:val="000000"/>
                <w:sz w:val="21"/>
              </w:rPr>
              <w:t>自然保护区</w:t>
            </w:r>
            <w:r>
              <w:rPr>
                <w:color w:val="000000"/>
                <w:sz w:val="21"/>
              </w:rPr>
              <w:t>75</w:t>
            </w:r>
            <w:r>
              <w:rPr>
                <w:color w:val="000000"/>
                <w:sz w:val="21"/>
              </w:rPr>
              <w:t>条防火专线。</w:t>
            </w:r>
          </w:p>
          <w:p>
            <w:pPr>
              <w:jc w:val="both"/>
            </w:pPr>
            <w:r>
              <w:rPr>
                <w:color w:val="000000"/>
                <w:sz w:val="21"/>
              </w:rPr>
              <w:t>表格</w:t>
            </w:r>
            <w:r>
              <w:rPr>
                <w:color w:val="000000"/>
                <w:sz w:val="21"/>
              </w:rPr>
              <w:t>2?1</w:t>
            </w:r>
            <w:r>
              <w:rPr>
                <w:color w:val="000000"/>
                <w:sz w:val="21"/>
              </w:rPr>
              <w:t>自然保护区防火专线通信服务清单</w:t>
            </w:r>
          </w:p>
          <w:tbl>
            <w:tblPr>
              <w:tblBorders>
                <w:top w:val="none" w:color="000000" w:sz="4"/>
                <w:left w:val="none" w:color="000000" w:sz="4"/>
                <w:bottom w:val="none" w:color="000000" w:sz="4"/>
                <w:right w:val="none" w:color="000000" w:sz="4"/>
                <w:insideH w:val="none"/>
                <w:insideV w:val="none"/>
              </w:tblBorders>
            </w:tblPr>
            <w:tblGrid>
              <w:gridCol w:w="540"/>
              <w:gridCol w:w="1770"/>
              <w:gridCol w:w="1770"/>
              <w:gridCol w:w="705"/>
              <w:gridCol w:w="765"/>
            </w:tblGrid>
            <w:tr>
              <w:tc>
                <w:tcPr>
                  <w:tcW w:type="dxa" w:w="540"/>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770"/>
                  <w:tcBorders>
                    <w:top w:val="single" w:color="000000" w:sz="4"/>
                    <w:left w:val="none" w:color="000000" w:sz="4"/>
                    <w:bottom w:val="single" w:color="000000" w:sz="4"/>
                    <w:right w:val="single" w:color="000000" w:sz="4"/>
                  </w:tcBorders>
                  <w:vAlign w:val="top"/>
                </w:tcPr>
                <w:p>
                  <w:pPr>
                    <w:jc w:val="center"/>
                  </w:pPr>
                  <w:r>
                    <w:rPr>
                      <w:color w:val="000000"/>
                      <w:sz w:val="21"/>
                    </w:rPr>
                    <w:t>单位名称（</w:t>
                  </w:r>
                  <w:r>
                    <w:rPr>
                      <w:color w:val="000000"/>
                      <w:sz w:val="21"/>
                    </w:rPr>
                    <w:t>A</w:t>
                  </w:r>
                  <w:r>
                    <w:rPr>
                      <w:color w:val="000000"/>
                      <w:sz w:val="21"/>
                    </w:rPr>
                    <w:t>端）</w:t>
                  </w:r>
                </w:p>
              </w:tc>
              <w:tc>
                <w:tcPr>
                  <w:tcW w:type="dxa" w:w="1770"/>
                  <w:tcBorders>
                    <w:top w:val="single" w:color="000000" w:sz="4"/>
                    <w:left w:val="none" w:color="000000" w:sz="4"/>
                    <w:bottom w:val="single" w:color="000000" w:sz="4"/>
                    <w:right w:val="single" w:color="000000" w:sz="4"/>
                  </w:tcBorders>
                  <w:vAlign w:val="top"/>
                </w:tcPr>
                <w:p>
                  <w:pPr>
                    <w:jc w:val="center"/>
                  </w:pPr>
                  <w:r>
                    <w:rPr>
                      <w:color w:val="000000"/>
                      <w:sz w:val="21"/>
                    </w:rPr>
                    <w:t>单位名称（</w:t>
                  </w:r>
                  <w:r>
                    <w:rPr>
                      <w:color w:val="000000"/>
                      <w:sz w:val="21"/>
                    </w:rPr>
                    <w:t>Z</w:t>
                  </w:r>
                  <w:r>
                    <w:rPr>
                      <w:color w:val="000000"/>
                      <w:sz w:val="21"/>
                    </w:rPr>
                    <w:t>端）</w:t>
                  </w:r>
                </w:p>
              </w:tc>
              <w:tc>
                <w:tcPr>
                  <w:tcW w:type="dxa" w:w="705"/>
                  <w:tcBorders>
                    <w:top w:val="single" w:color="000000" w:sz="4"/>
                    <w:left w:val="none" w:color="000000" w:sz="4"/>
                    <w:bottom w:val="single" w:color="000000" w:sz="4"/>
                    <w:right w:val="single" w:color="000000" w:sz="4"/>
                  </w:tcBorders>
                  <w:vAlign w:val="top"/>
                </w:tcPr>
                <w:p>
                  <w:pPr>
                    <w:jc w:val="center"/>
                  </w:pPr>
                  <w:r>
                    <w:rPr>
                      <w:color w:val="000000"/>
                      <w:sz w:val="21"/>
                    </w:rPr>
                    <w:t>规格</w:t>
                  </w:r>
                </w:p>
              </w:tc>
              <w:tc>
                <w:tcPr>
                  <w:tcW w:type="dxa" w:w="765"/>
                  <w:tcBorders>
                    <w:top w:val="single" w:color="000000" w:sz="4"/>
                    <w:left w:val="none" w:color="000000" w:sz="4"/>
                    <w:bottom w:val="single" w:color="000000" w:sz="4"/>
                    <w:right w:val="single" w:color="000000" w:sz="4"/>
                  </w:tcBorders>
                  <w:vAlign w:val="top"/>
                </w:tcPr>
                <w:p>
                  <w:pPr>
                    <w:jc w:val="center"/>
                  </w:pPr>
                  <w:r>
                    <w:rPr>
                      <w:color w:val="000000"/>
                      <w:sz w:val="21"/>
                    </w:rPr>
                    <w:t>租赁月份</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广东连平黄牛石省级自然保护区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黄牛石基站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广东连平黄牛石省级自然保护区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尖山矿基站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广东连平黄牛石省级自然保护区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合水四级发电站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紫金搓山基站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紫金科普教育径</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紫金散滩基站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紫金白溪管理处楼顶</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紫金白溪茶山头</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紫金大坪岗</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紫金白溪基站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紫金梅子坑桥</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紫金四级发电站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酒甑墩</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寨顶</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管理处楼顶</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新桥</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广东惠东古田省级自然保护区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白人石顶</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上冲（湿岭）</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江门市林业局</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大湾冲</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大众径</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三甲电站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佛仔凹（白地水库）</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广东恩平七星坑省级自然保护区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九头电站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平远县林业局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龙文</w:t>
                  </w:r>
                  <w:r>
                    <w:rPr>
                      <w:color w:val="000000"/>
                      <w:sz w:val="21"/>
                    </w:rPr>
                    <w:t>–黄田省级自然保护区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主田管护站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南雄帽子峰林场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南雄主田管护站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南雄主田管护站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南雄主田管护站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青嶂山自然保护区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南雄主田管护站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59</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61</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肇庆林业局</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62</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七星村</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63</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848</w:t>
                  </w:r>
                  <w:r>
                    <w:rPr>
                      <w:color w:val="000000"/>
                      <w:sz w:val="21"/>
                    </w:rPr>
                    <w:t>高山</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光明村</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65</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黑石河矿山</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66</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保护区管理中心后山</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8M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67</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盐水田管护站</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68</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保护区管理中心</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4M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69</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湛江市林业局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广东雷州珍稀海洋生物国家级自然保护区管理局</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70</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河源市林业局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71</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惠州市林业局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广东惠东古田省级自然保护区管理处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72</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惠州市林业局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73</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梅州市林业局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广东平远龙文</w:t>
                  </w:r>
                  <w:r>
                    <w:rPr>
                      <w:color w:val="000000"/>
                      <w:sz w:val="21"/>
                    </w:rPr>
                    <w:t>-</w:t>
                  </w:r>
                  <w:r>
                    <w:rPr>
                      <w:color w:val="000000"/>
                      <w:sz w:val="21"/>
                    </w:rPr>
                    <w:t>黄田省级自然保护区管理处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74</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韶关市林业局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r>
              <w:tc>
                <w:tcPr>
                  <w:tcW w:type="dxa" w:w="540"/>
                  <w:tcBorders>
                    <w:top w:val="none" w:color="000000" w:sz="4"/>
                    <w:left w:val="single" w:color="000000" w:sz="4"/>
                    <w:bottom w:val="single" w:color="000000" w:sz="4"/>
                    <w:right w:val="single" w:color="000000" w:sz="4"/>
                  </w:tcBorders>
                  <w:vAlign w:val="top"/>
                </w:tcPr>
                <w:p>
                  <w:pPr>
                    <w:jc w:val="center"/>
                  </w:pPr>
                  <w:r>
                    <w:rPr>
                      <w:color w:val="000000"/>
                      <w:sz w:val="21"/>
                    </w:rPr>
                    <w:t>75</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韶关市林业局</w:t>
                  </w:r>
                </w:p>
              </w:tc>
              <w:tc>
                <w:tcPr>
                  <w:tcW w:type="dxa" w:w="1770"/>
                  <w:tcBorders>
                    <w:top w:val="none" w:color="000000" w:sz="4"/>
                    <w:left w:val="none" w:color="000000" w:sz="4"/>
                    <w:bottom w:val="single" w:color="000000" w:sz="4"/>
                    <w:right w:val="single" w:color="000000" w:sz="4"/>
                  </w:tcBorders>
                  <w:vAlign w:val="top"/>
                </w:tcPr>
                <w:p>
                  <w:pPr>
                    <w:jc w:val="center"/>
                  </w:pPr>
                  <w:r>
                    <w:rPr>
                      <w:color w:val="000000"/>
                      <w:sz w:val="21"/>
                    </w:rPr>
                    <w:t>广东南雄小流坑</w:t>
                  </w:r>
                  <w:r>
                    <w:rPr>
                      <w:color w:val="000000"/>
                      <w:sz w:val="21"/>
                    </w:rPr>
                    <w:t>-</w:t>
                  </w:r>
                  <w:r>
                    <w:rPr>
                      <w:color w:val="000000"/>
                      <w:sz w:val="21"/>
                    </w:rPr>
                    <w:t>青嶂山省级自然保护区管理处</w:t>
                  </w:r>
                </w:p>
              </w:tc>
              <w:tc>
                <w:tcPr>
                  <w:tcW w:type="dxa" w:w="705"/>
                  <w:tcBorders>
                    <w:top w:val="none" w:color="000000" w:sz="4"/>
                    <w:left w:val="none" w:color="000000" w:sz="4"/>
                    <w:bottom w:val="single" w:color="000000" w:sz="4"/>
                    <w:right w:val="single" w:color="000000" w:sz="4"/>
                  </w:tcBorders>
                  <w:vAlign w:val="top"/>
                </w:tcPr>
                <w:p>
                  <w:pPr>
                    <w:jc w:val="center"/>
                  </w:pPr>
                  <w:r>
                    <w:rPr>
                      <w:color w:val="000000"/>
                      <w:sz w:val="21"/>
                    </w:rPr>
                    <w:t>30M</w:t>
                  </w:r>
                </w:p>
              </w:tc>
              <w:tc>
                <w:tcPr>
                  <w:tcW w:type="dxa" w:w="765"/>
                  <w:tcBorders>
                    <w:top w:val="none" w:color="000000" w:sz="4"/>
                    <w:left w:val="none" w:color="000000" w:sz="4"/>
                    <w:bottom w:val="single" w:color="000000" w:sz="4"/>
                    <w:right w:val="single" w:color="000000" w:sz="4"/>
                  </w:tcBorders>
                  <w:vAlign w:val="top"/>
                </w:tcPr>
                <w:p>
                  <w:pPr>
                    <w:jc w:val="center"/>
                  </w:pPr>
                  <w:r>
                    <w:rPr>
                      <w:color w:val="000000"/>
                      <w:sz w:val="21"/>
                    </w:rPr>
                    <w:t>12</w:t>
                  </w:r>
                </w:p>
              </w:tc>
            </w:tr>
          </w:tbl>
          <w:p>
            <w:pPr>
              <w:jc w:val="both"/>
            </w:pPr>
          </w:p>
          <w:p>
            <w:pPr>
              <w:jc w:val="both"/>
            </w:pPr>
            <w:r>
              <w:rPr>
                <w:color w:val="000000"/>
                <w:sz w:val="21"/>
              </w:rPr>
              <w:t>2.</w:t>
            </w:r>
            <w:r>
              <w:rPr>
                <w:color w:val="000000"/>
                <w:sz w:val="21"/>
              </w:rPr>
              <w:t>自然保护区铁塔租赁服务</w:t>
            </w:r>
          </w:p>
          <w:p>
            <w:pPr>
              <w:jc w:val="both"/>
            </w:pPr>
            <w:r>
              <w:rPr>
                <w:color w:val="000000"/>
                <w:sz w:val="21"/>
              </w:rPr>
              <w:t>省级自然保护区</w:t>
            </w:r>
            <w:r>
              <w:rPr>
                <w:color w:val="000000"/>
                <w:sz w:val="21"/>
              </w:rPr>
              <w:t>(</w:t>
            </w:r>
            <w:r>
              <w:rPr>
                <w:color w:val="000000"/>
                <w:sz w:val="21"/>
              </w:rPr>
              <w:t>广东恩平七星坑省级自然保护区、广东封开黑石顶省级自然保护区、广东连平黄牛石省级自然保护区、广东紫金白溪省级自然保护区、广东龙门南昆山省级自然保护区、广东平远龙文</w:t>
            </w:r>
            <w:r>
              <w:rPr>
                <w:color w:val="000000"/>
                <w:sz w:val="21"/>
              </w:rPr>
              <w:t>-</w:t>
            </w:r>
            <w:r>
              <w:rPr>
                <w:color w:val="000000"/>
                <w:sz w:val="21"/>
              </w:rPr>
              <w:t>黄田省级自然保护区、广东翁源青云山省级自然保护区、广东南雄小流坑—青嶂山省级自然保护区</w:t>
            </w:r>
            <w:r>
              <w:rPr>
                <w:color w:val="000000"/>
                <w:sz w:val="21"/>
              </w:rPr>
              <w:t>)</w:t>
            </w:r>
            <w:r>
              <w:rPr>
                <w:color w:val="000000"/>
                <w:sz w:val="21"/>
              </w:rPr>
              <w:t>铁塔租赁服务，含</w:t>
            </w:r>
            <w:r>
              <w:rPr>
                <w:color w:val="000000"/>
                <w:sz w:val="21"/>
              </w:rPr>
              <w:t>34</w:t>
            </w:r>
            <w:r>
              <w:rPr>
                <w:color w:val="000000"/>
                <w:sz w:val="21"/>
              </w:rPr>
              <w:t>个铁塔。</w:t>
            </w:r>
          </w:p>
          <w:p>
            <w:pPr>
              <w:jc w:val="both"/>
            </w:pPr>
            <w:r>
              <w:rPr>
                <w:color w:val="000000"/>
                <w:sz w:val="21"/>
              </w:rPr>
              <w:t>表格</w:t>
            </w:r>
            <w:r>
              <w:rPr>
                <w:color w:val="000000"/>
                <w:sz w:val="21"/>
              </w:rPr>
              <w:t>2?2</w:t>
            </w:r>
            <w:r>
              <w:rPr>
                <w:color w:val="000000"/>
                <w:sz w:val="21"/>
              </w:rPr>
              <w:t>自然保护区铁塔租赁服务清单</w:t>
            </w:r>
          </w:p>
          <w:tbl>
            <w:tblPr>
              <w:tblInd w:type="dxa" w:w="120"/>
              <w:tblBorders>
                <w:top w:val="none" w:color="000000" w:sz="4"/>
                <w:left w:val="none" w:color="000000" w:sz="4"/>
                <w:bottom w:val="none" w:color="000000" w:sz="4"/>
                <w:right w:val="none" w:color="000000" w:sz="4"/>
                <w:insideH w:val="none"/>
                <w:insideV w:val="none"/>
              </w:tblBorders>
            </w:tblPr>
            <w:tblGrid>
              <w:gridCol w:w="525"/>
              <w:gridCol w:w="4545"/>
              <w:gridCol w:w="525"/>
            </w:tblGrid>
            <w:tr>
              <w:tc>
                <w:tcPr>
                  <w:tcW w:type="dxa" w:w="525"/>
                  <w:vMerge w:val="restart"/>
                  <w:tcBorders>
                    <w:top w:val="single" w:color="000000" w:sz="4"/>
                    <w:left w:val="single" w:color="000000" w:sz="4"/>
                    <w:bottom w:val="single" w:color="000000" w:sz="4"/>
                    <w:right w:val="single" w:color="000000" w:sz="4"/>
                  </w:tcBorders>
                  <w:shd w:fill="F1F1F1"/>
                  <w:vAlign w:val="top"/>
                </w:tcPr>
                <w:p>
                  <w:pPr>
                    <w:jc w:val="center"/>
                  </w:pPr>
                  <w:r>
                    <w:rPr>
                      <w:color w:val="000000"/>
                      <w:sz w:val="21"/>
                    </w:rPr>
                    <w:t>序号</w:t>
                  </w:r>
                </w:p>
              </w:tc>
              <w:tc>
                <w:tcPr>
                  <w:tcW w:type="dxa" w:w="4545"/>
                  <w:vMerge w:val="restart"/>
                  <w:tcBorders>
                    <w:top w:val="single" w:color="000000" w:sz="4"/>
                    <w:left w:val="none" w:color="000000" w:sz="4"/>
                    <w:bottom w:val="single" w:color="000000" w:sz="4"/>
                    <w:right w:val="single" w:color="000000" w:sz="4"/>
                  </w:tcBorders>
                  <w:shd w:fill="F1F1F1"/>
                  <w:vAlign w:val="top"/>
                </w:tcPr>
                <w:p>
                  <w:pPr>
                    <w:jc w:val="center"/>
                  </w:pPr>
                  <w:r>
                    <w:rPr>
                      <w:color w:val="000000"/>
                      <w:sz w:val="21"/>
                    </w:rPr>
                    <w:t>名称</w:t>
                  </w:r>
                </w:p>
              </w:tc>
              <w:tc>
                <w:tcPr>
                  <w:tcW w:type="dxa" w:w="525"/>
                  <w:vMerge w:val="restart"/>
                  <w:tcBorders>
                    <w:top w:val="single" w:color="000000" w:sz="4"/>
                    <w:left w:val="none" w:color="000000" w:sz="4"/>
                    <w:bottom w:val="single" w:color="000000" w:sz="4"/>
                    <w:right w:val="single" w:color="000000" w:sz="4"/>
                  </w:tcBorders>
                  <w:shd w:fill="F1F1F1"/>
                  <w:vAlign w:val="top"/>
                </w:tcPr>
                <w:p>
                  <w:pPr>
                    <w:jc w:val="center"/>
                  </w:pPr>
                  <w:r>
                    <w:rPr>
                      <w:color w:val="000000"/>
                      <w:sz w:val="21"/>
                    </w:rPr>
                    <w:t>数量</w:t>
                  </w:r>
                </w:p>
              </w:tc>
            </w:tr>
            <w:tr/>
            <w:tr>
              <w:tc>
                <w:tcPr>
                  <w:tcW w:type="dxa" w:w="52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4545"/>
                  <w:tcBorders>
                    <w:top w:val="none" w:color="000000" w:sz="4"/>
                    <w:left w:val="none" w:color="000000" w:sz="4"/>
                    <w:bottom w:val="single" w:color="000000" w:sz="4"/>
                    <w:right w:val="single" w:color="000000" w:sz="4"/>
                  </w:tcBorders>
                  <w:vAlign w:val="top"/>
                </w:tcPr>
                <w:p>
                  <w:pPr>
                    <w:jc w:val="center"/>
                  </w:pPr>
                  <w:r>
                    <w:rPr>
                      <w:color w:val="000000"/>
                      <w:sz w:val="21"/>
                    </w:rPr>
                    <w:t>广东恩平七星坑省级自然保护区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52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4545"/>
                  <w:tcBorders>
                    <w:top w:val="none" w:color="000000" w:sz="4"/>
                    <w:left w:val="none" w:color="000000" w:sz="4"/>
                    <w:bottom w:val="single" w:color="000000" w:sz="4"/>
                    <w:right w:val="single" w:color="000000" w:sz="4"/>
                  </w:tcBorders>
                  <w:vAlign w:val="top"/>
                </w:tcPr>
                <w:p>
                  <w:pPr>
                    <w:jc w:val="center"/>
                  </w:pPr>
                  <w:r>
                    <w:rPr>
                      <w:color w:val="000000"/>
                      <w:sz w:val="21"/>
                    </w:rPr>
                    <w:t>广东封开黑石顶省级自然保护区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3</w:t>
                  </w:r>
                </w:p>
              </w:tc>
            </w:tr>
            <w:tr>
              <w:tc>
                <w:tcPr>
                  <w:tcW w:type="dxa" w:w="52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4545"/>
                  <w:tcBorders>
                    <w:top w:val="none" w:color="000000" w:sz="4"/>
                    <w:left w:val="none" w:color="000000" w:sz="4"/>
                    <w:bottom w:val="single" w:color="000000" w:sz="4"/>
                    <w:right w:val="single" w:color="000000" w:sz="4"/>
                  </w:tcBorders>
                  <w:vAlign w:val="top"/>
                </w:tcPr>
                <w:p>
                  <w:pPr>
                    <w:jc w:val="center"/>
                  </w:pPr>
                  <w:r>
                    <w:rPr>
                      <w:color w:val="000000"/>
                      <w:sz w:val="21"/>
                    </w:rPr>
                    <w:t>广东连平黄牛石省级自然保护区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52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4545"/>
                  <w:tcBorders>
                    <w:top w:val="none" w:color="000000" w:sz="4"/>
                    <w:left w:val="none" w:color="000000" w:sz="4"/>
                    <w:bottom w:val="single" w:color="000000" w:sz="4"/>
                    <w:right w:val="single" w:color="000000" w:sz="4"/>
                  </w:tcBorders>
                  <w:vAlign w:val="top"/>
                </w:tcPr>
                <w:p>
                  <w:pPr>
                    <w:jc w:val="center"/>
                  </w:pPr>
                  <w:r>
                    <w:rPr>
                      <w:color w:val="000000"/>
                      <w:sz w:val="21"/>
                    </w:rPr>
                    <w:t>广东紫金白溪省级自然保护区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5</w:t>
                  </w:r>
                </w:p>
              </w:tc>
            </w:tr>
            <w:tr>
              <w:tc>
                <w:tcPr>
                  <w:tcW w:type="dxa" w:w="52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4545"/>
                  <w:tcBorders>
                    <w:top w:val="none" w:color="000000" w:sz="4"/>
                    <w:left w:val="none" w:color="000000" w:sz="4"/>
                    <w:bottom w:val="single" w:color="000000" w:sz="4"/>
                    <w:right w:val="single" w:color="000000" w:sz="4"/>
                  </w:tcBorders>
                  <w:vAlign w:val="top"/>
                </w:tcPr>
                <w:p>
                  <w:pPr>
                    <w:jc w:val="center"/>
                  </w:pPr>
                  <w:r>
                    <w:rPr>
                      <w:color w:val="000000"/>
                      <w:sz w:val="21"/>
                    </w:rPr>
                    <w:t>广东龙门南昆山省级自然保护区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52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4545"/>
                  <w:tcBorders>
                    <w:top w:val="none" w:color="000000" w:sz="4"/>
                    <w:left w:val="none" w:color="000000" w:sz="4"/>
                    <w:bottom w:val="single" w:color="000000" w:sz="4"/>
                    <w:right w:val="single" w:color="000000" w:sz="4"/>
                  </w:tcBorders>
                  <w:vAlign w:val="top"/>
                </w:tcPr>
                <w:p>
                  <w:pPr>
                    <w:jc w:val="center"/>
                  </w:pPr>
                  <w:r>
                    <w:rPr>
                      <w:color w:val="000000"/>
                      <w:sz w:val="21"/>
                    </w:rPr>
                    <w:t>广东平远龙文</w:t>
                  </w:r>
                  <w:r>
                    <w:rPr>
                      <w:color w:val="000000"/>
                      <w:sz w:val="21"/>
                    </w:rPr>
                    <w:t>-</w:t>
                  </w:r>
                  <w:r>
                    <w:rPr>
                      <w:color w:val="000000"/>
                      <w:sz w:val="21"/>
                    </w:rPr>
                    <w:t>黄田省级自然保护区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11</w:t>
                  </w:r>
                </w:p>
              </w:tc>
            </w:tr>
            <w:tr>
              <w:tc>
                <w:tcPr>
                  <w:tcW w:type="dxa" w:w="52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4545"/>
                  <w:tcBorders>
                    <w:top w:val="none" w:color="000000" w:sz="4"/>
                    <w:left w:val="none" w:color="000000" w:sz="4"/>
                    <w:bottom w:val="single" w:color="000000" w:sz="4"/>
                    <w:right w:val="single" w:color="000000" w:sz="4"/>
                  </w:tcBorders>
                  <w:vAlign w:val="top"/>
                </w:tcPr>
                <w:p>
                  <w:pPr>
                    <w:jc w:val="center"/>
                  </w:pPr>
                  <w:r>
                    <w:rPr>
                      <w:color w:val="000000"/>
                      <w:sz w:val="21"/>
                    </w:rPr>
                    <w:t>广东翁源青云山省级自然保护区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4</w:t>
                  </w:r>
                </w:p>
              </w:tc>
            </w:tr>
            <w:tr>
              <w:tc>
                <w:tcPr>
                  <w:tcW w:type="dxa" w:w="525"/>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4545"/>
                  <w:tcBorders>
                    <w:top w:val="none" w:color="000000" w:sz="4"/>
                    <w:left w:val="none" w:color="000000" w:sz="4"/>
                    <w:bottom w:val="single" w:color="000000" w:sz="4"/>
                    <w:right w:val="single" w:color="000000" w:sz="4"/>
                  </w:tcBorders>
                  <w:vAlign w:val="top"/>
                </w:tcPr>
                <w:p>
                  <w:pPr>
                    <w:jc w:val="center"/>
                  </w:pPr>
                  <w:r>
                    <w:rPr>
                      <w:color w:val="000000"/>
                      <w:sz w:val="21"/>
                    </w:rPr>
                    <w:t>广东南雄小流坑</w:t>
                  </w:r>
                  <w:r>
                    <w:rPr>
                      <w:color w:val="000000"/>
                      <w:sz w:val="21"/>
                    </w:rPr>
                    <w:t>—青嶂山省级自然保护区</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4</w:t>
                  </w:r>
                </w:p>
              </w:tc>
            </w:tr>
            <w:tr>
              <w:tc>
                <w:tcPr>
                  <w:tcW w:type="dxa" w:w="5070"/>
                  <w:gridSpan w:val="2"/>
                  <w:tcBorders>
                    <w:top w:val="none" w:color="000000" w:sz="4"/>
                    <w:left w:val="single" w:color="000000" w:sz="4"/>
                    <w:bottom w:val="single" w:color="000000" w:sz="4"/>
                    <w:right w:val="single" w:color="000000" w:sz="4"/>
                  </w:tcBorders>
                  <w:vAlign w:val="top"/>
                </w:tcPr>
                <w:p>
                  <w:pPr>
                    <w:jc w:val="center"/>
                  </w:pPr>
                  <w:r>
                    <w:rPr>
                      <w:color w:val="000000"/>
                      <w:sz w:val="21"/>
                    </w:rPr>
                    <w:t>合计</w:t>
                  </w:r>
                </w:p>
              </w:tc>
              <w:tc>
                <w:tcPr>
                  <w:tcW w:type="dxa" w:w="525"/>
                  <w:tcBorders>
                    <w:top w:val="none" w:color="000000" w:sz="4"/>
                    <w:left w:val="none" w:color="000000" w:sz="4"/>
                    <w:bottom w:val="single" w:color="000000" w:sz="4"/>
                    <w:right w:val="single" w:color="000000" w:sz="4"/>
                  </w:tcBorders>
                  <w:vAlign w:val="top"/>
                </w:tcPr>
                <w:p>
                  <w:pPr>
                    <w:jc w:val="center"/>
                  </w:pPr>
                  <w:r>
                    <w:rPr>
                      <w:color w:val="000000"/>
                      <w:sz w:val="21"/>
                    </w:rPr>
                    <w:t>34</w:t>
                  </w:r>
                </w:p>
              </w:tc>
            </w:tr>
          </w:tbl>
          <w:p>
            <w:pPr>
              <w:jc w:val="both"/>
            </w:pPr>
            <w:r>
              <w:rPr>
                <w:color w:val="000000"/>
                <w:sz w:val="21"/>
              </w:rPr>
              <w:t>三、项目服务要求</w:t>
            </w:r>
          </w:p>
          <w:p>
            <w:pPr>
              <w:jc w:val="both"/>
            </w:pPr>
            <w:r>
              <w:rPr>
                <w:color w:val="000000"/>
                <w:sz w:val="21"/>
              </w:rPr>
              <w:t>1</w:t>
            </w:r>
            <w:r>
              <w:rPr>
                <w:color w:val="000000"/>
                <w:sz w:val="21"/>
              </w:rPr>
              <w:t>自然保护区防火专线租赁服务要求</w:t>
            </w:r>
          </w:p>
          <w:p>
            <w:pPr>
              <w:jc w:val="both"/>
            </w:pPr>
            <w:r>
              <w:rPr>
                <w:color w:val="000000"/>
                <w:sz w:val="21"/>
              </w:rPr>
              <w:t>1.1.</w:t>
            </w:r>
            <w:r>
              <w:rPr>
                <w:color w:val="000000"/>
                <w:sz w:val="21"/>
              </w:rPr>
              <w:t>通信租赁服务专线</w:t>
            </w:r>
            <w:r>
              <w:rPr>
                <w:color w:val="000000"/>
                <w:sz w:val="21"/>
              </w:rPr>
              <w:t>75</w:t>
            </w:r>
            <w:r>
              <w:rPr>
                <w:color w:val="000000"/>
                <w:sz w:val="21"/>
              </w:rPr>
              <w:t>条，中标人应尽可能采用各种有效方式实现采购人租用的线路连通，最大限度地保证采购租用线路的安全运行。</w:t>
            </w:r>
          </w:p>
          <w:p>
            <w:pPr>
              <w:jc w:val="both"/>
            </w:pPr>
            <w:r>
              <w:rPr>
                <w:color w:val="000000"/>
                <w:sz w:val="21"/>
              </w:rPr>
              <w:t>1.2.</w:t>
            </w:r>
            <w:r>
              <w:rPr>
                <w:color w:val="000000"/>
                <w:sz w:val="21"/>
              </w:rPr>
              <w:t>中标人应负责对向采购人所提供专用线路以及相关设备的定期检查、日常维护、修缮及保养，加强值班和监测，保证线路不中断，网络故障修复后，中标人应及时通知采购人。</w:t>
            </w:r>
          </w:p>
          <w:p>
            <w:pPr>
              <w:jc w:val="both"/>
            </w:pPr>
            <w:r>
              <w:rPr>
                <w:color w:val="000000"/>
                <w:sz w:val="21"/>
              </w:rPr>
              <w:t>1.3.</w:t>
            </w:r>
            <w:r>
              <w:rPr>
                <w:color w:val="000000"/>
                <w:sz w:val="21"/>
              </w:rPr>
              <w:t>中标人由于割接、维修等正常计划原因需中断采购人租用的线路时，应提前</w:t>
            </w:r>
            <w:r>
              <w:rPr>
                <w:color w:val="000000"/>
                <w:sz w:val="21"/>
              </w:rPr>
              <w:t>72</w:t>
            </w:r>
            <w:r>
              <w:rPr>
                <w:color w:val="000000"/>
                <w:sz w:val="21"/>
              </w:rPr>
              <w:t>小时书面通知采购人，并安排相应措施尽量保证该线路的畅通，对于紧急情况，采购人与中标人双方另行协商。</w:t>
            </w:r>
          </w:p>
          <w:p>
            <w:pPr>
              <w:jc w:val="both"/>
            </w:pPr>
            <w:r>
              <w:rPr>
                <w:color w:val="000000"/>
                <w:sz w:val="21"/>
              </w:rPr>
              <w:t>2 .</w:t>
            </w:r>
            <w:r>
              <w:rPr>
                <w:color w:val="000000"/>
                <w:sz w:val="21"/>
              </w:rPr>
              <w:t>铁塔租赁服务要求</w:t>
            </w:r>
          </w:p>
          <w:p>
            <w:pPr>
              <w:jc w:val="both"/>
            </w:pPr>
            <w:r>
              <w:rPr>
                <w:color w:val="000000"/>
                <w:sz w:val="21"/>
              </w:rPr>
              <w:t>2.1.</w:t>
            </w:r>
            <w:r>
              <w:rPr>
                <w:color w:val="000000"/>
                <w:sz w:val="21"/>
              </w:rPr>
              <w:t>本项目铁塔租赁服务</w:t>
            </w:r>
            <w:r>
              <w:rPr>
                <w:color w:val="000000"/>
                <w:sz w:val="21"/>
              </w:rPr>
              <w:t>34</w:t>
            </w:r>
            <w:r>
              <w:rPr>
                <w:color w:val="000000"/>
                <w:sz w:val="21"/>
              </w:rPr>
              <w:t>项，铁塔作为视频监控前端的支撑点，应具备相应的挂设空间，保障其处于安全、稳定状态，出现自然灾害破坏的情况时，需要及时进行维修。为了保证视频监测点位的视野，周边无明显的建筑物阻挡。</w:t>
            </w:r>
          </w:p>
          <w:p>
            <w:pPr>
              <w:jc w:val="both"/>
            </w:pPr>
            <w:r>
              <w:rPr>
                <w:color w:val="000000"/>
                <w:sz w:val="21"/>
              </w:rPr>
              <w:t>2.2.</w:t>
            </w:r>
            <w:r>
              <w:rPr>
                <w:color w:val="000000"/>
                <w:sz w:val="21"/>
              </w:rPr>
              <w:t>电力输送运营维护服务：电力输送包括运营和维护两部分。其中电力输送运营内容主要是前端视频监测点位的电力费用，需及时向电网单位缴存，多与电力部门沟通，了解随时掌握用电余量，避免欠费断电。中标人不得将电费等相关费用另行向采购单位收取。</w:t>
            </w:r>
          </w:p>
          <w:p>
            <w:pPr>
              <w:jc w:val="both"/>
            </w:pPr>
            <w:r>
              <w:rPr>
                <w:color w:val="000000"/>
                <w:sz w:val="21"/>
              </w:rPr>
              <w:t>3.</w:t>
            </w:r>
            <w:r>
              <w:rPr>
                <w:color w:val="000000"/>
                <w:sz w:val="21"/>
              </w:rPr>
              <w:t>其他服务要求</w:t>
            </w:r>
          </w:p>
          <w:p>
            <w:pPr>
              <w:jc w:val="both"/>
            </w:pPr>
            <w:r>
              <w:rPr>
                <w:color w:val="000000"/>
                <w:sz w:val="21"/>
              </w:rPr>
              <w:t>中标人应根据本项目的实际情况，组织安排固定服务于本项目技术人员，保障项目正常运行率</w:t>
            </w:r>
            <w:r>
              <w:rPr>
                <w:color w:val="000000"/>
                <w:sz w:val="21"/>
              </w:rPr>
              <w:t>≥</w:t>
            </w:r>
            <w:r>
              <w:rPr>
                <w:color w:val="000000"/>
                <w:sz w:val="21"/>
              </w:rPr>
              <w:t>85%</w:t>
            </w:r>
            <w:r>
              <w:rPr>
                <w:color w:val="000000"/>
                <w:sz w:val="21"/>
              </w:rPr>
              <w:t>（因不可抗力的自然灾害除外，但需双方及时沟通）。</w:t>
            </w:r>
          </w:p>
          <w:p>
            <w:pPr>
              <w:jc w:val="both"/>
            </w:pPr>
            <w:r>
              <w:rPr>
                <w:color w:val="000000"/>
                <w:sz w:val="21"/>
              </w:rPr>
              <w:t>四、售后服务要求</w:t>
            </w:r>
          </w:p>
          <w:p>
            <w:pPr>
              <w:jc w:val="both"/>
            </w:pPr>
            <w:r>
              <w:rPr>
                <w:color w:val="000000"/>
                <w:sz w:val="21"/>
              </w:rPr>
              <w:t>售后服务须包括但不限于以下内容：</w:t>
            </w:r>
          </w:p>
          <w:p>
            <w:pPr>
              <w:jc w:val="both"/>
            </w:pPr>
            <w:r>
              <w:rPr>
                <w:color w:val="000000"/>
                <w:sz w:val="21"/>
              </w:rPr>
              <w:t>1.</w:t>
            </w:r>
            <w:r>
              <w:rPr>
                <w:color w:val="000000"/>
                <w:sz w:val="21"/>
              </w:rPr>
              <w:t>售后服务类型</w:t>
            </w:r>
          </w:p>
          <w:p>
            <w:pPr>
              <w:jc w:val="both"/>
            </w:pPr>
            <w:r>
              <w:rPr>
                <w:color w:val="000000"/>
                <w:sz w:val="21"/>
              </w:rPr>
              <w:t>服务期内，中标人提供维保服务。（因不可抗力因素导致的除外）</w:t>
            </w:r>
          </w:p>
          <w:p>
            <w:pPr>
              <w:jc w:val="both"/>
            </w:pPr>
            <w:r>
              <w:rPr>
                <w:color w:val="000000"/>
                <w:sz w:val="21"/>
              </w:rPr>
              <w:t>2.</w:t>
            </w:r>
            <w:r>
              <w:rPr>
                <w:color w:val="000000"/>
                <w:sz w:val="21"/>
              </w:rPr>
              <w:t>售后服务收费标准</w:t>
            </w:r>
          </w:p>
          <w:p>
            <w:pPr>
              <w:jc w:val="both"/>
            </w:pPr>
            <w:r>
              <w:rPr>
                <w:color w:val="000000"/>
                <w:sz w:val="21"/>
              </w:rPr>
              <w:t>在服务期内，中标人负责对其提供的铁塔及线路进行定期的维修保养和故障排除，不再向用户单位收取费用。</w:t>
            </w:r>
          </w:p>
          <w:p>
            <w:pPr>
              <w:jc w:val="both"/>
            </w:pPr>
            <w:r>
              <w:rPr>
                <w:color w:val="000000"/>
                <w:sz w:val="21"/>
              </w:rPr>
              <w:t>3.7</w:t>
            </w:r>
            <w:r>
              <w:rPr>
                <w:color w:val="000000"/>
                <w:sz w:val="21"/>
              </w:rPr>
              <w:t>×</w:t>
            </w:r>
            <w:r>
              <w:rPr>
                <w:color w:val="000000"/>
                <w:sz w:val="21"/>
              </w:rPr>
              <w:t>24</w:t>
            </w:r>
            <w:r>
              <w:rPr>
                <w:color w:val="000000"/>
                <w:sz w:val="21"/>
              </w:rPr>
              <w:t>小时电话服务</w:t>
            </w:r>
          </w:p>
          <w:p>
            <w:pPr>
              <w:jc w:val="both"/>
            </w:pPr>
            <w:r>
              <w:rPr>
                <w:color w:val="000000"/>
                <w:sz w:val="21"/>
              </w:rPr>
              <w:t>中标人必须提供</w:t>
            </w:r>
            <w:r>
              <w:rPr>
                <w:color w:val="000000"/>
                <w:sz w:val="21"/>
              </w:rPr>
              <w:t>7</w:t>
            </w:r>
            <w:r>
              <w:rPr>
                <w:color w:val="000000"/>
                <w:sz w:val="21"/>
              </w:rPr>
              <w:t>×</w:t>
            </w:r>
            <w:r>
              <w:rPr>
                <w:color w:val="000000"/>
                <w:sz w:val="21"/>
              </w:rPr>
              <w:t>24</w:t>
            </w:r>
            <w:r>
              <w:rPr>
                <w:color w:val="000000"/>
                <w:sz w:val="21"/>
              </w:rPr>
              <w:t>小时电话服务，若出现故障，或用户单位有相关的技术问题，均可拨打服务电话，向中标人提出服务申请。中标人必须立即响应，提供技术支持，并对问题进行跟踪。</w:t>
            </w:r>
          </w:p>
          <w:p>
            <w:pPr>
              <w:jc w:val="both"/>
            </w:pPr>
            <w:r>
              <w:rPr>
                <w:color w:val="000000"/>
                <w:sz w:val="21"/>
              </w:rPr>
              <w:t>4.</w:t>
            </w:r>
            <w:r>
              <w:rPr>
                <w:color w:val="000000"/>
                <w:sz w:val="21"/>
              </w:rPr>
              <w:t>全面巡检服务</w:t>
            </w:r>
          </w:p>
          <w:p>
            <w:pPr>
              <w:jc w:val="both"/>
            </w:pPr>
            <w:r>
              <w:rPr>
                <w:color w:val="000000"/>
                <w:sz w:val="21"/>
              </w:rPr>
              <w:t>中标人必须提供</w:t>
            </w:r>
            <w:r>
              <w:rPr>
                <w:color w:val="000000"/>
                <w:sz w:val="21"/>
              </w:rPr>
              <w:t>1</w:t>
            </w:r>
            <w:r>
              <w:rPr>
                <w:color w:val="000000"/>
                <w:sz w:val="21"/>
              </w:rPr>
              <w:t>个年度至少一次的全面（预防性）巡检服务。如发现问题，应及时按要求修复。</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1.采购代理机构：本项目是指广东广招招标采购有限公司，负责整个采购活动的组织，依法负责编制和发布招标文件，对招标文件拥有最终的解释权，不以任何身份出任评标委员会成员。</w:t>
      </w:r>
    </w:p>
    <w:p>
      <w:pPr>
        <w:ind w:firstLine="480"/>
      </w:pPr>
      <w:r>
        <w:rPr/>
        <w:t>2.采购人：本项目是指</w:t>
      </w:r>
      <w:r>
        <w:rPr/>
        <w:t>广东省森林资源保育中心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3</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r>
              <w:rPr/>
              <w:t>采购包3：保证金人民币：0.00元整。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p>
            <w:r>
              <w:rPr/>
              <w:t>采购包3：</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采购机构代理服务收费标准：参照《中华人民共和国国家计划委员会关于印发&lt;招标代理服务收费管理暂行办法&gt;的 通知》（ 计价格〔2002〕1980号）的“服务类”标准计算，以各采购包的采购预算作为收费的计算依据。  采购代理机构收款人、开户行及帐号如下： 收款人： 广东广招招标采购有限公司 开户行：中国工商银 行广州市东城支行 帐 号：3602031409200 624988</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p>
            <w:pPr>
              <w:jc w:val="left"/>
            </w:pPr>
            <w:r>
              <w:rPr/>
              <w:t>采购包3：非专门面向中小企业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广东广招招标采购有限公司网（http://www.gztpc.com）。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黎工</w:t>
      </w:r>
    </w:p>
    <w:p>
      <w:pPr>
        <w:ind w:firstLine="480"/>
      </w:pPr>
      <w:r>
        <w:rPr/>
        <w:t>电话：</w:t>
      </w:r>
      <w:r>
        <w:rPr/>
        <w:t>020-37816286-809</w:t>
      </w:r>
    </w:p>
    <w:p>
      <w:pPr>
        <w:ind w:firstLine="480"/>
      </w:pPr>
      <w:r>
        <w:rPr/>
        <w:t>传真：</w:t>
      </w:r>
      <w:r>
        <w:rPr/>
        <w:t>020-37816137</w:t>
      </w:r>
    </w:p>
    <w:p>
      <w:pPr>
        <w:ind w:firstLine="480"/>
      </w:pPr>
      <w:r>
        <w:rPr/>
        <w:t>邮箱：</w:t>
      </w:r>
      <w:r>
        <w:rPr/>
        <w:t>lifengyi@gztpc.com</w:t>
      </w:r>
    </w:p>
    <w:p>
      <w:pPr>
        <w:ind w:firstLine="480"/>
      </w:pPr>
      <w:r>
        <w:rPr/>
        <w:t>地址：</w:t>
      </w:r>
      <w:r>
        <w:rPr/>
        <w:t>广州市东风东路745号东山紫园商务大厦2003室</w:t>
      </w:r>
    </w:p>
    <w:p>
      <w:pPr>
        <w:ind w:firstLine="480"/>
      </w:pPr>
      <w:r>
        <w:rPr/>
        <w:t>邮编：</w:t>
      </w:r>
      <w:r>
        <w:rPr/>
        <w:t>510062</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北斗巡护终端物联网卡租赁服务)：综合评分法,是指投标文件满足招标文件全部实质性要求，且按照评审因素的量化指标评审得分最高的投标人为中标候选人的评标方法。（最低报价不是中标的唯一依据。）</w:t>
      </w:r>
    </w:p>
    <w:p/>
    <w:p>
      <w:r>
        <w:rPr/>
        <w:t>采购包2(林场铁塔及林场通信专线租赁服务)：综合评分法,是指投标文件满足招标文件全部实质性要求，且按照评审因素的量化指标评审得分最高的投标人为中标候选人的评标方法。（最低报价不是中标的唯一依据。）</w:t>
      </w:r>
    </w:p>
    <w:p/>
    <w:p>
      <w:r>
        <w:rPr/>
        <w:t>采购包3(自然保护区防火专线及自然保护区铁塔租赁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广东广招招标采购有限公司</w:t>
      </w:r>
      <w:r>
        <w:rPr/>
        <w:t>统一对外发布。</w:t>
      </w:r>
    </w:p>
    <w:p>
      <w:pPr>
        <w:ind w:firstLine="480"/>
      </w:pPr>
      <w:r>
        <w:rPr/>
        <w:t>（2）对</w:t>
      </w:r>
      <w:r>
        <w:rPr/>
        <w:t>广东广招招标采购有限公司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采购包1（北斗巡护终端物联网卡租赁服务）：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采购包2（林场铁塔及林场通信专线租赁服务）：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采购包3（自然保护区防火专线及自然保护区铁塔租赁服务）：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采购包1（北斗巡护终端物联网卡租赁服务）：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供应商必须具有良好的商业信誉和健全的财务会计制度（提供2021年或2022年的年度财务状况报告复印件，或2023年任意1个月的财务状况报告复印件；或银行出具的资信证明材料复印件）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本项目不属于专门面向中小企业采购的项目。仅在评审时对符合条件的小型、微型企业进行价格扣除（监狱企业、残疾人福利性单位视同为小型、微型企业）。</w:t>
            </w:r>
          </w:p>
        </w:tc>
      </w:tr>
    </w:tbl>
    <w:p/>
    <w:p>
      <w:r>
        <w:rPr/>
        <w:t>采购包2（林场铁塔及林场通信专线租赁服务）：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供应商必须具有良好的商业信誉和健全的财务会计制度（提供2021年或2022年的年度财务状况报告复印件，或2023年任意1个月的财务状况报告复印件；或银行出具的资信证明材料复印件）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本项目不属于专门面向中小企业采购的项目。仅在评审时对符合条件的小型、微型企业进行价格扣除（监狱企业、残疾人福利性单位视同为小型、微型企业）。</w:t>
            </w:r>
          </w:p>
        </w:tc>
      </w:tr>
    </w:tbl>
    <w:p/>
    <w:p>
      <w:r>
        <w:rPr/>
        <w:t>采购包3（自然保护区防火专线及自然保护区铁塔租赁服务）：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供应商必须具有良好的商业信誉和健全的财务会计制度（提供2021年或2022年的年度财务状况报告复印件，或2023年任意1个月的财务状况报告复印件；或银行出具的资信证明材料复印件）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本项目不属于专门面向中小企业采购的项目。仅在评审时对符合条件的小型、微型企业进行价格扣除（监狱企业、残疾人福利性单位视同为小型、微型企业）。</w:t>
            </w:r>
          </w:p>
        </w:tc>
      </w:tr>
    </w:tbl>
    <w:p/>
    <w:p>
      <w:pPr>
        <w:ind w:firstLine="480"/>
      </w:pPr>
      <w:r>
        <w:rPr/>
        <w:t>表二符合性审查表：</w:t>
      </w:r>
    </w:p>
    <w:p>
      <w:pPr>
        <w:ind w:firstLine="480"/>
      </w:pPr>
    </w:p>
    <w:p/>
    <w:p>
      <w:r>
        <w:rPr/>
        <w:t>采购包1（北斗巡护终端物联网卡租赁服务）：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按照招标文件规定要求签署和盖章的；</w:t>
            </w:r>
          </w:p>
        </w:tc>
        <w:tc>
          <w:tcPr>
            <w:tcW w:type="dxa" w:w="4238"/>
          </w:tcPr>
          <w:p>
            <w:r>
              <w:rPr/>
              <w:t>按照招标文件规定要求签署和盖章的；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投标函已提交并符合招标文件要求的，且投标有效期满足招标文件要求的；</w:t>
            </w:r>
          </w:p>
        </w:tc>
        <w:tc>
          <w:tcPr>
            <w:tcW w:type="dxa" w:w="4238"/>
          </w:tcPr>
          <w:p>
            <w:r>
              <w:rPr/>
              <w:t>投标函已提交并符合招标文件要求的，且投标有效期满足招标文件要求的；</w:t>
            </w:r>
          </w:p>
        </w:tc>
      </w:tr>
      <w:tr>
        <w:tc>
          <w:tcPr>
            <w:tcW w:type="dxa" w:w="890"/>
          </w:tcPr>
          <w:p>
            <w:r>
              <w:rPr/>
              <w:t>4</w:t>
            </w:r>
          </w:p>
        </w:tc>
        <w:tc>
          <w:tcPr>
            <w:tcW w:type="dxa" w:w="3178"/>
          </w:tcPr>
          <w:p>
            <w:r>
              <w:rPr/>
              <w:t>投标文件完全满足对招标文件的实质性条款（即标注★号条款）无负偏离的；</w:t>
            </w:r>
          </w:p>
        </w:tc>
        <w:tc>
          <w:tcPr>
            <w:tcW w:type="dxa" w:w="4238"/>
          </w:tcPr>
          <w:p>
            <w:r>
              <w:rPr/>
              <w:t>投标文件完全满足对招标文件的实质性条款（即标注★号条款）无负偏离的；</w:t>
            </w:r>
          </w:p>
        </w:tc>
      </w:tr>
      <w:tr>
        <w:tc>
          <w:tcPr>
            <w:tcW w:type="dxa" w:w="890"/>
          </w:tcPr>
          <w:p>
            <w:r>
              <w:rPr/>
              <w:t>5</w:t>
            </w:r>
          </w:p>
        </w:tc>
        <w:tc>
          <w:tcPr>
            <w:tcW w:type="dxa" w:w="3178"/>
          </w:tcPr>
          <w:p>
            <w:r>
              <w:rPr/>
              <w:t>投标总报价没有超过所投采购包最高限价（或采购预算）</w:t>
            </w:r>
          </w:p>
        </w:tc>
        <w:tc>
          <w:tcPr>
            <w:tcW w:type="dxa" w:w="4238"/>
          </w:tcPr>
          <w:p>
            <w:r>
              <w:rPr/>
              <w:t>投标总报价没有超过所投采购包最高限价（或采购预算）</w:t>
            </w:r>
          </w:p>
        </w:tc>
      </w:tr>
      <w:tr>
        <w:tc>
          <w:tcPr>
            <w:tcW w:type="dxa" w:w="890"/>
          </w:tcPr>
          <w:p>
            <w:r>
              <w:rPr/>
              <w:t>6</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7</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8</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9</w:t>
            </w:r>
          </w:p>
        </w:tc>
        <w:tc>
          <w:tcPr>
            <w:tcW w:type="dxa" w:w="3178"/>
          </w:tcPr>
          <w:p>
            <w:r>
              <w:rPr/>
              <w:t>没有法律、法规规定的其他无效情形。</w:t>
            </w:r>
          </w:p>
        </w:tc>
        <w:tc>
          <w:tcPr>
            <w:tcW w:type="dxa" w:w="4238"/>
          </w:tcPr>
          <w:p>
            <w:r>
              <w:rPr/>
              <w:t>没有法律、法规规定的其他无效情形。</w:t>
            </w:r>
          </w:p>
        </w:tc>
      </w:tr>
    </w:tbl>
    <w:p/>
    <w:p>
      <w:r>
        <w:rPr/>
        <w:t>采购包2（林场铁塔及林场通信专线租赁服务）：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按照招标文件规定要求签署和盖章的；</w:t>
            </w:r>
          </w:p>
        </w:tc>
        <w:tc>
          <w:tcPr>
            <w:tcW w:type="dxa" w:w="4238"/>
          </w:tcPr>
          <w:p>
            <w:r>
              <w:rPr/>
              <w:t>按照招标文件规定要求签署和盖章的；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投标函已提交并符合招标文件要求的，且投标有效期满足招标文件要求的；</w:t>
            </w:r>
          </w:p>
        </w:tc>
        <w:tc>
          <w:tcPr>
            <w:tcW w:type="dxa" w:w="4238"/>
          </w:tcPr>
          <w:p>
            <w:r>
              <w:rPr/>
              <w:t>投标函已提交并符合招标文件要求的，且投标有效期满足招标文件要求的；</w:t>
            </w:r>
          </w:p>
        </w:tc>
      </w:tr>
      <w:tr>
        <w:tc>
          <w:tcPr>
            <w:tcW w:type="dxa" w:w="890"/>
          </w:tcPr>
          <w:p>
            <w:r>
              <w:rPr/>
              <w:t>4</w:t>
            </w:r>
          </w:p>
        </w:tc>
        <w:tc>
          <w:tcPr>
            <w:tcW w:type="dxa" w:w="3178"/>
          </w:tcPr>
          <w:p>
            <w:r>
              <w:rPr/>
              <w:t>投标文件完全满足对招标文件的实质性条款（即标注★号条款）无负偏离的；</w:t>
            </w:r>
          </w:p>
        </w:tc>
        <w:tc>
          <w:tcPr>
            <w:tcW w:type="dxa" w:w="4238"/>
          </w:tcPr>
          <w:p>
            <w:r>
              <w:rPr/>
              <w:t>投标文件完全满足对招标文件的实质性条款（即标注★号条款）无负偏离的；</w:t>
            </w:r>
          </w:p>
        </w:tc>
      </w:tr>
      <w:tr>
        <w:tc>
          <w:tcPr>
            <w:tcW w:type="dxa" w:w="890"/>
          </w:tcPr>
          <w:p>
            <w:r>
              <w:rPr/>
              <w:t>5</w:t>
            </w:r>
          </w:p>
        </w:tc>
        <w:tc>
          <w:tcPr>
            <w:tcW w:type="dxa" w:w="3178"/>
          </w:tcPr>
          <w:p>
            <w:r>
              <w:rPr/>
              <w:t>投标总报价没有超过所投采购包最高限价（或采购预算）</w:t>
            </w:r>
          </w:p>
        </w:tc>
        <w:tc>
          <w:tcPr>
            <w:tcW w:type="dxa" w:w="4238"/>
          </w:tcPr>
          <w:p>
            <w:r>
              <w:rPr/>
              <w:t>投标总报价没有超过所投采购包最高限价（或采购预算）</w:t>
            </w:r>
          </w:p>
        </w:tc>
      </w:tr>
      <w:tr>
        <w:tc>
          <w:tcPr>
            <w:tcW w:type="dxa" w:w="890"/>
          </w:tcPr>
          <w:p>
            <w:r>
              <w:rPr/>
              <w:t>6</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7</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8</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9</w:t>
            </w:r>
          </w:p>
        </w:tc>
        <w:tc>
          <w:tcPr>
            <w:tcW w:type="dxa" w:w="3178"/>
          </w:tcPr>
          <w:p>
            <w:r>
              <w:rPr/>
              <w:t>没有法律、法规规定的其他无效情形。</w:t>
            </w:r>
          </w:p>
        </w:tc>
        <w:tc>
          <w:tcPr>
            <w:tcW w:type="dxa" w:w="4238"/>
          </w:tcPr>
          <w:p>
            <w:r>
              <w:rPr/>
              <w:t>没有法律、法规规定的其他无效情形。</w:t>
            </w:r>
          </w:p>
        </w:tc>
      </w:tr>
    </w:tbl>
    <w:p/>
    <w:p>
      <w:r>
        <w:rPr/>
        <w:t>采购包3（自然保护区防火专线及自然保护区铁塔租赁服务）：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按照招标文件规定要求签署和盖章的；</w:t>
            </w:r>
          </w:p>
        </w:tc>
        <w:tc>
          <w:tcPr>
            <w:tcW w:type="dxa" w:w="4238"/>
          </w:tcPr>
          <w:p>
            <w:r>
              <w:rPr/>
              <w:t>按照招标文件规定要求签署和盖章的；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投标函已提交并符合招标文件要求的，且投标有效期满足招标文件要求的；</w:t>
            </w:r>
          </w:p>
        </w:tc>
        <w:tc>
          <w:tcPr>
            <w:tcW w:type="dxa" w:w="4238"/>
          </w:tcPr>
          <w:p>
            <w:r>
              <w:rPr/>
              <w:t>投标函已提交并符合招标文件要求的，且投标有效期满足招标文件要求的；</w:t>
            </w:r>
          </w:p>
        </w:tc>
      </w:tr>
      <w:tr>
        <w:tc>
          <w:tcPr>
            <w:tcW w:type="dxa" w:w="890"/>
          </w:tcPr>
          <w:p>
            <w:r>
              <w:rPr/>
              <w:t>4</w:t>
            </w:r>
          </w:p>
        </w:tc>
        <w:tc>
          <w:tcPr>
            <w:tcW w:type="dxa" w:w="3178"/>
          </w:tcPr>
          <w:p>
            <w:r>
              <w:rPr/>
              <w:t>投标文件完全满足对招标文件的实质性条款（即标注★号条款）无负偏离的；</w:t>
            </w:r>
          </w:p>
        </w:tc>
        <w:tc>
          <w:tcPr>
            <w:tcW w:type="dxa" w:w="4238"/>
          </w:tcPr>
          <w:p>
            <w:r>
              <w:rPr/>
              <w:t>投标文件完全满足对招标文件的实质性条款（即标注★号条款）无负偏离的；</w:t>
            </w:r>
          </w:p>
        </w:tc>
      </w:tr>
      <w:tr>
        <w:tc>
          <w:tcPr>
            <w:tcW w:type="dxa" w:w="890"/>
          </w:tcPr>
          <w:p>
            <w:r>
              <w:rPr/>
              <w:t>5</w:t>
            </w:r>
          </w:p>
        </w:tc>
        <w:tc>
          <w:tcPr>
            <w:tcW w:type="dxa" w:w="3178"/>
          </w:tcPr>
          <w:p>
            <w:r>
              <w:rPr/>
              <w:t>投标总报价没有超过所投采购包最高限价（或采购预算）</w:t>
            </w:r>
          </w:p>
        </w:tc>
        <w:tc>
          <w:tcPr>
            <w:tcW w:type="dxa" w:w="4238"/>
          </w:tcPr>
          <w:p>
            <w:r>
              <w:rPr/>
              <w:t>投标总报价没有超过所投采购包最高限价（或采购预算）</w:t>
            </w:r>
          </w:p>
        </w:tc>
      </w:tr>
      <w:tr>
        <w:tc>
          <w:tcPr>
            <w:tcW w:type="dxa" w:w="890"/>
          </w:tcPr>
          <w:p>
            <w:r>
              <w:rPr/>
              <w:t>6</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7</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8</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9</w:t>
            </w:r>
          </w:p>
        </w:tc>
        <w:tc>
          <w:tcPr>
            <w:tcW w:type="dxa" w:w="3178"/>
          </w:tcPr>
          <w:p>
            <w:r>
              <w:rPr/>
              <w:t>没有法律、法规规定的其他无效情形。</w:t>
            </w:r>
          </w:p>
        </w:tc>
        <w:tc>
          <w:tcPr>
            <w:tcW w:type="dxa" w:w="4238"/>
          </w:tcPr>
          <w:p>
            <w:r>
              <w:rPr/>
              <w:t>没有法律、法规规定的其他无效情形。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采购包1(北斗巡护终端物联网卡租赁服务):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基本服务方案 (13.0分)</w:t>
            </w:r>
          </w:p>
        </w:tc>
        <w:tc>
          <w:tcPr>
            <w:tcW w:type="dxa" w:w="5076"/>
          </w:tcPr>
          <w:p>
            <w:pPr>
              <w:jc w:val="left"/>
            </w:pPr>
            <w:r>
              <w:rPr/>
              <w:t>评定投标人提供针对本项目提供的项目服务方案、服务对策措施： 1.投标人能够按要求提供相应标的物并作出对应服务承诺，完全满足或优于招标文件需求的，得13分。 2.投标人按要求提供相应标的物并作出对应服务承诺，不完全满足招标文件需求，响应程度一般的，得8分。 3.投标人相应标的物，未作出对应服务承诺，或响应程度较差，不能满足招标文件需求的，得2分。 未提供的不计分。</w:t>
            </w:r>
          </w:p>
        </w:tc>
      </w:tr>
      <w:tr>
        <w:tc>
          <w:tcPr>
            <w:tcW w:type="dxa" w:w="922"/>
            <w:gridSpan w:val="2"/>
            <w:vMerge/>
          </w:tcPr>
          <w:p/>
        </w:tc>
        <w:tc>
          <w:tcPr>
            <w:tcW w:type="dxa" w:w="2307"/>
          </w:tcPr>
          <w:p>
            <w:pPr>
              <w:jc w:val="left"/>
            </w:pPr>
            <w:r>
              <w:rPr/>
              <w:t>售后服务方案 (13.0分)</w:t>
            </w:r>
          </w:p>
        </w:tc>
        <w:tc>
          <w:tcPr>
            <w:tcW w:type="dxa" w:w="5076"/>
          </w:tcPr>
          <w:p>
            <w:pPr>
              <w:jc w:val="left"/>
            </w:pPr>
            <w:r>
              <w:rPr/>
              <w:t>评定投标人针对本项目提供的售后服务方案： 1.投标人提供的售后服务方案能根据本项目特点有针对性的措施，方案科学、完整，能完全响应售后服务要求得13分。 2.投标人提供的售后服务方案能根据本项目特点的措施针对性一般，方案科学性一般、完整性一般，能较好地响售后服务要求得8分。 3.投标人提供的售后服务方案能根据本项目特点的措施针对性不强，方案科学性较差、完整性较差，不能响应售后服务要求得2分。 未提供的不计分。</w:t>
            </w:r>
          </w:p>
        </w:tc>
      </w:tr>
      <w:tr>
        <w:tc>
          <w:tcPr>
            <w:tcW w:type="dxa" w:w="922"/>
            <w:gridSpan w:val="2"/>
            <w:vMerge/>
          </w:tcPr>
          <w:p/>
        </w:tc>
        <w:tc>
          <w:tcPr>
            <w:tcW w:type="dxa" w:w="2307"/>
          </w:tcPr>
          <w:p>
            <w:pPr>
              <w:jc w:val="left"/>
            </w:pPr>
            <w:r>
              <w:rPr/>
              <w:t>增值服务方案 (13.0分)</w:t>
            </w:r>
          </w:p>
        </w:tc>
        <w:tc>
          <w:tcPr>
            <w:tcW w:type="dxa" w:w="5076"/>
          </w:tcPr>
          <w:p>
            <w:pPr>
              <w:jc w:val="left"/>
            </w:pPr>
            <w:r>
              <w:rPr/>
              <w:t>评定投标人针对本项目提供的增值服务方案： 1.投标人提供切实有效、详实可行的增值服务方案，针对招标文件需求做出增值服务承诺，且增值服务内容能很好地辅助项目后续发展，具有很强的针对性及延展性，完全满足或优于招标文件需求的，得13分； 2.投标人提供比较有效、详实的增值服务方案，针对招标文件需求做出增值服务承诺，且增值服务内容能较好地辅助项目后续发展，具有一定的针对性及延展性，不能完全满足招标文件需求的，得8分； 3.投标人提供缺乏有效性、详实性的增值服务方案，且增值服务内容不能辅助项目后续发展，针对性及延展性较差，不满足招标文件需求的，得2分； 未提供的不计分。</w:t>
            </w:r>
          </w:p>
        </w:tc>
      </w:tr>
      <w:tr>
        <w:tc>
          <w:tcPr>
            <w:tcW w:type="dxa" w:w="922"/>
            <w:gridSpan w:val="2"/>
            <w:vMerge/>
          </w:tcPr>
          <w:p/>
        </w:tc>
        <w:tc>
          <w:tcPr>
            <w:tcW w:type="dxa" w:w="2307"/>
          </w:tcPr>
          <w:p>
            <w:pPr>
              <w:jc w:val="left"/>
            </w:pPr>
            <w:r>
              <w:rPr/>
              <w:t>重要技术条款响应 (21.0分)</w:t>
            </w:r>
          </w:p>
        </w:tc>
        <w:tc>
          <w:tcPr>
            <w:tcW w:type="dxa" w:w="5076"/>
          </w:tcPr>
          <w:p>
            <w:pPr>
              <w:jc w:val="left"/>
            </w:pPr>
            <w:r>
              <w:rPr/>
              <w:t>根据各投标人对《第二章 采购需求》中标注“▲”的重要参数的响应情况进行评审（共6项，最高得21分）： 标注“▲”的重要技术参数完全满足或优于的，得21分，每有1项负偏离或不完全满足的扣3.5分。</w:t>
            </w:r>
          </w:p>
        </w:tc>
      </w:tr>
      <w:tr>
        <w:tc>
          <w:tcPr>
            <w:tcW w:type="dxa" w:w="922"/>
            <w:gridSpan w:val="2"/>
            <w:vMerge w:val="restart"/>
          </w:tcPr>
          <w:p>
            <w:pPr>
              <w:jc w:val="center"/>
            </w:pPr>
            <w:r>
              <w:rPr/>
              <w:t>商务部分</w:t>
            </w:r>
          </w:p>
        </w:tc>
        <w:tc>
          <w:tcPr>
            <w:tcW w:type="dxa" w:w="2307"/>
          </w:tcPr>
          <w:p>
            <w:pPr>
              <w:jc w:val="left"/>
            </w:pPr>
            <w:r>
              <w:rPr/>
              <w:t>认证体系 (6.0分)</w:t>
            </w:r>
          </w:p>
        </w:tc>
        <w:tc>
          <w:tcPr>
            <w:tcW w:type="dxa" w:w="5076"/>
          </w:tcPr>
          <w:p>
            <w:pPr>
              <w:jc w:val="left"/>
            </w:pPr>
            <w:r>
              <w:rPr/>
              <w:t>供应商具有：  1、具有有效的质量管理体系认证证书，得2分； 2、具有有效的环境管理体系认证证书，得2分； 3、具有有效的职业健康安全管理体系认证证书，得2分； 注：须同时提供认证证书扫描件及上述认证证书在认证信息查询系统（http://cx.cnca.cn）查询结果状态“有效”截图作为证明材料，暂停或失效或撤销或不提供不得分。</w:t>
            </w:r>
          </w:p>
        </w:tc>
      </w:tr>
      <w:tr>
        <w:tc>
          <w:tcPr>
            <w:tcW w:type="dxa" w:w="922"/>
            <w:gridSpan w:val="2"/>
            <w:vMerge/>
          </w:tcPr>
          <w:p/>
        </w:tc>
        <w:tc>
          <w:tcPr>
            <w:tcW w:type="dxa" w:w="2307"/>
          </w:tcPr>
          <w:p>
            <w:pPr>
              <w:jc w:val="left"/>
            </w:pPr>
            <w:r>
              <w:rPr/>
              <w:t>同类项目业绩 (5.0分)</w:t>
            </w:r>
          </w:p>
        </w:tc>
        <w:tc>
          <w:tcPr>
            <w:tcW w:type="dxa" w:w="5076"/>
          </w:tcPr>
          <w:p>
            <w:pPr>
              <w:jc w:val="left"/>
            </w:pPr>
            <w:r>
              <w:rPr/>
              <w:t>自2019年1月1日(以签订合同时间为准)至今，供应商承接过含物联网卡服务项目业绩，每提供一项得1 分，最高得5分。  注：须提供合同关键页扫描件作证明材料,不提供材料及提供材料不完善不得分。</w:t>
            </w:r>
          </w:p>
        </w:tc>
      </w:tr>
      <w:tr>
        <w:tc>
          <w:tcPr>
            <w:tcW w:type="dxa" w:w="922"/>
            <w:gridSpan w:val="2"/>
            <w:vMerge/>
          </w:tcPr>
          <w:p/>
        </w:tc>
        <w:tc>
          <w:tcPr>
            <w:tcW w:type="dxa" w:w="2307"/>
          </w:tcPr>
          <w:p>
            <w:pPr>
              <w:jc w:val="left"/>
            </w:pPr>
            <w:r>
              <w:rPr/>
              <w:t>项目经理 (13.0分)</w:t>
            </w:r>
          </w:p>
        </w:tc>
        <w:tc>
          <w:tcPr>
            <w:tcW w:type="dxa" w:w="5076"/>
          </w:tcPr>
          <w:p>
            <w:pPr>
              <w:jc w:val="left"/>
            </w:pPr>
            <w:r>
              <w:rPr/>
              <w:t>投标人拟投入本项目的项目经理具有： 1.信息系统项目管理师（高级）得3分，具有系统集成项目管理工程师（中级）得1分。 2.CISAW信息安全保障人员（安全运维）证书得2.5分 3.ITIL Strategic Leader或以上等级证书得2.5分。 4.注册信息安全管理工程师（CISP-CISE）证书得2.5分。 5.PMP项目管理人员证书得2.5分 【注】提供证书复印件、投标截止日前半年内任意一个月的社保证明复印件加盖投标人公章，无提供不得分。</w:t>
            </w:r>
          </w:p>
        </w:tc>
      </w:tr>
      <w:tr>
        <w:tc>
          <w:tcPr>
            <w:tcW w:type="dxa" w:w="922"/>
            <w:gridSpan w:val="2"/>
            <w:vMerge/>
          </w:tcPr>
          <w:p/>
        </w:tc>
        <w:tc>
          <w:tcPr>
            <w:tcW w:type="dxa" w:w="2307"/>
          </w:tcPr>
          <w:p>
            <w:pPr>
              <w:jc w:val="left"/>
            </w:pPr>
            <w:r>
              <w:rPr/>
              <w:t>网络安全服务能力 (6.0分)</w:t>
            </w:r>
          </w:p>
        </w:tc>
        <w:tc>
          <w:tcPr>
            <w:tcW w:type="dxa" w:w="5076"/>
          </w:tcPr>
          <w:p>
            <w:pPr>
              <w:jc w:val="left"/>
            </w:pPr>
            <w:r>
              <w:rPr/>
              <w:t>供应商具有：  具有有效的CCRC信息安全服务资质证书，一级得6分，二级得3分，其他等级得1分；  注：1.提供与投标人名称一致的有效的证书复印件并加盖投标人公章。2.如投标人因成立年限不足（或获取证书时间不足）或缴纳社保人员不足而导致不能申请对应等级资质的提供相关承诺函加盖公章可对应得分。3.如承诺函内容不够明确等原因导致专家无法判断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采购包2(林场铁塔及林场通信专线租赁服务):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对本项目的需求的理解程度 (10.0分)</w:t>
            </w:r>
          </w:p>
        </w:tc>
        <w:tc>
          <w:tcPr>
            <w:tcW w:type="dxa" w:w="5076"/>
          </w:tcPr>
          <w:p>
            <w:pPr>
              <w:jc w:val="left"/>
            </w:pPr>
            <w:r>
              <w:rPr/>
              <w:t>根据投标人对项目需求的理解程度（包括但不限于：概况、目标和需求等）进行综合评审：  1、投标人对本项目的理解深入透彻，对本项目的服务内容思路清晰、描述清晰，服务目标明确，能结合本项目特点进行描述，能体现投标人的综合能力和针对本项目的服务水平，完全满足或优于采购需求，得10分；  2、投标人对本项目没有正确理解，或对本项目的服务内容没有思路、描述不清晰，未明确服务目标，未能体现综合能力和服务水平，部分满足采购需求，得5分；  3、其他或未提供描述，得0分。</w:t>
            </w:r>
          </w:p>
        </w:tc>
      </w:tr>
      <w:tr>
        <w:tc>
          <w:tcPr>
            <w:tcW w:type="dxa" w:w="922"/>
            <w:gridSpan w:val="2"/>
            <w:vMerge/>
          </w:tcPr>
          <w:p/>
        </w:tc>
        <w:tc>
          <w:tcPr>
            <w:tcW w:type="dxa" w:w="2307"/>
          </w:tcPr>
          <w:p>
            <w:pPr>
              <w:jc w:val="left"/>
            </w:pPr>
            <w:r>
              <w:rPr/>
              <w:t>项目整体服务方案 (20.0分)</w:t>
            </w:r>
          </w:p>
        </w:tc>
        <w:tc>
          <w:tcPr>
            <w:tcW w:type="dxa" w:w="5076"/>
          </w:tcPr>
          <w:p>
            <w:pPr>
              <w:jc w:val="left"/>
            </w:pPr>
            <w:r>
              <w:rPr/>
              <w:t>1、投标人能完全理解本项目的概况、目标，提供的项目服务方案能根据本项目特点有针对性的措施，能优于要求时限进行服务提供，方案科学、完整且优于采购人学求得20分。 2、投标人能完全理解本项目的概况、目标，提供的项目服务方案能根据本项目特点有针对性的措施，能优于要求时限进行服务提供，方案科学、完整且能完全满足采购人学求得15分。 3、投标人对本项目的概况、目标理解一般，提供的项目服务方案基本能根据本项目特点针对性的措施一般，能在要求时得内提供服务，方家科学性一般，完整性一般，能较好的满足购人需求的得10分。 4.投标人对本项目的背景，目标理解较差，提供的项目服务方案不能根据本项目特点针对性的措施不强，不能在要求时限内提供服务，方案科学性较差、完整性较差，不能满足来购人需求的得5分。 未提供的不计分。</w:t>
            </w:r>
          </w:p>
        </w:tc>
      </w:tr>
      <w:tr>
        <w:tc>
          <w:tcPr>
            <w:tcW w:type="dxa" w:w="922"/>
            <w:gridSpan w:val="2"/>
            <w:vMerge/>
          </w:tcPr>
          <w:p/>
        </w:tc>
        <w:tc>
          <w:tcPr>
            <w:tcW w:type="dxa" w:w="2307"/>
          </w:tcPr>
          <w:p>
            <w:pPr>
              <w:jc w:val="left"/>
            </w:pPr>
            <w:r>
              <w:rPr/>
              <w:t>售后服务方案 (20.0分)</w:t>
            </w:r>
          </w:p>
        </w:tc>
        <w:tc>
          <w:tcPr>
            <w:tcW w:type="dxa" w:w="5076"/>
          </w:tcPr>
          <w:p>
            <w:pPr>
              <w:jc w:val="left"/>
            </w:pPr>
            <w:r>
              <w:rPr/>
              <w:t>根据投标人针对本项目提供的售后服务方案（包括售后服务体系、重大保障机制及人员组织架构等）进行综合评审：  1、售后服务体系、重大保障机制、人员组织架构完善、专业技术力量投入充足、技术人员组织安排及跟进处理流程详细，优于采购需求，得20分。  2、售后服务体系、重大保障机制、人员组织架构完善、专业技术力量投入充足、技术人员组织安排及跟进处理流程详细，完全满足，得15分。 3、售后服务体系、重大保障机制、人员配置或提供的售后服务体系、重大保障机制、人员组织架构不够完善，技术人员组织安排及跟进处理流程对项目有一定的指导作用，部分满足采购需求，得10分。 4、售后服务体系、重大保障机制、人员配置或提供的售后服务体系、重大保障机制、人员组织架构不完善，技术人员组织安排及跟进处理流程对项目无指导作用，部分满足采购需求，得5分。  5、其他或无响应，得0分。</w:t>
            </w:r>
          </w:p>
        </w:tc>
      </w:tr>
      <w:tr>
        <w:tc>
          <w:tcPr>
            <w:tcW w:type="dxa" w:w="922"/>
            <w:gridSpan w:val="2"/>
            <w:vMerge/>
          </w:tcPr>
          <w:p/>
        </w:tc>
        <w:tc>
          <w:tcPr>
            <w:tcW w:type="dxa" w:w="2307"/>
          </w:tcPr>
          <w:p>
            <w:pPr>
              <w:jc w:val="left"/>
            </w:pPr>
            <w:r>
              <w:rPr/>
              <w:t>增值服务方案 (10.0分)</w:t>
            </w:r>
          </w:p>
        </w:tc>
        <w:tc>
          <w:tcPr>
            <w:tcW w:type="dxa" w:w="5076"/>
          </w:tcPr>
          <w:p>
            <w:pPr>
              <w:jc w:val="left"/>
            </w:pPr>
            <w:r>
              <w:rPr/>
              <w:t>1、投标人提供切实有效、详实可行的增值服务方案，且增值服务内容能辅助项目后续发展，具有很强的针对性及延展性，得10分。 2、投标人提供有效性、可行性一般的增值服务方案，且增值服务内容对辅助项目后续发展有一定帮助，具有较强的针对性及延展性，得5分。 3、投标人提供有效性，可行性较差的增值服务方案，且增值服务内容对铺助项目后续发展有较少帮助。不具有较强的针对性及强展性，得1分。 未提供的不计分。</w:t>
            </w:r>
          </w:p>
        </w:tc>
      </w:tr>
      <w:tr>
        <w:tc>
          <w:tcPr>
            <w:tcW w:type="dxa" w:w="922"/>
            <w:gridSpan w:val="2"/>
            <w:vMerge w:val="restart"/>
          </w:tcPr>
          <w:p>
            <w:pPr>
              <w:jc w:val="center"/>
            </w:pPr>
            <w:r>
              <w:rPr/>
              <w:t>商务部分</w:t>
            </w:r>
          </w:p>
        </w:tc>
        <w:tc>
          <w:tcPr>
            <w:tcW w:type="dxa" w:w="2307"/>
          </w:tcPr>
          <w:p>
            <w:pPr>
              <w:jc w:val="left"/>
            </w:pPr>
            <w:r>
              <w:rPr/>
              <w:t>认证体系 (3.0分)</w:t>
            </w:r>
          </w:p>
        </w:tc>
        <w:tc>
          <w:tcPr>
            <w:tcW w:type="dxa" w:w="5076"/>
          </w:tcPr>
          <w:p>
            <w:pPr>
              <w:jc w:val="left"/>
            </w:pPr>
            <w:r>
              <w:rPr/>
              <w:t>1、具有有效的质量管理体系认证证书，得1分； 2、具有有效的环境管理体系认证证书，得1分； 3、具有有效的职业健康安全管理体系认证证书，得1分；  【注】须同时提供认证证书扫描件及上述认证证书在认证信息查询系统（http://cx.cnca.cn）查询结果状态“有效”截图作为证明材料，暂停或失效或撤销或不提供不得分。</w:t>
            </w:r>
          </w:p>
        </w:tc>
      </w:tr>
      <w:tr>
        <w:tc>
          <w:tcPr>
            <w:tcW w:type="dxa" w:w="922"/>
            <w:gridSpan w:val="2"/>
            <w:vMerge/>
          </w:tcPr>
          <w:p/>
        </w:tc>
        <w:tc>
          <w:tcPr>
            <w:tcW w:type="dxa" w:w="2307"/>
          </w:tcPr>
          <w:p>
            <w:pPr>
              <w:jc w:val="left"/>
            </w:pPr>
            <w:r>
              <w:rPr/>
              <w:t>项目经理资质 (12.0分)</w:t>
            </w:r>
          </w:p>
        </w:tc>
        <w:tc>
          <w:tcPr>
            <w:tcW w:type="dxa" w:w="5076"/>
          </w:tcPr>
          <w:p>
            <w:pPr>
              <w:jc w:val="left"/>
            </w:pPr>
            <w:r>
              <w:rPr/>
              <w:t>项目经理本人具备以下证书 1、具有信息系统项目管理师证书（高级）得2分，具系统集成项目管理工程师（中级）得1分。 2、具有通信专业技术人员职业资格（传输与接入）中级或以上证书或网络工程师（中级或以上）认证证书，得2.5分； 3、具有信息安全保障人员认证证书(CISAW)，得2.5分。 4、具有ITIL  Expert或以上等级证书，得2.5分。 5、具有注册信息安全专业人员CISP认证证书，得2.5分。  【注】提供证书复印件、投标截止日前半年内任意一个月的社保证明复印件加盖投标人公章，无提供不得分。</w:t>
            </w:r>
          </w:p>
        </w:tc>
      </w:tr>
      <w:tr>
        <w:tc>
          <w:tcPr>
            <w:tcW w:type="dxa" w:w="922"/>
            <w:gridSpan w:val="2"/>
            <w:vMerge/>
          </w:tcPr>
          <w:p/>
        </w:tc>
        <w:tc>
          <w:tcPr>
            <w:tcW w:type="dxa" w:w="2307"/>
          </w:tcPr>
          <w:p>
            <w:pPr>
              <w:jc w:val="left"/>
            </w:pPr>
            <w:r>
              <w:rPr/>
              <w:t>综合技术实力要求 (12.0分)</w:t>
            </w:r>
          </w:p>
        </w:tc>
        <w:tc>
          <w:tcPr>
            <w:tcW w:type="dxa" w:w="5076"/>
          </w:tcPr>
          <w:p>
            <w:pPr>
              <w:jc w:val="left"/>
            </w:pPr>
            <w:r>
              <w:rPr/>
              <w:t>1、具有有效的数据安全治理能力等级证书，三级或以上得4分，二级得2分，其他等级得1分。 注：1.提供与投标人名称一致的有效的证书复印件并加盖投标人公章。 2、具有有效的CCRC信息安全服务资质证书，一级得4分，二级得2分，其他等级得1分；  注：1.提供与投标人名称一致的有效的证书复印件并加盖投标人公章。2.如投标人因成立年限不足（或获取证书时间不足）或缴纳社保人员不足而导致不能申请对应等级资质的提供相关承诺函加盖公章可对应得分。3.如承诺函内容不够明确等原因导致专家无法判断的不得分。 3.具有有效的服务质量评价认证证书，五星级得4分，四星级得2分，其他等级得1分。 注：须同时提供认证证书扫描件及上述认证证书在认证信息查询系统（http://cx.cnca.cn）查询结果状态“有效”截图作为证明材料，暂停或失效或撤销或不提供不得分。</w:t>
            </w:r>
          </w:p>
        </w:tc>
      </w:tr>
      <w:tr>
        <w:tc>
          <w:tcPr>
            <w:tcW w:type="dxa" w:w="922"/>
            <w:gridSpan w:val="2"/>
            <w:vMerge/>
          </w:tcPr>
          <w:p/>
        </w:tc>
        <w:tc>
          <w:tcPr>
            <w:tcW w:type="dxa" w:w="2307"/>
          </w:tcPr>
          <w:p>
            <w:pPr>
              <w:jc w:val="left"/>
            </w:pPr>
            <w:r>
              <w:rPr/>
              <w:t>投标人业绩要求 (3.0分)</w:t>
            </w:r>
          </w:p>
        </w:tc>
        <w:tc>
          <w:tcPr>
            <w:tcW w:type="dxa" w:w="5076"/>
          </w:tcPr>
          <w:p>
            <w:pPr>
              <w:jc w:val="left"/>
            </w:pPr>
            <w:r>
              <w:rPr/>
              <w:t>响应供应商2019年1月1日(以合同签订时间为准)以来具有同类项目经验，每提供一项得1分，最高3分 注：须提供合同复印件并加盖公章。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采购包3(自然保护区防火专线及自然保护区铁塔租赁服务):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对本项目的需求的理解程度 (10.0分)</w:t>
            </w:r>
          </w:p>
        </w:tc>
        <w:tc>
          <w:tcPr>
            <w:tcW w:type="dxa" w:w="5076"/>
          </w:tcPr>
          <w:p>
            <w:pPr>
              <w:jc w:val="left"/>
            </w:pPr>
            <w:r>
              <w:rPr/>
              <w:t>根据投标人对项目需求的理解程度（包括但不限于：概况、目标和需求等）进行综合评审：  1、投标人对本项目的理解深入透彻，对本项目的服务内容思路清晰、描述清晰，服务目标明确，能结合本项目特点进行描述，能体现投标人的综合能力和针对本项目的服务水平，优于采购需求，得10分； 2、标人对本项目的理解深入透彻，对本项目的服务内容思路清晰、描述清晰，服务目标明确，能结合本项目特点进行描述，能体现投标人的综合能力和针对本项目的服务水平，完全满足采购需求，得5分； 3、投标人对本项目没有正确理解，或对本项目的服务内容没有思路、描述不清晰，未明确服务目标，未能体现综合能力和服务水平，部分满足采购需求，得1分；  4、其他或未提供描述，得0分。</w:t>
            </w:r>
          </w:p>
        </w:tc>
      </w:tr>
      <w:tr>
        <w:tc>
          <w:tcPr>
            <w:tcW w:type="dxa" w:w="922"/>
            <w:gridSpan w:val="2"/>
            <w:vMerge/>
          </w:tcPr>
          <w:p/>
        </w:tc>
        <w:tc>
          <w:tcPr>
            <w:tcW w:type="dxa" w:w="2307"/>
          </w:tcPr>
          <w:p>
            <w:pPr>
              <w:jc w:val="left"/>
            </w:pPr>
            <w:r>
              <w:rPr/>
              <w:t>项目整体服务方案 (20.0分)</w:t>
            </w:r>
          </w:p>
        </w:tc>
        <w:tc>
          <w:tcPr>
            <w:tcW w:type="dxa" w:w="5076"/>
          </w:tcPr>
          <w:p>
            <w:pPr>
              <w:jc w:val="left"/>
            </w:pPr>
            <w:r>
              <w:rPr/>
              <w:t>1、投标人能完全理解本项目的概况、目标，提供的项目服务方案能根据本项目特点有针对性的措施，能优于要求时限进行服务提供，方案科学、完整且优于采购人学求得20分。 2、投标人能完全理解本项目的概况、目标，提供的项目服务方案能根据本项目特点有针对性的措施，能优于要求时限进行服务提供，方案科学、完整且能完全满足采购人学求得15分。 3、投标人对本项目的概况、目标理解一般，提供的项目服务方案基本能根据本项目特点针对性的措施一般，能在要求时得内提供服务，方案科学性一般，完整性一般，能较好的满足购人需求的得10分。 4、投标人对本项目的背景，目标理解较差，提供的项目服务方案不能根据本项目特点针对性的措施不强，不能在要求时限内提供服务，方案科学性较差、完整性较差，不能满足来购人需求的得5分。 未提供的不计分。</w:t>
            </w:r>
          </w:p>
        </w:tc>
      </w:tr>
      <w:tr>
        <w:tc>
          <w:tcPr>
            <w:tcW w:type="dxa" w:w="922"/>
            <w:gridSpan w:val="2"/>
            <w:vMerge/>
          </w:tcPr>
          <w:p/>
        </w:tc>
        <w:tc>
          <w:tcPr>
            <w:tcW w:type="dxa" w:w="2307"/>
          </w:tcPr>
          <w:p>
            <w:pPr>
              <w:jc w:val="left"/>
            </w:pPr>
            <w:r>
              <w:rPr/>
              <w:t>售后服务方案 (20.0分)</w:t>
            </w:r>
          </w:p>
        </w:tc>
        <w:tc>
          <w:tcPr>
            <w:tcW w:type="dxa" w:w="5076"/>
          </w:tcPr>
          <w:p>
            <w:pPr>
              <w:jc w:val="left"/>
            </w:pPr>
            <w:r>
              <w:rPr/>
              <w:t>根据投标人针对本项目提供的售后服务方案（包括售后服务体系、重大保障机制及人员组织架构等）进行综合评审：  1、售后服务体系、重大保障机制、人员组织架构完善、专业技术力量投入充足、技术人员组织安排及跟进处理流程详细，优于采购需求，得20分。  2、售后服务体系、重大保障机制、人员组织架构完善、专业技术力量投入充足、技术人员组织安排及跟进处理流程详细，完全满足，得15分。 3、售后服务体系、重大保障机制、人员配置或提供的售后服务体系、重大保障机制、人员组织架构不够完善，技术人员组织安排及跟进处理流程对项目有一定的指导作用，部分满足采购需求，得10分。 4、售后服务体系、重大保障机制、人员配置或提供的售后服务体系、重大保障机制、人员组织架构不完善，技术人员组织安排及跟进处理流程对项目无指导作用，部分满足采购需求，得5分。  5、其他或无响应，得0分。</w:t>
            </w:r>
          </w:p>
        </w:tc>
      </w:tr>
      <w:tr>
        <w:tc>
          <w:tcPr>
            <w:tcW w:type="dxa" w:w="922"/>
            <w:gridSpan w:val="2"/>
            <w:vMerge/>
          </w:tcPr>
          <w:p/>
        </w:tc>
        <w:tc>
          <w:tcPr>
            <w:tcW w:type="dxa" w:w="2307"/>
          </w:tcPr>
          <w:p>
            <w:pPr>
              <w:jc w:val="left"/>
            </w:pPr>
            <w:r>
              <w:rPr/>
              <w:t>增值服务方案 (10.0分)</w:t>
            </w:r>
          </w:p>
        </w:tc>
        <w:tc>
          <w:tcPr>
            <w:tcW w:type="dxa" w:w="5076"/>
          </w:tcPr>
          <w:p>
            <w:pPr>
              <w:jc w:val="left"/>
            </w:pPr>
            <w:r>
              <w:rPr/>
              <w:t>1、投标人提供切实有效、详实可行的增值服务方案，且增值服务内容能辅助项目后续发展，具有很强的针对性及延展性，得10分。 2、投标人提供有效性、可行性一般的增值服务方案，且增值服务内容对辅助项目后续发展有一定帮助，具有较强的针对性及延展性，得5分。 3、投标人提供有效性，可行性较差的增值服务方案，且增值服务内容对铺助项目后续发展有较少帮助。不具有较强的针对性及强展性，得1分。 未提供的不计分。</w:t>
            </w:r>
          </w:p>
        </w:tc>
      </w:tr>
      <w:tr>
        <w:tc>
          <w:tcPr>
            <w:tcW w:type="dxa" w:w="922"/>
            <w:gridSpan w:val="2"/>
            <w:vMerge w:val="restart"/>
          </w:tcPr>
          <w:p>
            <w:pPr>
              <w:jc w:val="center"/>
            </w:pPr>
            <w:r>
              <w:rPr/>
              <w:t>商务部分</w:t>
            </w:r>
          </w:p>
        </w:tc>
        <w:tc>
          <w:tcPr>
            <w:tcW w:type="dxa" w:w="2307"/>
          </w:tcPr>
          <w:p>
            <w:pPr>
              <w:jc w:val="left"/>
            </w:pPr>
            <w:r>
              <w:rPr/>
              <w:t>认证体系 (6.0分)</w:t>
            </w:r>
          </w:p>
        </w:tc>
        <w:tc>
          <w:tcPr>
            <w:tcW w:type="dxa" w:w="5076"/>
          </w:tcPr>
          <w:p>
            <w:pPr>
              <w:jc w:val="left"/>
            </w:pPr>
            <w:r>
              <w:rPr/>
              <w:t>1、具有有效的质量管理体系认证证书，得2分； 2、具有有效的环境管理体系认证证书，得2分； 3、具有有效的职业健康安全管理体系认证证书，得2分； 注：须同时提供认证证书扫描件及上述认证证书在认证信息查询系统（http://cx.cnca.cn）查询结果状态“有效”截图作为证明材料，暂停或失效或撤销或不提供不得分。</w:t>
            </w:r>
          </w:p>
        </w:tc>
      </w:tr>
      <w:tr>
        <w:tc>
          <w:tcPr>
            <w:tcW w:type="dxa" w:w="922"/>
            <w:gridSpan w:val="2"/>
            <w:vMerge/>
          </w:tcPr>
          <w:p/>
        </w:tc>
        <w:tc>
          <w:tcPr>
            <w:tcW w:type="dxa" w:w="2307"/>
          </w:tcPr>
          <w:p>
            <w:pPr>
              <w:jc w:val="left"/>
            </w:pPr>
            <w:r>
              <w:rPr/>
              <w:t>项目经理 (13.0分)</w:t>
            </w:r>
          </w:p>
        </w:tc>
        <w:tc>
          <w:tcPr>
            <w:tcW w:type="dxa" w:w="5076"/>
          </w:tcPr>
          <w:p>
            <w:pPr>
              <w:jc w:val="left"/>
            </w:pPr>
            <w:r>
              <w:rPr/>
              <w:t>项目经理本人具备以下证书： 1、具有信息系统项目管理师证书（高级）得3分，具有系统集成项目管理工程师（中级）得1分； 2、具有通信专业技术人员职业资格（传输与接入）中级或以上证书，得2.5分； 3、具有信息安全保障人员认证证书（CISAW）-安全运维证书，得2.5分； 4、具有ITIL Strategic Leader或以上等级证书，得2.5分； 5、具有注册信息安全工程师CISE证书，得2.5分； 注：提供证书复印件、投标截止日前半年内任意一个月的社保证明复印件加盖投标人公章，无提供不得分。</w:t>
            </w:r>
          </w:p>
        </w:tc>
      </w:tr>
      <w:tr>
        <w:tc>
          <w:tcPr>
            <w:tcW w:type="dxa" w:w="922"/>
            <w:gridSpan w:val="2"/>
            <w:vMerge/>
          </w:tcPr>
          <w:p/>
        </w:tc>
        <w:tc>
          <w:tcPr>
            <w:tcW w:type="dxa" w:w="2307"/>
          </w:tcPr>
          <w:p>
            <w:pPr>
              <w:jc w:val="left"/>
            </w:pPr>
            <w:r>
              <w:rPr/>
              <w:t>综合技术实力要求 (8.0分)</w:t>
            </w:r>
          </w:p>
        </w:tc>
        <w:tc>
          <w:tcPr>
            <w:tcW w:type="dxa" w:w="5076"/>
          </w:tcPr>
          <w:p>
            <w:pPr>
              <w:jc w:val="left"/>
            </w:pPr>
            <w:r>
              <w:rPr/>
              <w:t>具有有效的CCRC信息安全服务资质证书，一级得8分，二级得4分，其他等级得1分； 注：1.提供与投标人名称一致的有效的证书复印件并加盖投标人公章。2.如投标人因成立年限不足（或获取证书时间不足）或缴纳社保人员不足而导致不能申请对应等级资质的提供相关承诺函加盖公章可对应得分。3.如承诺函内容不够明确等原因导致专家无法判断的不得分。</w:t>
            </w:r>
          </w:p>
        </w:tc>
      </w:tr>
      <w:tr>
        <w:tc>
          <w:tcPr>
            <w:tcW w:type="dxa" w:w="922"/>
            <w:gridSpan w:val="2"/>
            <w:vMerge/>
          </w:tcPr>
          <w:p/>
        </w:tc>
        <w:tc>
          <w:tcPr>
            <w:tcW w:type="dxa" w:w="2307"/>
          </w:tcPr>
          <w:p>
            <w:pPr>
              <w:jc w:val="left"/>
            </w:pPr>
            <w:r>
              <w:rPr/>
              <w:t>投标人业绩要求 (3.0分)</w:t>
            </w:r>
          </w:p>
        </w:tc>
        <w:tc>
          <w:tcPr>
            <w:tcW w:type="dxa" w:w="5076"/>
          </w:tcPr>
          <w:p>
            <w:pPr>
              <w:jc w:val="left"/>
            </w:pPr>
            <w:r>
              <w:rPr/>
              <w:t>响应供应商2019年1月1日（以合同签订时间为准）以来具有同类项目经验，每提供一项得1分，最高3分。  注：须提供合同复印件并加盖公章。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1.委托服务期间自______年______月至______年______月止。</w:t>
      </w:r>
    </w:p>
    <w:p>
      <w:pPr>
        <w:jc w:val="both"/>
      </w:pPr>
      <w:r>
        <w:rPr>
          <w:b/>
        </w:rPr>
        <w:t>五、付款方式</w:t>
      </w:r>
      <w:r>
        <w:rPr>
          <w:b/>
        </w:rPr>
        <w:t>及验收要求</w:t>
      </w:r>
    </w:p>
    <w:p>
      <w:pPr>
        <w:jc w:val="both"/>
      </w:pPr>
      <w:r>
        <w:rPr>
          <w:color w:val="222222"/>
          <w:sz w:val="27"/>
        </w:rPr>
        <w:t>　　</w:t>
      </w:r>
      <w:r>
        <w:rPr>
          <w:color w:val="222222"/>
          <w:sz w:val="27"/>
        </w:rPr>
        <w:t>详见采购需求。</w:t>
      </w: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jc w:val="both"/>
      </w:pPr>
      <w:r>
        <w:rPr>
          <w:color w:val="222222"/>
          <w:sz w:val="27"/>
        </w:rPr>
        <w:t>签订地点：</w:t>
      </w:r>
    </w:p>
    <w:p>
      <w:pPr>
        <w:jc w:val="both"/>
      </w:pPr>
      <w:r>
        <w:rPr>
          <w:color w:val="222222"/>
          <w:sz w:val="27"/>
        </w:rPr>
        <w:t>签订日期：　　　年　　月　　日</w:t>
      </w:r>
      <w:r>
        <w:rPr>
          <w:color w:val="222222"/>
          <w:sz w:val="27"/>
        </w:rPr>
        <w:t xml:space="preserve"> </w:t>
      </w:r>
      <w:r>
        <w:rPr>
          <w:color w:val="222222"/>
          <w:sz w:val="27"/>
        </w:rPr>
        <w:t>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440001-2023-13981</w:t>
      </w:r>
    </w:p>
    <w:p>
      <w:pPr>
        <w:jc w:val="center"/>
      </w:pPr>
      <w:r>
        <w:rPr>
          <w:b/>
          <w:sz w:val="24"/>
        </w:rPr>
        <w:t>采购项目编号：</w:t>
      </w:r>
      <w:r>
        <w:rPr>
          <w:b/>
          <w:sz w:val="24"/>
        </w:rPr>
        <w:t>0877-23GZTP01F263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广东广招招标采购有限公司</w:t>
      </w:r>
    </w:p>
    <w:p>
      <w:pPr>
        <w:ind w:firstLine="480"/>
      </w:pPr>
      <w:r>
        <w:rPr/>
        <w:t>你方组织的</w:t>
      </w:r>
      <w:r>
        <w:rPr>
          <w:u w:val="single"/>
        </w:rPr>
        <w:t>“</w:t>
      </w:r>
      <w:r>
        <w:rPr>
          <w:u w:val="single"/>
        </w:rPr>
        <w:t>省林业局森林防火和林业安全生产野外监控租赁和运维（2023年）项目（专业基础设施服务）</w:t>
      </w:r>
      <w:r>
        <w:rPr>
          <w:u w:val="single"/>
        </w:rPr>
        <w:t>”</w:t>
      </w:r>
      <w:r>
        <w:rPr/>
        <w:t>项目的招标[采购项目编号为：</w:t>
      </w:r>
      <w:r>
        <w:rPr>
          <w:u w:val="single"/>
        </w:rPr>
        <w:t>0877-23GZTP01F263</w:t>
      </w:r>
      <w:r>
        <w:rPr/>
        <w:t>]，我方愿参与投标。</w:t>
      </w:r>
    </w:p>
    <w:p>
      <w:pPr>
        <w:ind w:firstLine="480"/>
      </w:pPr>
      <w:r>
        <w:rPr/>
        <w:t>我方确认收到贵方提供的</w:t>
      </w:r>
      <w:r>
        <w:rPr>
          <w:u w:val="single"/>
        </w:rPr>
        <w:t>“</w:t>
      </w:r>
      <w:r>
        <w:rPr>
          <w:u w:val="single"/>
        </w:rPr>
        <w:t>省林业局森林防火和林业安全生产野外监控租赁和运维（2023年）项目（专业基础设施服务）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省林业局森林防火和林业安全生产野外监控租赁和运维（2023年）项目（专业基础设施服务）</w:t>
      </w:r>
      <w:r>
        <w:rPr/>
        <w:t>”项目采购[采购项目编号为</w:t>
      </w:r>
      <w:r>
        <w:rPr/>
        <w:t>0877-23GZTP01F263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广东省森林资源保育中心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广东广招招标采购有限公司</w:t>
      </w:r>
    </w:p>
    <w:p>
      <w:pPr>
        <w:ind w:firstLine="480"/>
      </w:pPr>
      <w:r>
        <w:rPr/>
        <w:t>如果我方在贵采购代理机构组织的</w:t>
      </w:r>
      <w:r>
        <w:rPr/>
        <w:t>省林业局森林防火和林业安全生产野外监控租赁和运维（2023年）项目（专业基础设施服务）</w:t>
      </w:r>
      <w:r>
        <w:rPr/>
        <w:t>招标中获中标（采购项目编号：</w:t>
      </w:r>
      <w:r>
        <w:rPr/>
        <w:t>0877-23GZTP01F263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广东广招招标采购有限公司</w:t>
      </w:r>
    </w:p>
    <w:p>
      <w:pPr>
        <w:ind w:firstLine="480"/>
      </w:pPr>
      <w:r>
        <w:rPr/>
        <w:t>我单位已登记并准备参与“</w:t>
      </w:r>
      <w:r>
        <w:rPr/>
        <w:t>省林业局森林防火和林业安全生产野外监控租赁和运维（2023年）项目（专业基础设施服务）</w:t>
      </w:r>
      <w:r>
        <w:rPr/>
        <w:t>”项目（采购项目编号：</w:t>
      </w:r>
      <w:r>
        <w:rPr/>
        <w:t>0877-23GZTP01F263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