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eastAsia" w:ascii="宋体" w:hAnsi="宋体" w:eastAsia="宋体" w:cs="宋体"/>
          <w:b/>
          <w:bCs w:val="0"/>
          <w:sz w:val="24"/>
          <w:szCs w:val="24"/>
        </w:rPr>
      </w:pPr>
      <w:r>
        <w:rPr>
          <w:b/>
          <w:bCs w:val="0"/>
        </w:rPr>
        <w:t>★</w:t>
      </w:r>
      <w:r>
        <w:rPr>
          <w:rFonts w:hint="eastAsia" w:ascii="宋体" w:hAnsi="宋体" w:eastAsia="宋体" w:cs="宋体"/>
          <w:b/>
          <w:bCs w:val="0"/>
          <w:sz w:val="24"/>
          <w:szCs w:val="24"/>
        </w:rPr>
        <w:t>因</w:t>
      </w:r>
      <w:r>
        <w:rPr>
          <w:rFonts w:hint="eastAsia" w:ascii="宋体" w:hAnsi="宋体" w:eastAsia="宋体" w:cs="宋体"/>
          <w:b/>
          <w:bCs w:val="0"/>
          <w:sz w:val="24"/>
          <w:szCs w:val="24"/>
          <w:lang w:val="en-US" w:eastAsia="zh-CN"/>
        </w:rPr>
        <w:t>磋商</w:t>
      </w:r>
      <w:r>
        <w:rPr>
          <w:rFonts w:hint="eastAsia" w:ascii="宋体" w:hAnsi="宋体" w:eastAsia="宋体" w:cs="宋体"/>
          <w:b/>
          <w:bCs w:val="0"/>
          <w:sz w:val="24"/>
          <w:szCs w:val="24"/>
        </w:rPr>
        <w:t>文件中的格式为自动生成格式，与实际报价需求不符。为保证</w:t>
      </w:r>
      <w:r>
        <w:rPr>
          <w:rFonts w:hint="eastAsia" w:ascii="宋体" w:hAnsi="宋体" w:eastAsia="宋体" w:cs="宋体"/>
          <w:b/>
          <w:bCs w:val="0"/>
          <w:sz w:val="24"/>
          <w:szCs w:val="24"/>
          <w:lang w:val="en-US" w:eastAsia="zh-CN"/>
        </w:rPr>
        <w:t>响应</w:t>
      </w:r>
      <w:r>
        <w:rPr>
          <w:rFonts w:hint="eastAsia" w:ascii="宋体" w:hAnsi="宋体" w:eastAsia="宋体" w:cs="宋体"/>
          <w:b/>
          <w:bCs w:val="0"/>
          <w:sz w:val="24"/>
          <w:szCs w:val="24"/>
        </w:rPr>
        <w:t>报价</w:t>
      </w:r>
      <w:r>
        <w:rPr>
          <w:rFonts w:hint="eastAsia" w:ascii="宋体" w:hAnsi="宋体" w:eastAsia="宋体" w:cs="宋体"/>
          <w:b/>
          <w:bCs w:val="0"/>
          <w:sz w:val="24"/>
          <w:szCs w:val="24"/>
          <w:lang w:eastAsia="zh-CN"/>
        </w:rPr>
        <w:t>、</w:t>
      </w:r>
      <w:r>
        <w:rPr>
          <w:rFonts w:hint="eastAsia" w:ascii="宋体" w:hAnsi="宋体" w:eastAsia="宋体" w:cs="宋体"/>
          <w:b/>
          <w:bCs w:val="0"/>
          <w:sz w:val="24"/>
          <w:szCs w:val="24"/>
          <w:lang w:val="en-US" w:eastAsia="zh-CN"/>
        </w:rPr>
        <w:t>工时</w:t>
      </w:r>
      <w:r>
        <w:rPr>
          <w:rFonts w:hint="eastAsia" w:ascii="宋体" w:hAnsi="宋体" w:eastAsia="宋体" w:cs="宋体"/>
          <w:b/>
          <w:bCs w:val="0"/>
          <w:sz w:val="24"/>
          <w:szCs w:val="24"/>
        </w:rPr>
        <w:t>清晰合理，现</w:t>
      </w:r>
      <w:r>
        <w:rPr>
          <w:rFonts w:hint="eastAsia" w:ascii="宋体" w:hAnsi="宋体" w:eastAsia="宋体" w:cs="宋体"/>
          <w:b/>
          <w:bCs w:val="0"/>
          <w:sz w:val="24"/>
          <w:szCs w:val="24"/>
          <w:lang w:val="en-US" w:eastAsia="zh-CN"/>
        </w:rPr>
        <w:t>请各响应供应商的</w:t>
      </w:r>
      <w:r>
        <w:rPr>
          <w:rFonts w:hint="eastAsia" w:ascii="宋体" w:hAnsi="宋体" w:eastAsia="宋体" w:cs="宋体"/>
          <w:b/>
          <w:bCs w:val="0"/>
          <w:sz w:val="24"/>
          <w:szCs w:val="24"/>
        </w:rPr>
        <w:t>《分项报价表》以此格式为准。</w:t>
      </w:r>
    </w:p>
    <w:p>
      <w:pPr>
        <w:pStyle w:val="2"/>
        <w:rPr>
          <w:rFonts w:hint="eastAsia" w:ascii="宋体" w:hAnsi="宋体" w:eastAsia="宋体" w:cs="宋体"/>
          <w:b/>
          <w:bCs w:val="0"/>
          <w:sz w:val="24"/>
          <w:szCs w:val="24"/>
        </w:rPr>
      </w:pPr>
    </w:p>
    <w:p>
      <w:pPr>
        <w:pStyle w:val="2"/>
        <w:jc w:val="center"/>
        <w:rPr>
          <w:rFonts w:hint="eastAsia" w:ascii="宋体" w:hAnsi="宋体" w:eastAsia="宋体" w:cs="宋体"/>
          <w:bCs/>
          <w:spacing w:val="9"/>
          <w:kern w:val="0"/>
          <w:sz w:val="24"/>
          <w:szCs w:val="24"/>
          <w:highlight w:val="none"/>
        </w:rPr>
      </w:pPr>
      <w:bookmarkStart w:id="0" w:name="_GoBack"/>
      <w:r>
        <w:rPr>
          <w:rFonts w:hint="eastAsia" w:ascii="宋体" w:hAnsi="宋体" w:eastAsia="宋体" w:cs="宋体"/>
          <w:bCs/>
          <w:spacing w:val="9"/>
          <w:kern w:val="0"/>
          <w:sz w:val="24"/>
          <w:szCs w:val="24"/>
          <w:highlight w:val="none"/>
        </w:rPr>
        <w:t>分项报价表</w:t>
      </w:r>
      <w:bookmarkEnd w:id="0"/>
    </w:p>
    <w:p>
      <w:pPr>
        <w:overflowPunct w:val="0"/>
        <w:spacing w:line="360" w:lineRule="auto"/>
        <w:ind w:right="25" w:firstLine="501" w:firstLineChars="209"/>
        <w:rPr>
          <w:rFonts w:hint="eastAsia" w:ascii="宋体" w:hAnsi="宋体" w:eastAsia="宋体" w:cs="宋体"/>
          <w:sz w:val="24"/>
          <w:szCs w:val="24"/>
          <w:highlight w:val="none"/>
        </w:rPr>
      </w:pPr>
      <w:r>
        <w:rPr>
          <w:rFonts w:hint="eastAsia" w:ascii="宋体" w:hAnsi="宋体" w:eastAsia="宋体" w:cs="宋体"/>
          <w:sz w:val="24"/>
          <w:szCs w:val="24"/>
          <w:highlight w:val="none"/>
        </w:rPr>
        <w:t>采购项目编号：</w:t>
      </w:r>
    </w:p>
    <w:p>
      <w:pPr>
        <w:overflowPunct w:val="0"/>
        <w:spacing w:line="360" w:lineRule="auto"/>
        <w:ind w:right="25" w:firstLine="501" w:firstLineChars="209"/>
        <w:rPr>
          <w:rFonts w:hint="eastAsia" w:ascii="宋体" w:hAnsi="宋体" w:eastAsia="宋体" w:cs="宋体"/>
          <w:sz w:val="24"/>
          <w:szCs w:val="24"/>
          <w:highlight w:val="none"/>
        </w:rPr>
      </w:pPr>
      <w:r>
        <w:rPr>
          <w:rFonts w:hint="eastAsia" w:ascii="宋体" w:hAnsi="宋体" w:eastAsia="宋体" w:cs="宋体"/>
          <w:sz w:val="24"/>
          <w:szCs w:val="24"/>
          <w:highlight w:val="none"/>
        </w:rPr>
        <w:t>项目名称：</w:t>
      </w:r>
    </w:p>
    <w:p>
      <w:pPr>
        <w:overflowPunct w:val="0"/>
        <w:spacing w:line="360" w:lineRule="auto"/>
        <w:ind w:right="25" w:firstLine="501" w:firstLineChars="209"/>
        <w:rPr>
          <w:rFonts w:hint="eastAsia" w:ascii="宋体" w:hAnsi="宋体" w:eastAsia="宋体" w:cs="宋体"/>
          <w:sz w:val="24"/>
          <w:szCs w:val="24"/>
          <w:highlight w:val="none"/>
        </w:rPr>
      </w:pPr>
      <w:r>
        <w:rPr>
          <w:rFonts w:hint="eastAsia" w:ascii="宋体" w:hAnsi="宋体" w:eastAsia="宋体" w:cs="宋体"/>
          <w:sz w:val="24"/>
          <w:szCs w:val="24"/>
          <w:highlight w:val="none"/>
        </w:rPr>
        <w:t>响应供应商名称：</w:t>
      </w:r>
    </w:p>
    <w:p>
      <w:pPr>
        <w:rPr>
          <w:rFonts w:hint="eastAsia" w:ascii="宋体" w:hAnsi="宋体" w:eastAsia="宋体" w:cs="宋体"/>
          <w:sz w:val="24"/>
          <w:szCs w:val="24"/>
          <w:highlight w:val="none"/>
        </w:rPr>
      </w:pPr>
    </w:p>
    <w:p>
      <w:pPr>
        <w:spacing w:line="167" w:lineRule="exact"/>
        <w:rPr>
          <w:rFonts w:hint="eastAsia" w:ascii="宋体" w:hAnsi="宋体" w:eastAsia="宋体" w:cs="宋体"/>
          <w:sz w:val="24"/>
          <w:szCs w:val="24"/>
          <w:highlight w:val="none"/>
        </w:rPr>
      </w:pPr>
    </w:p>
    <w:tbl>
      <w:tblPr>
        <w:tblStyle w:val="5"/>
        <w:tblW w:w="8416"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47"/>
        <w:gridCol w:w="2064"/>
        <w:gridCol w:w="2460"/>
        <w:gridCol w:w="1709"/>
        <w:gridCol w:w="133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2" w:hRule="atLeast"/>
          <w:jc w:val="center"/>
        </w:trPr>
        <w:tc>
          <w:tcPr>
            <w:tcW w:w="847" w:type="dxa"/>
            <w:shd w:val="clear" w:color="auto" w:fill="F5F5F5"/>
            <w:vAlign w:val="center"/>
          </w:tcPr>
          <w:p>
            <w:pPr>
              <w:spacing w:before="89"/>
              <w:jc w:val="center"/>
              <w:rPr>
                <w:rFonts w:hint="eastAsia" w:ascii="宋体" w:hAnsi="宋体" w:eastAsia="宋体" w:cs="宋体"/>
                <w:sz w:val="24"/>
                <w:szCs w:val="24"/>
                <w:highlight w:val="none"/>
                <w:lang w:eastAsia="zh-CN"/>
              </w:rPr>
            </w:pPr>
            <w:r>
              <w:rPr>
                <w:rFonts w:hint="eastAsia" w:ascii="宋体" w:hAnsi="宋体" w:eastAsia="宋体" w:cs="宋体"/>
                <w:spacing w:val="3"/>
                <w:sz w:val="24"/>
                <w:szCs w:val="24"/>
                <w:highlight w:val="none"/>
                <w:lang w:eastAsia="zh-CN"/>
              </w:rPr>
              <w:t>采购包</w:t>
            </w:r>
          </w:p>
        </w:tc>
        <w:tc>
          <w:tcPr>
            <w:tcW w:w="2064" w:type="dxa"/>
            <w:shd w:val="clear" w:color="auto" w:fill="F5F5F5"/>
            <w:vAlign w:val="center"/>
          </w:tcPr>
          <w:p>
            <w:pPr>
              <w:jc w:val="center"/>
              <w:rPr>
                <w:rFonts w:hint="eastAsia"/>
                <w:sz w:val="24"/>
              </w:rPr>
            </w:pPr>
            <w:r>
              <w:rPr>
                <w:rFonts w:hint="eastAsia"/>
                <w:sz w:val="24"/>
              </w:rPr>
              <w:t>服务内容</w:t>
            </w:r>
          </w:p>
        </w:tc>
        <w:tc>
          <w:tcPr>
            <w:tcW w:w="2460" w:type="dxa"/>
            <w:shd w:val="clear" w:color="auto" w:fill="F5F5F5"/>
            <w:vAlign w:val="center"/>
          </w:tcPr>
          <w:p>
            <w:pPr>
              <w:jc w:val="center"/>
              <w:rPr>
                <w:rFonts w:hint="eastAsia"/>
                <w:sz w:val="24"/>
              </w:rPr>
            </w:pPr>
            <w:r>
              <w:rPr>
                <w:rFonts w:hint="eastAsia"/>
                <w:sz w:val="24"/>
                <w:lang w:val="en-US" w:eastAsia="zh-CN"/>
              </w:rPr>
              <w:t>响应</w:t>
            </w:r>
            <w:r>
              <w:rPr>
                <w:rFonts w:hint="eastAsia"/>
                <w:sz w:val="24"/>
              </w:rPr>
              <w:t>总价（元）</w:t>
            </w:r>
          </w:p>
        </w:tc>
        <w:tc>
          <w:tcPr>
            <w:tcW w:w="1709" w:type="dxa"/>
            <w:shd w:val="clear" w:color="auto" w:fill="F5F5F5"/>
            <w:vAlign w:val="center"/>
          </w:tcPr>
          <w:p>
            <w:pPr>
              <w:jc w:val="center"/>
              <w:rPr>
                <w:rFonts w:hint="eastAsia"/>
                <w:sz w:val="24"/>
                <w:lang w:val="en-US" w:eastAsia="zh-CN"/>
              </w:rPr>
            </w:pPr>
            <w:r>
              <w:rPr>
                <w:rFonts w:hint="eastAsia"/>
                <w:sz w:val="24"/>
                <w:lang w:val="en-US" w:eastAsia="zh-CN"/>
              </w:rPr>
              <w:t>服务工时</w:t>
            </w:r>
          </w:p>
          <w:p>
            <w:pPr>
              <w:jc w:val="center"/>
              <w:rPr>
                <w:rFonts w:hint="eastAsia"/>
                <w:sz w:val="24"/>
                <w:lang w:val="en-US" w:eastAsia="zh-CN"/>
              </w:rPr>
            </w:pPr>
            <w:r>
              <w:rPr>
                <w:rFonts w:hint="eastAsia"/>
                <w:sz w:val="24"/>
                <w:lang w:val="en-US" w:eastAsia="zh-CN"/>
              </w:rPr>
              <w:t>（小时/</w:t>
            </w:r>
            <w:r>
              <w:rPr>
                <w:rFonts w:hint="eastAsia" w:eastAsia="宋体"/>
                <w:sz w:val="24"/>
                <w:lang w:val="en-US" w:eastAsia="zh-CN"/>
              </w:rPr>
              <w:t>年</w:t>
            </w:r>
            <w:r>
              <w:rPr>
                <w:rFonts w:hint="eastAsia"/>
                <w:sz w:val="24"/>
                <w:lang w:val="en-US" w:eastAsia="zh-CN"/>
              </w:rPr>
              <w:t>）</w:t>
            </w:r>
          </w:p>
        </w:tc>
        <w:tc>
          <w:tcPr>
            <w:tcW w:w="1336" w:type="dxa"/>
            <w:shd w:val="clear" w:color="auto" w:fill="F5F5F5"/>
            <w:vAlign w:val="center"/>
          </w:tcPr>
          <w:p>
            <w:pPr>
              <w:spacing w:before="89"/>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2" w:hRule="atLeast"/>
          <w:jc w:val="center"/>
        </w:trPr>
        <w:tc>
          <w:tcPr>
            <w:tcW w:w="847" w:type="dxa"/>
            <w:vAlign w:val="center"/>
          </w:tcPr>
          <w:p>
            <w:pPr>
              <w:jc w:val="center"/>
              <w:rPr>
                <w:rFonts w:hint="eastAsia" w:ascii="宋体" w:hAnsi="宋体" w:eastAsia="宋体" w:cs="宋体"/>
                <w:sz w:val="24"/>
                <w:szCs w:val="24"/>
                <w:highlight w:val="none"/>
                <w:lang w:eastAsia="zh-CN"/>
              </w:rPr>
            </w:pPr>
            <w:r>
              <w:rPr>
                <w:rFonts w:hint="eastAsia" w:eastAsia="宋体"/>
                <w:sz w:val="24"/>
                <w:lang w:val="en-US" w:eastAsia="zh-CN"/>
              </w:rPr>
              <w:t>1</w:t>
            </w:r>
          </w:p>
        </w:tc>
        <w:tc>
          <w:tcPr>
            <w:tcW w:w="2064" w:type="dxa"/>
            <w:vAlign w:val="center"/>
          </w:tcPr>
          <w:p>
            <w:pPr>
              <w:jc w:val="center"/>
              <w:rPr>
                <w:rFonts w:hint="eastAsia"/>
                <w:sz w:val="24"/>
              </w:rPr>
            </w:pPr>
            <w:r>
              <w:rPr>
                <w:rFonts w:hint="eastAsia"/>
                <w:sz w:val="24"/>
              </w:rPr>
              <w:t>荔湾区街道社工服务站评估统筹、培训、宣传总结、监督观察、稽查以及中期、末期评估</w:t>
            </w:r>
          </w:p>
        </w:tc>
        <w:tc>
          <w:tcPr>
            <w:tcW w:w="2460" w:type="dxa"/>
            <w:vAlign w:val="center"/>
          </w:tcPr>
          <w:p>
            <w:pPr>
              <w:jc w:val="center"/>
              <w:rPr>
                <w:rFonts w:hint="eastAsia"/>
                <w:sz w:val="24"/>
                <w:lang w:val="en-US"/>
              </w:rPr>
            </w:pPr>
            <w:r>
              <w:rPr>
                <w:rFonts w:hint="eastAsia"/>
                <w:sz w:val="24"/>
                <w:lang w:val="en-US"/>
              </w:rPr>
              <w:t>817440</w:t>
            </w:r>
            <w:r>
              <w:rPr>
                <w:rFonts w:hint="default"/>
                <w:sz w:val="24"/>
                <w:lang w:val="en-US"/>
              </w:rPr>
              <w:t>.00</w:t>
            </w:r>
            <w:r>
              <w:rPr>
                <w:rFonts w:hint="eastAsia"/>
                <w:sz w:val="24"/>
                <w:lang w:val="en-US"/>
              </w:rPr>
              <w:t>元</w:t>
            </w:r>
          </w:p>
          <w:p>
            <w:pPr>
              <w:jc w:val="center"/>
              <w:rPr>
                <w:rFonts w:hint="eastAsia"/>
                <w:sz w:val="24"/>
                <w:lang w:val="en-US"/>
              </w:rPr>
            </w:pPr>
            <w:r>
              <w:rPr>
                <w:rFonts w:hint="eastAsia"/>
                <w:sz w:val="24"/>
                <w:lang w:val="en-US"/>
              </w:rPr>
              <w:t>（最终以区实际社工站评估经费总额×78%结算）</w:t>
            </w:r>
          </w:p>
        </w:tc>
        <w:tc>
          <w:tcPr>
            <w:tcW w:w="1709" w:type="dxa"/>
            <w:vAlign w:val="center"/>
          </w:tcPr>
          <w:p>
            <w:pPr>
              <w:jc w:val="center"/>
              <w:rPr>
                <w:rFonts w:hint="eastAsia"/>
                <w:sz w:val="24"/>
              </w:rPr>
            </w:pPr>
          </w:p>
        </w:tc>
        <w:tc>
          <w:tcPr>
            <w:tcW w:w="1336" w:type="dxa"/>
            <w:vAlign w:val="center"/>
          </w:tcPr>
          <w:p>
            <w:pPr>
              <w:rPr>
                <w:rFonts w:hint="eastAsia" w:ascii="宋体" w:hAnsi="宋体" w:eastAsia="宋体" w:cs="宋体"/>
                <w:sz w:val="24"/>
                <w:szCs w:val="24"/>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92" w:hRule="atLeast"/>
          <w:jc w:val="center"/>
        </w:trPr>
        <w:tc>
          <w:tcPr>
            <w:tcW w:w="847" w:type="dxa"/>
            <w:vAlign w:val="center"/>
          </w:tcPr>
          <w:p>
            <w:pPr>
              <w:jc w:val="center"/>
              <w:rPr>
                <w:rFonts w:hint="eastAsia" w:ascii="宋体" w:hAnsi="宋体" w:eastAsia="宋体" w:cs="宋体"/>
                <w:sz w:val="24"/>
                <w:szCs w:val="24"/>
                <w:highlight w:val="none"/>
                <w:lang w:eastAsia="zh-CN"/>
              </w:rPr>
            </w:pPr>
            <w:r>
              <w:rPr>
                <w:rFonts w:hint="eastAsia" w:eastAsia="宋体"/>
                <w:sz w:val="24"/>
                <w:lang w:val="en-US" w:eastAsia="zh-CN"/>
              </w:rPr>
              <w:t>2</w:t>
            </w:r>
          </w:p>
        </w:tc>
        <w:tc>
          <w:tcPr>
            <w:tcW w:w="2064" w:type="dxa"/>
            <w:vAlign w:val="center"/>
          </w:tcPr>
          <w:p>
            <w:pPr>
              <w:jc w:val="center"/>
              <w:rPr>
                <w:rFonts w:hint="eastAsia"/>
                <w:sz w:val="24"/>
              </w:rPr>
            </w:pPr>
            <w:r>
              <w:rPr>
                <w:rFonts w:hint="eastAsia"/>
                <w:sz w:val="24"/>
              </w:rPr>
              <w:t>荔湾区街道社工服务站财务中期、末期评估</w:t>
            </w:r>
          </w:p>
        </w:tc>
        <w:tc>
          <w:tcPr>
            <w:tcW w:w="2460" w:type="dxa"/>
            <w:vAlign w:val="center"/>
          </w:tcPr>
          <w:p>
            <w:pPr>
              <w:jc w:val="center"/>
              <w:rPr>
                <w:rFonts w:hint="eastAsia"/>
                <w:sz w:val="24"/>
                <w:lang w:val="en-US" w:eastAsia="zh-CN"/>
              </w:rPr>
            </w:pPr>
            <w:r>
              <w:rPr>
                <w:rFonts w:hint="eastAsia"/>
                <w:sz w:val="24"/>
                <w:lang w:val="en-US" w:eastAsia="zh-CN"/>
              </w:rPr>
              <w:t>230560</w:t>
            </w:r>
            <w:r>
              <w:rPr>
                <w:rFonts w:hint="default"/>
                <w:sz w:val="24"/>
                <w:lang w:val="en-US" w:eastAsia="zh-CN"/>
              </w:rPr>
              <w:t>.00</w:t>
            </w:r>
            <w:r>
              <w:rPr>
                <w:rFonts w:hint="eastAsia"/>
                <w:sz w:val="24"/>
                <w:lang w:val="en-US" w:eastAsia="zh-CN"/>
              </w:rPr>
              <w:t>元</w:t>
            </w:r>
          </w:p>
          <w:p>
            <w:pPr>
              <w:jc w:val="center"/>
              <w:rPr>
                <w:rFonts w:hint="eastAsia"/>
                <w:sz w:val="24"/>
                <w:lang w:val="en-US" w:eastAsia="zh-CN"/>
              </w:rPr>
            </w:pPr>
            <w:r>
              <w:rPr>
                <w:rFonts w:hint="eastAsia"/>
                <w:sz w:val="24"/>
                <w:lang w:val="en-US" w:eastAsia="zh-CN"/>
              </w:rPr>
              <w:t>（最终以区实际社工站评估经费总额×22%结算）</w:t>
            </w:r>
          </w:p>
        </w:tc>
        <w:tc>
          <w:tcPr>
            <w:tcW w:w="1709" w:type="dxa"/>
            <w:vAlign w:val="center"/>
          </w:tcPr>
          <w:p>
            <w:pPr>
              <w:jc w:val="center"/>
              <w:rPr>
                <w:rFonts w:hint="eastAsia"/>
                <w:sz w:val="24"/>
              </w:rPr>
            </w:pPr>
          </w:p>
        </w:tc>
        <w:tc>
          <w:tcPr>
            <w:tcW w:w="1336" w:type="dxa"/>
            <w:vAlign w:val="center"/>
          </w:tcPr>
          <w:p>
            <w:pPr>
              <w:rPr>
                <w:rFonts w:hint="eastAsia" w:ascii="宋体" w:hAnsi="宋体" w:eastAsia="宋体" w:cs="宋体"/>
                <w:sz w:val="24"/>
                <w:szCs w:val="24"/>
                <w:highlight w:val="none"/>
              </w:rPr>
            </w:pPr>
          </w:p>
        </w:tc>
      </w:tr>
    </w:tbl>
    <w:p>
      <w:pPr>
        <w:overflowPunct w:val="0"/>
        <w:spacing w:line="360" w:lineRule="auto"/>
        <w:ind w:right="25"/>
        <w:jc w:val="left"/>
        <w:rPr>
          <w:rFonts w:hint="eastAsia" w:ascii="宋体" w:hAnsi="宋体" w:eastAsia="宋体" w:cs="宋体"/>
          <w:color w:val="000000" w:themeColor="text1"/>
          <w:sz w:val="24"/>
          <w:szCs w:val="24"/>
          <w14:textFill>
            <w14:solidFill>
              <w14:schemeClr w14:val="tx1"/>
            </w14:solidFill>
          </w14:textFill>
        </w:rPr>
      </w:pPr>
    </w:p>
    <w:p>
      <w:pPr>
        <w:overflowPunct w:val="0"/>
        <w:spacing w:line="360" w:lineRule="auto"/>
        <w:ind w:right="25"/>
        <w:jc w:val="left"/>
        <w:rPr>
          <w:rFonts w:hint="eastAsia" w:ascii="宋体" w:hAnsi="宋体" w:eastAsia="宋体" w:cs="宋体"/>
          <w:b/>
          <w:bCs/>
          <w:color w:val="000000" w:themeColor="text1"/>
          <w:sz w:val="24"/>
          <w:szCs w:val="24"/>
          <w:lang w:val="en-US" w:eastAsia="zh-CN"/>
          <w14:textFill>
            <w14:solidFill>
              <w14:schemeClr w14:val="tx1"/>
            </w14:solidFill>
          </w14:textFill>
        </w:rPr>
      </w:pPr>
      <w:r>
        <w:rPr>
          <w:rFonts w:hint="eastAsia" w:ascii="宋体" w:hAnsi="宋体" w:eastAsia="宋体" w:cs="宋体"/>
          <w:b/>
          <w:bCs/>
          <w:color w:val="000000" w:themeColor="text1"/>
          <w:sz w:val="24"/>
          <w:szCs w:val="24"/>
          <w:lang w:val="en-US" w:eastAsia="zh-CN"/>
          <w14:textFill>
            <w14:solidFill>
              <w14:schemeClr w14:val="tx1"/>
            </w14:solidFill>
          </w14:textFill>
        </w:rPr>
        <w:t>备注：</w:t>
      </w:r>
    </w:p>
    <w:p>
      <w:pPr>
        <w:numPr>
          <w:ilvl w:val="0"/>
          <w:numId w:val="1"/>
        </w:numPr>
        <w:overflowPunct w:val="0"/>
        <w:spacing w:line="360" w:lineRule="auto"/>
        <w:ind w:right="25"/>
        <w:jc w:val="left"/>
        <w:rPr>
          <w:rFonts w:hint="eastAsia" w:ascii="宋体" w:hAnsi="宋体" w:eastAsia="宋体" w:cs="宋体"/>
          <w:b/>
          <w:bCs/>
          <w:color w:val="000000" w:themeColor="text1"/>
          <w:sz w:val="24"/>
          <w:szCs w:val="24"/>
          <w:lang w:eastAsia="zh-CN"/>
          <w14:textFill>
            <w14:solidFill>
              <w14:schemeClr w14:val="tx1"/>
            </w14:solidFill>
          </w14:textFill>
        </w:rPr>
      </w:pPr>
      <w:r>
        <w:rPr>
          <w:rFonts w:hint="eastAsia" w:ascii="宋体" w:hAnsi="宋体" w:eastAsia="宋体" w:cs="宋体"/>
          <w:b/>
          <w:bCs/>
          <w:color w:val="000000" w:themeColor="text1"/>
          <w:sz w:val="24"/>
          <w:szCs w:val="24"/>
          <w:lang w:eastAsia="zh-CN"/>
          <w14:textFill>
            <w14:solidFill>
              <w14:schemeClr w14:val="tx1"/>
            </w14:solidFill>
          </w14:textFill>
        </w:rPr>
        <w:t>报价说明，本项目各采购包总报价为项目预算金额，如线上编制响应文件必须报价可按照磋商文件要求报各采购包的固定总价（采购包1：817440元；采购包2：230560元）。</w:t>
      </w:r>
    </w:p>
    <w:p>
      <w:pPr>
        <w:numPr>
          <w:ilvl w:val="0"/>
          <w:numId w:val="1"/>
        </w:numPr>
        <w:overflowPunct w:val="0"/>
        <w:spacing w:line="360" w:lineRule="auto"/>
        <w:ind w:right="25"/>
        <w:jc w:val="left"/>
        <w:rPr>
          <w:rFonts w:hint="eastAsia" w:ascii="宋体" w:hAnsi="宋体" w:eastAsia="宋体" w:cs="宋体"/>
          <w:b/>
          <w:bCs/>
          <w:color w:val="000000" w:themeColor="text1"/>
          <w:sz w:val="24"/>
          <w:szCs w:val="24"/>
          <w:lang w:eastAsia="zh-CN"/>
          <w14:textFill>
            <w14:solidFill>
              <w14:schemeClr w14:val="tx1"/>
            </w14:solidFill>
          </w14:textFill>
        </w:rPr>
      </w:pPr>
      <w:r>
        <w:rPr>
          <w:rFonts w:hint="eastAsia" w:ascii="宋体" w:hAnsi="宋体" w:eastAsia="宋体" w:cs="宋体"/>
          <w:b/>
          <w:bCs/>
          <w:color w:val="000000" w:themeColor="text1"/>
          <w:sz w:val="24"/>
          <w:szCs w:val="24"/>
          <w:lang w:eastAsia="zh-CN"/>
          <w14:textFill>
            <w14:solidFill>
              <w14:schemeClr w14:val="tx1"/>
            </w14:solidFill>
          </w14:textFill>
        </w:rPr>
        <w:t>供应商须在</w:t>
      </w:r>
      <w:r>
        <w:rPr>
          <w:rFonts w:hint="eastAsia" w:ascii="宋体" w:hAnsi="宋体" w:eastAsia="宋体" w:cs="宋体"/>
          <w:b/>
          <w:bCs/>
          <w:color w:val="000000" w:themeColor="text1"/>
          <w:sz w:val="24"/>
          <w:szCs w:val="24"/>
          <w:lang w:val="en-US" w:eastAsia="zh-CN"/>
          <w14:textFill>
            <w14:solidFill>
              <w14:schemeClr w14:val="tx1"/>
            </w14:solidFill>
          </w14:textFill>
        </w:rPr>
        <w:t>响应</w:t>
      </w:r>
      <w:r>
        <w:rPr>
          <w:rFonts w:hint="eastAsia" w:ascii="宋体" w:hAnsi="宋体" w:eastAsia="宋体" w:cs="宋体"/>
          <w:b/>
          <w:bCs/>
          <w:color w:val="000000" w:themeColor="text1"/>
          <w:sz w:val="24"/>
          <w:szCs w:val="24"/>
          <w:lang w:eastAsia="zh-CN"/>
          <w14:textFill>
            <w14:solidFill>
              <w14:schemeClr w14:val="tx1"/>
            </w14:solidFill>
          </w14:textFill>
        </w:rPr>
        <w:t>文件中明确服务总工时，工时必须固定唯一且在</w:t>
      </w:r>
      <w:r>
        <w:rPr>
          <w:rFonts w:hint="eastAsia" w:ascii="宋体" w:hAnsi="宋体" w:eastAsia="宋体" w:cs="宋体"/>
          <w:b/>
          <w:bCs/>
          <w:color w:val="000000" w:themeColor="text1"/>
          <w:sz w:val="24"/>
          <w:szCs w:val="24"/>
          <w:lang w:val="en-US" w:eastAsia="zh-CN"/>
          <w14:textFill>
            <w14:solidFill>
              <w14:schemeClr w14:val="tx1"/>
            </w14:solidFill>
          </w14:textFill>
        </w:rPr>
        <w:t>采购</w:t>
      </w:r>
      <w:r>
        <w:rPr>
          <w:rFonts w:hint="eastAsia" w:ascii="宋体" w:hAnsi="宋体" w:eastAsia="宋体" w:cs="宋体"/>
          <w:b/>
          <w:bCs/>
          <w:color w:val="000000" w:themeColor="text1"/>
          <w:sz w:val="24"/>
          <w:szCs w:val="24"/>
          <w:lang w:eastAsia="zh-CN"/>
          <w14:textFill>
            <w14:solidFill>
              <w14:schemeClr w14:val="tx1"/>
            </w14:solidFill>
          </w14:textFill>
        </w:rPr>
        <w:t>文件规定的范围之内</w:t>
      </w:r>
      <w:r>
        <w:rPr>
          <w:rFonts w:hint="eastAsia" w:ascii="宋体" w:hAnsi="宋体" w:eastAsia="宋体" w:cs="宋体"/>
          <w:b/>
          <w:bCs/>
          <w:color w:val="000000" w:themeColor="text1"/>
          <w:sz w:val="24"/>
          <w:szCs w:val="24"/>
          <w14:textFill>
            <w14:solidFill>
              <w14:schemeClr w14:val="tx1"/>
            </w14:solidFill>
          </w14:textFill>
        </w:rPr>
        <w:t>,否则视为无效投标</w:t>
      </w:r>
      <w:r>
        <w:rPr>
          <w:rFonts w:hint="eastAsia" w:ascii="宋体" w:hAnsi="宋体" w:eastAsia="宋体" w:cs="宋体"/>
          <w:b/>
          <w:bCs/>
          <w:color w:val="000000" w:themeColor="text1"/>
          <w:sz w:val="24"/>
          <w:szCs w:val="24"/>
          <w:lang w:eastAsia="zh-CN"/>
          <w14:textFill>
            <w14:solidFill>
              <w14:schemeClr w14:val="tx1"/>
            </w14:solidFill>
          </w14:textFill>
        </w:rPr>
        <w:t>。</w:t>
      </w:r>
    </w:p>
    <w:p>
      <w:pPr>
        <w:pStyle w:val="2"/>
        <w:rPr>
          <w:rFonts w:hint="default"/>
          <w:lang w:val="en-US" w:eastAsia="zh-CN"/>
        </w:rPr>
      </w:pPr>
      <w:r>
        <w:rPr>
          <w:rFonts w:hint="default" w:ascii="宋体" w:hAnsi="宋体" w:eastAsia="宋体" w:cs="宋体"/>
          <w:b/>
          <w:bCs/>
          <w:color w:val="000000" w:themeColor="text1"/>
          <w:sz w:val="24"/>
          <w:szCs w:val="24"/>
          <w:lang w:val="en-US" w:eastAsia="zh-CN"/>
          <w14:textFill>
            <w14:solidFill>
              <w14:schemeClr w14:val="tx1"/>
            </w14:solidFill>
          </w14:textFill>
        </w:rPr>
        <w:t>3</w:t>
      </w:r>
      <w:r>
        <w:rPr>
          <w:rFonts w:hint="eastAsia" w:ascii="宋体" w:hAnsi="宋体" w:eastAsia="宋体" w:cs="宋体"/>
          <w:b/>
          <w:bCs/>
          <w:color w:val="000000" w:themeColor="text1"/>
          <w:sz w:val="24"/>
          <w:szCs w:val="24"/>
          <w:lang w:val="en-US" w:eastAsia="zh-CN"/>
          <w14:textFill>
            <w14:solidFill>
              <w14:schemeClr w14:val="tx1"/>
            </w14:solidFill>
          </w14:textFill>
        </w:rPr>
        <w:t>.如供应商需对响应服务工时进行细分的，可再另制工时分项表，格式自拟。</w:t>
      </w:r>
    </w:p>
    <w:p>
      <w:pPr>
        <w:overflowPunct w:val="0"/>
        <w:spacing w:line="360" w:lineRule="auto"/>
        <w:ind w:right="25" w:firstLine="7320" w:firstLineChars="3050"/>
        <w:rPr>
          <w:rFonts w:hint="eastAsia" w:ascii="宋体" w:hAnsi="宋体" w:eastAsia="宋体" w:cs="宋体"/>
          <w:sz w:val="24"/>
          <w:szCs w:val="24"/>
          <w:highlight w:val="none"/>
        </w:rPr>
      </w:pPr>
    </w:p>
    <w:p>
      <w:pPr>
        <w:overflowPunct w:val="0"/>
        <w:spacing w:line="360" w:lineRule="auto"/>
        <w:ind w:right="25" w:firstLine="4560" w:firstLineChars="1900"/>
        <w:rPr>
          <w:rFonts w:hint="eastAsia" w:ascii="宋体" w:hAnsi="宋体" w:eastAsia="宋体" w:cs="宋体"/>
          <w:sz w:val="24"/>
          <w:szCs w:val="24"/>
          <w:highlight w:val="none"/>
        </w:rPr>
      </w:pPr>
      <w:r>
        <w:rPr>
          <w:rFonts w:hint="eastAsia" w:ascii="宋体" w:hAnsi="宋体" w:eastAsia="宋体" w:cs="宋体"/>
          <w:sz w:val="24"/>
          <w:szCs w:val="24"/>
          <w:highlight w:val="none"/>
        </w:rPr>
        <w:t>投标人签章：__________________</w:t>
      </w:r>
    </w:p>
    <w:p>
      <w:pPr>
        <w:overflowPunct w:val="0"/>
        <w:spacing w:line="360" w:lineRule="auto"/>
        <w:ind w:right="25" w:firstLine="4560" w:firstLineChars="1900"/>
        <w:rPr>
          <w:rFonts w:hint="eastAsia" w:ascii="宋体" w:hAnsi="宋体" w:eastAsia="宋体" w:cs="宋体"/>
          <w:sz w:val="24"/>
          <w:szCs w:val="24"/>
          <w:highlight w:val="none"/>
        </w:rPr>
      </w:pPr>
      <w:r>
        <w:rPr>
          <w:rFonts w:hint="eastAsia" w:ascii="宋体" w:hAnsi="宋体" w:eastAsia="宋体" w:cs="宋体"/>
          <w:sz w:val="24"/>
          <w:szCs w:val="24"/>
          <w:highlight w:val="none"/>
        </w:rPr>
        <w:t>日期：</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rPr>
        <w:t>年</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rPr>
        <w:t>月</w:t>
      </w:r>
      <w:r>
        <w:rPr>
          <w:rFonts w:hint="eastAsia" w:ascii="宋体" w:hAnsi="宋体" w:eastAsia="宋体" w:cs="宋体"/>
          <w:sz w:val="24"/>
          <w:szCs w:val="24"/>
          <w:highlight w:val="none"/>
          <w:lang w:val="en-US" w:eastAsia="zh-CN"/>
        </w:rPr>
        <w:t xml:space="preserve">  </w:t>
      </w:r>
      <w:r>
        <w:rPr>
          <w:rFonts w:hint="eastAsia" w:ascii="宋体" w:hAnsi="宋体" w:eastAsia="宋体" w:cs="宋体"/>
          <w:sz w:val="24"/>
          <w:szCs w:val="24"/>
          <w:highlight w:val="none"/>
        </w:rPr>
        <w:t>日</w:t>
      </w:r>
    </w:p>
    <w:p>
      <w:pPr>
        <w:rPr>
          <w:rFonts w:hint="eastAsia" w:ascii="宋体" w:hAnsi="宋体" w:eastAsia="宋体" w:cs="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6D18A1"/>
    <w:multiLevelType w:val="singleLevel"/>
    <w:tmpl w:val="0B6D18A1"/>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M5Y2I3YzNkMzM0MzllYmFlNGUzYTdiM2QzMzI4ZmIifQ=="/>
  </w:docVars>
  <w:rsids>
    <w:rsidRoot w:val="5E854E25"/>
    <w:rsid w:val="02DA7CED"/>
    <w:rsid w:val="16771367"/>
    <w:rsid w:val="17136475"/>
    <w:rsid w:val="26464692"/>
    <w:rsid w:val="266C3F58"/>
    <w:rsid w:val="2D7D2E54"/>
    <w:rsid w:val="2E220504"/>
    <w:rsid w:val="332701EB"/>
    <w:rsid w:val="35DF2600"/>
    <w:rsid w:val="382F19F4"/>
    <w:rsid w:val="38CF078C"/>
    <w:rsid w:val="42D622F6"/>
    <w:rsid w:val="47956559"/>
    <w:rsid w:val="48F00870"/>
    <w:rsid w:val="4BBD625E"/>
    <w:rsid w:val="5E854E25"/>
    <w:rsid w:val="6A001E3A"/>
    <w:rsid w:val="70AE175A"/>
    <w:rsid w:val="71351A80"/>
    <w:rsid w:val="7333504F"/>
    <w:rsid w:val="76FE7E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0"/>
    <w:pPr>
      <w:spacing w:line="480" w:lineRule="atLeast"/>
    </w:pPr>
    <w:rPr>
      <w:rFonts w:ascii="楷体_GB2312" w:eastAsia="楷体_GB2312"/>
      <w:b/>
      <w:kern w:val="2"/>
      <w:sz w:val="30"/>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353</Words>
  <Characters>393</Characters>
  <Lines>0</Lines>
  <Paragraphs>0</Paragraphs>
  <TotalTime>1</TotalTime>
  <ScaleCrop>false</ScaleCrop>
  <LinksUpToDate>false</LinksUpToDate>
  <CharactersWithSpaces>402</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2022-02-10T07:36:00Z</dcterms:created>
  <dc:creator>123</dc:creator>
  <cp:lastModifiedBy>黎工</cp:lastModifiedBy>
  <dcterms:modified xsi:type="dcterms:W3CDTF">2023-12-04T05:11:00Z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E79EEB7D7A7244FBB5CDD087258B67C5</vt:lpwstr>
  </property>
</Properties>
</file>