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69F4BD">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eastAsia" w:ascii="黑体" w:hAnsi="黑体" w:eastAsia="黑体" w:cs="黑体"/>
          <w:sz w:val="32"/>
          <w:szCs w:val="32"/>
          <w:u w:val="none"/>
          <w:lang w:val="en-US" w:eastAsia="zh-CN"/>
        </w:rPr>
      </w:pPr>
      <w:r>
        <w:rPr>
          <w:rFonts w:hint="eastAsia" w:ascii="黑体" w:hAnsi="黑体" w:eastAsia="黑体" w:cs="黑体"/>
          <w:sz w:val="32"/>
          <w:szCs w:val="32"/>
          <w:u w:val="none"/>
          <w:lang w:val="en-US" w:eastAsia="zh-CN"/>
        </w:rPr>
        <w:t>附件</w:t>
      </w:r>
    </w:p>
    <w:p w14:paraId="167D0518">
      <w:pPr>
        <w:rPr>
          <w:rFonts w:hint="eastAsia" w:ascii="黑体" w:hAnsi="黑体" w:eastAsia="黑体" w:cs="黑体"/>
          <w:sz w:val="32"/>
          <w:szCs w:val="32"/>
          <w:u w:val="none"/>
          <w:lang w:val="en-US" w:eastAsia="zh-CN"/>
        </w:rPr>
      </w:pPr>
    </w:p>
    <w:p w14:paraId="3FE1E166">
      <w:pPr>
        <w:pStyle w:val="5"/>
        <w:rPr>
          <w:rFonts w:hint="eastAsia" w:ascii="黑体" w:hAnsi="黑体" w:eastAsia="黑体" w:cs="黑体"/>
          <w:color w:val="auto"/>
          <w:sz w:val="32"/>
          <w:szCs w:val="32"/>
          <w:u w:val="none"/>
          <w:lang w:val="en-US" w:eastAsia="zh-CN"/>
        </w:rPr>
      </w:pPr>
    </w:p>
    <w:p w14:paraId="49315133">
      <w:pPr>
        <w:pStyle w:val="2"/>
        <w:ind w:left="0" w:leftChars="0" w:firstLine="0" w:firstLineChars="0"/>
        <w:rPr>
          <w:rFonts w:hint="eastAsia" w:ascii="黑体" w:hAnsi="黑体" w:eastAsia="黑体" w:cs="黑体"/>
          <w:color w:val="auto"/>
          <w:sz w:val="32"/>
          <w:szCs w:val="32"/>
          <w:u w:val="none"/>
          <w:lang w:val="en-US" w:eastAsia="zh-CN"/>
        </w:rPr>
      </w:pPr>
    </w:p>
    <w:p w14:paraId="7ED8F36C">
      <w:pPr>
        <w:pStyle w:val="2"/>
        <w:rPr>
          <w:rFonts w:hint="eastAsia" w:ascii="黑体" w:hAnsi="黑体" w:eastAsia="黑体" w:cs="黑体"/>
          <w:color w:val="auto"/>
          <w:sz w:val="32"/>
          <w:szCs w:val="32"/>
          <w:u w:val="none"/>
          <w:lang w:val="en-US" w:eastAsia="zh-CN"/>
        </w:rPr>
      </w:pPr>
    </w:p>
    <w:p w14:paraId="17516A1F">
      <w:pPr>
        <w:keepNext w:val="0"/>
        <w:keepLines w:val="0"/>
        <w:pageBreakBefore w:val="0"/>
        <w:widowControl/>
        <w:kinsoku/>
        <w:wordWrap/>
        <w:overflowPunct/>
        <w:topLinePunct w:val="0"/>
        <w:autoSpaceDE/>
        <w:autoSpaceDN/>
        <w:bidi w:val="0"/>
        <w:adjustRightInd/>
        <w:snapToGrid/>
        <w:spacing w:before="0" w:beforeLines="0" w:line="560" w:lineRule="exact"/>
        <w:textAlignment w:val="auto"/>
        <w:outlineLvl w:val="9"/>
        <w:rPr>
          <w:rFonts w:hint="default" w:ascii="仿宋_GB2312" w:hAnsi="仿宋_GB2312" w:eastAsia="仿宋_GB2312" w:cs="仿宋_GB2312"/>
          <w:b w:val="0"/>
          <w:bCs/>
          <w:sz w:val="32"/>
          <w:szCs w:val="32"/>
          <w:u w:val="none"/>
          <w:lang w:val="en-US" w:eastAsia="zh-CN"/>
        </w:rPr>
      </w:pPr>
    </w:p>
    <w:p w14:paraId="6CDFD0E4">
      <w:pPr>
        <w:adjustRightInd w:val="0"/>
        <w:snapToGrid w:val="0"/>
        <w:spacing w:line="600" w:lineRule="exact"/>
        <w:jc w:val="center"/>
        <w:rPr>
          <w:rFonts w:hint="eastAsia" w:ascii="方正小标宋简体" w:hAnsi="方正小标宋简体" w:eastAsia="方正小标宋简体" w:cs="方正小标宋简体"/>
          <w:sz w:val="48"/>
          <w:szCs w:val="48"/>
          <w:u w:val="none"/>
        </w:rPr>
      </w:pPr>
      <w:bookmarkStart w:id="0" w:name="_GoBack"/>
      <w:r>
        <w:rPr>
          <w:rFonts w:hint="eastAsia" w:ascii="方正小标宋简体" w:hAnsi="方正小标宋简体" w:eastAsia="方正小标宋简体" w:cs="方正小标宋简体"/>
          <w:sz w:val="48"/>
          <w:szCs w:val="48"/>
          <w:u w:val="none"/>
        </w:rPr>
        <w:t>项目需求书</w:t>
      </w:r>
    </w:p>
    <w:bookmarkEnd w:id="0"/>
    <w:p w14:paraId="36D49232">
      <w:pPr>
        <w:adjustRightInd w:val="0"/>
        <w:snapToGrid w:val="0"/>
        <w:spacing w:line="600" w:lineRule="exact"/>
        <w:ind w:firstLine="420" w:firstLineChars="200"/>
        <w:jc w:val="center"/>
        <w:rPr>
          <w:rFonts w:ascii="仿宋_GB2312" w:hAnsi="Times New Roman" w:eastAsia="仿宋_GB2312" w:cs="Times New Roman"/>
          <w:u w:val="none"/>
        </w:rPr>
      </w:pPr>
    </w:p>
    <w:p w14:paraId="078C46E5">
      <w:pPr>
        <w:adjustRightInd w:val="0"/>
        <w:snapToGrid w:val="0"/>
        <w:spacing w:line="600" w:lineRule="exact"/>
        <w:ind w:firstLine="420" w:firstLineChars="200"/>
        <w:jc w:val="center"/>
        <w:rPr>
          <w:rFonts w:ascii="仿宋_GB2312" w:hAnsi="Times New Roman" w:eastAsia="仿宋_GB2312" w:cs="Times New Roman"/>
          <w:u w:val="none"/>
        </w:rPr>
      </w:pPr>
    </w:p>
    <w:p w14:paraId="7DECA198">
      <w:pPr>
        <w:adjustRightInd w:val="0"/>
        <w:snapToGrid w:val="0"/>
        <w:spacing w:line="600" w:lineRule="exact"/>
        <w:jc w:val="center"/>
        <w:rPr>
          <w:rFonts w:ascii="仿宋_GB2312" w:hAnsi="Times New Roman" w:eastAsia="仿宋_GB2312" w:cs="Times New Roman"/>
          <w:u w:val="none"/>
        </w:rPr>
      </w:pPr>
    </w:p>
    <w:p w14:paraId="4E8897EF">
      <w:pPr>
        <w:adjustRightInd w:val="0"/>
        <w:snapToGrid w:val="0"/>
        <w:spacing w:line="600" w:lineRule="exact"/>
        <w:jc w:val="center"/>
        <w:rPr>
          <w:rFonts w:ascii="仿宋_GB2312" w:hAnsi="Times New Roman" w:eastAsia="仿宋_GB2312" w:cs="Times New Roman"/>
          <w:u w:val="none"/>
        </w:rPr>
      </w:pPr>
    </w:p>
    <w:p w14:paraId="11E19509">
      <w:pPr>
        <w:adjustRightInd w:val="0"/>
        <w:snapToGrid w:val="0"/>
        <w:spacing w:line="600" w:lineRule="exact"/>
        <w:jc w:val="center"/>
        <w:rPr>
          <w:rFonts w:ascii="仿宋_GB2312" w:hAnsi="Times New Roman" w:eastAsia="仿宋_GB2312" w:cs="Times New Roman"/>
          <w:u w:val="none"/>
        </w:rPr>
      </w:pPr>
    </w:p>
    <w:p w14:paraId="1BCEBA25">
      <w:pPr>
        <w:spacing w:line="600" w:lineRule="exact"/>
        <w:jc w:val="center"/>
        <w:rPr>
          <w:rFonts w:hint="eastAsia" w:ascii="仿宋_GB2312" w:hAnsi="Times New Roman" w:eastAsia="仿宋_GB2312" w:cs="仿宋_GB2312"/>
          <w:sz w:val="32"/>
          <w:szCs w:val="32"/>
          <w:u w:val="none"/>
        </w:rPr>
      </w:pPr>
      <w:r>
        <w:rPr>
          <w:rFonts w:hint="eastAsia" w:ascii="黑体" w:hAnsi="黑体" w:eastAsia="黑体" w:cs="黑体"/>
          <w:sz w:val="32"/>
          <w:szCs w:val="32"/>
          <w:u w:val="none"/>
        </w:rPr>
        <w:t>项目名称：</w:t>
      </w:r>
      <w:r>
        <w:rPr>
          <w:rFonts w:hint="eastAsia" w:ascii="仿宋_GB2312" w:hAnsi="仿宋_GB2312" w:eastAsia="仿宋_GB2312" w:cs="仿宋_GB2312"/>
          <w:sz w:val="32"/>
          <w:szCs w:val="32"/>
          <w:u w:val="none"/>
          <w:lang w:eastAsia="zh-CN"/>
        </w:rPr>
        <w:t>广州市市场监督管理“十五五”规划编制</w:t>
      </w:r>
    </w:p>
    <w:p w14:paraId="4776E0D7">
      <w:pPr>
        <w:adjustRightInd w:val="0"/>
        <w:snapToGrid w:val="0"/>
        <w:spacing w:line="600" w:lineRule="exact"/>
        <w:jc w:val="center"/>
        <w:rPr>
          <w:rFonts w:ascii="仿宋_GB2312" w:hAnsi="Times New Roman" w:eastAsia="仿宋_GB2312" w:cs="Times New Roman"/>
          <w:kern w:val="0"/>
          <w:sz w:val="32"/>
          <w:szCs w:val="32"/>
          <w:u w:val="none"/>
        </w:rPr>
      </w:pPr>
    </w:p>
    <w:p w14:paraId="367D466A">
      <w:pPr>
        <w:adjustRightInd w:val="0"/>
        <w:snapToGrid w:val="0"/>
        <w:spacing w:line="600" w:lineRule="exact"/>
        <w:ind w:firstLine="640" w:firstLineChars="200"/>
        <w:jc w:val="center"/>
        <w:rPr>
          <w:rFonts w:ascii="仿宋_GB2312" w:hAnsi="Times New Roman" w:eastAsia="仿宋_GB2312" w:cs="Times New Roman"/>
          <w:sz w:val="32"/>
          <w:szCs w:val="32"/>
          <w:u w:val="none"/>
        </w:rPr>
      </w:pPr>
    </w:p>
    <w:p w14:paraId="690BA2DF">
      <w:pPr>
        <w:adjustRightInd w:val="0"/>
        <w:snapToGrid w:val="0"/>
        <w:spacing w:line="600" w:lineRule="exact"/>
        <w:ind w:firstLine="640" w:firstLineChars="200"/>
        <w:jc w:val="center"/>
        <w:rPr>
          <w:rFonts w:ascii="仿宋_GB2312" w:hAnsi="Times New Roman" w:eastAsia="仿宋_GB2312" w:cs="Times New Roman"/>
          <w:sz w:val="32"/>
          <w:szCs w:val="32"/>
          <w:u w:val="none"/>
        </w:rPr>
      </w:pPr>
    </w:p>
    <w:p w14:paraId="5434C4D2">
      <w:pPr>
        <w:adjustRightInd w:val="0"/>
        <w:snapToGrid w:val="0"/>
        <w:spacing w:line="600" w:lineRule="exact"/>
        <w:ind w:firstLine="640" w:firstLineChars="200"/>
        <w:jc w:val="center"/>
        <w:rPr>
          <w:rFonts w:ascii="仿宋_GB2312" w:hAnsi="Times New Roman" w:eastAsia="仿宋_GB2312" w:cs="Times New Roman"/>
          <w:sz w:val="32"/>
          <w:szCs w:val="32"/>
          <w:u w:val="none"/>
        </w:rPr>
      </w:pPr>
    </w:p>
    <w:p w14:paraId="2DC1BC89">
      <w:pPr>
        <w:adjustRightInd w:val="0"/>
        <w:snapToGrid w:val="0"/>
        <w:spacing w:line="600" w:lineRule="exact"/>
        <w:ind w:firstLine="640" w:firstLineChars="200"/>
        <w:jc w:val="center"/>
        <w:rPr>
          <w:rFonts w:ascii="仿宋_GB2312" w:hAnsi="Times New Roman" w:eastAsia="仿宋_GB2312" w:cs="Times New Roman"/>
          <w:sz w:val="32"/>
          <w:szCs w:val="32"/>
          <w:u w:val="none"/>
        </w:rPr>
      </w:pPr>
    </w:p>
    <w:p w14:paraId="300A268C">
      <w:pPr>
        <w:adjustRightInd w:val="0"/>
        <w:snapToGrid w:val="0"/>
        <w:spacing w:line="600" w:lineRule="exact"/>
        <w:jc w:val="both"/>
        <w:rPr>
          <w:rFonts w:ascii="仿宋_GB2312" w:hAnsi="Times New Roman" w:eastAsia="仿宋_GB2312" w:cs="Times New Roman"/>
          <w:sz w:val="32"/>
          <w:szCs w:val="32"/>
          <w:u w:val="none"/>
        </w:rPr>
      </w:pPr>
    </w:p>
    <w:p w14:paraId="0F809E35">
      <w:pPr>
        <w:adjustRightInd w:val="0"/>
        <w:snapToGrid w:val="0"/>
        <w:spacing w:line="600" w:lineRule="exact"/>
        <w:jc w:val="center"/>
        <w:rPr>
          <w:rFonts w:ascii="仿宋_GB2312" w:hAnsi="Times New Roman" w:eastAsia="仿宋_GB2312" w:cs="Times New Roman"/>
          <w:sz w:val="32"/>
          <w:szCs w:val="32"/>
          <w:u w:val="none"/>
        </w:rPr>
      </w:pPr>
      <w:r>
        <w:rPr>
          <w:rFonts w:hint="eastAsia" w:ascii="仿宋_GB2312" w:hAnsi="Times New Roman" w:eastAsia="仿宋_GB2312" w:cs="仿宋"/>
          <w:sz w:val="32"/>
          <w:szCs w:val="32"/>
          <w:u w:val="none"/>
        </w:rPr>
        <w:t>广州市市场监督管理发展研究中心</w:t>
      </w:r>
    </w:p>
    <w:p w14:paraId="7CC2BA2D">
      <w:pPr>
        <w:adjustRightInd w:val="0"/>
        <w:snapToGrid w:val="0"/>
        <w:spacing w:line="600" w:lineRule="exact"/>
        <w:jc w:val="center"/>
        <w:rPr>
          <w:rFonts w:ascii="仿宋_GB2312" w:hAnsi="Times New Roman" w:eastAsia="仿宋_GB2312" w:cs="Times New Roman"/>
          <w:sz w:val="32"/>
          <w:szCs w:val="32"/>
          <w:u w:val="none"/>
        </w:rPr>
      </w:pPr>
      <w:r>
        <w:rPr>
          <w:rFonts w:hint="eastAsia" w:ascii="仿宋_GB2312" w:hAnsi="Times New Roman" w:eastAsia="仿宋_GB2312" w:cs="Times New Roman"/>
          <w:sz w:val="32"/>
          <w:szCs w:val="32"/>
          <w:u w:val="none"/>
        </w:rPr>
        <w:t>202</w:t>
      </w:r>
      <w:r>
        <w:rPr>
          <w:rFonts w:hint="eastAsia" w:ascii="仿宋_GB2312" w:hAnsi="Times New Roman" w:eastAsia="仿宋_GB2312" w:cs="Times New Roman"/>
          <w:sz w:val="32"/>
          <w:szCs w:val="32"/>
          <w:u w:val="none"/>
          <w:lang w:val="en-US" w:eastAsia="zh-CN"/>
        </w:rPr>
        <w:t>4</w:t>
      </w:r>
      <w:r>
        <w:rPr>
          <w:rFonts w:hint="eastAsia" w:ascii="仿宋_GB2312" w:hAnsi="Times New Roman" w:eastAsia="仿宋_GB2312" w:cs="仿宋"/>
          <w:sz w:val="32"/>
          <w:szCs w:val="32"/>
          <w:u w:val="none"/>
        </w:rPr>
        <w:t>年</w:t>
      </w:r>
      <w:r>
        <w:rPr>
          <w:rFonts w:hint="eastAsia" w:ascii="仿宋_GB2312" w:hAnsi="Times New Roman" w:eastAsia="仿宋_GB2312" w:cs="仿宋"/>
          <w:sz w:val="32"/>
          <w:szCs w:val="32"/>
          <w:u w:val="none"/>
          <w:lang w:val="en-US" w:eastAsia="zh-CN"/>
        </w:rPr>
        <w:t>10</w:t>
      </w:r>
      <w:r>
        <w:rPr>
          <w:rFonts w:hint="eastAsia" w:ascii="仿宋_GB2312" w:hAnsi="Times New Roman" w:eastAsia="仿宋_GB2312" w:cs="仿宋"/>
          <w:sz w:val="32"/>
          <w:szCs w:val="32"/>
          <w:u w:val="none"/>
        </w:rPr>
        <w:t>月</w:t>
      </w:r>
    </w:p>
    <w:p w14:paraId="4C1748A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Cs/>
          <w:sz w:val="44"/>
          <w:szCs w:val="44"/>
          <w:u w:val="none"/>
          <w:lang w:val="en-US" w:eastAsia="zh-CN"/>
        </w:rPr>
      </w:pPr>
    </w:p>
    <w:p w14:paraId="7F7CA92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Cs/>
          <w:sz w:val="44"/>
          <w:szCs w:val="44"/>
          <w:u w:val="none"/>
          <w:lang w:val="en-US" w:eastAsia="zh-CN"/>
        </w:rPr>
      </w:pPr>
    </w:p>
    <w:p w14:paraId="109A4FD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Cs/>
          <w:sz w:val="44"/>
          <w:szCs w:val="44"/>
          <w:u w:val="none"/>
          <w:lang w:val="en-US" w:eastAsia="zh-CN"/>
        </w:rPr>
      </w:pPr>
      <w:r>
        <w:rPr>
          <w:rFonts w:hint="eastAsia" w:ascii="方正小标宋简体" w:hAnsi="方正小标宋简体" w:eastAsia="方正小标宋简体" w:cs="方正小标宋简体"/>
          <w:bCs/>
          <w:sz w:val="44"/>
          <w:szCs w:val="44"/>
          <w:u w:val="none"/>
          <w:lang w:val="en-US" w:eastAsia="zh-CN"/>
        </w:rPr>
        <w:t>用户需求书</w:t>
      </w:r>
    </w:p>
    <w:p w14:paraId="0468A5C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bCs/>
          <w:sz w:val="32"/>
          <w:szCs w:val="32"/>
          <w:u w:val="none"/>
          <w:lang w:val="en-US" w:eastAsia="zh-CN"/>
        </w:rPr>
      </w:pPr>
    </w:p>
    <w:p w14:paraId="2F46D5C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u w:val="none"/>
        </w:rPr>
      </w:pPr>
      <w:r>
        <w:rPr>
          <w:rFonts w:hint="eastAsia" w:ascii="黑体" w:hAnsi="黑体" w:eastAsia="黑体" w:cs="黑体"/>
          <w:sz w:val="32"/>
          <w:szCs w:val="32"/>
          <w:u w:val="none"/>
        </w:rPr>
        <w:t xml:space="preserve">一、项目名称 </w:t>
      </w:r>
    </w:p>
    <w:p w14:paraId="49D7D91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u w:val="none"/>
          <w:lang w:eastAsia="zh-CN"/>
        </w:rPr>
      </w:pPr>
      <w:r>
        <w:rPr>
          <w:rFonts w:hint="eastAsia" w:ascii="仿宋_GB2312" w:hAnsi="仿宋_GB2312" w:eastAsia="仿宋_GB2312" w:cs="仿宋_GB2312"/>
          <w:sz w:val="32"/>
          <w:szCs w:val="32"/>
          <w:u w:val="none"/>
          <w:lang w:eastAsia="zh-CN"/>
        </w:rPr>
        <w:t>广州市市场监督管理“十五五”规划编制</w:t>
      </w:r>
    </w:p>
    <w:p w14:paraId="109271E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u w:val="none"/>
          <w:lang w:eastAsia="zh-CN"/>
        </w:rPr>
      </w:pPr>
      <w:r>
        <w:rPr>
          <w:rFonts w:hint="eastAsia" w:ascii="黑体" w:hAnsi="黑体" w:eastAsia="黑体" w:cs="黑体"/>
          <w:sz w:val="32"/>
          <w:szCs w:val="32"/>
          <w:u w:val="none"/>
          <w:lang w:eastAsia="zh-CN"/>
        </w:rPr>
        <w:t>二、项目时间</w:t>
      </w:r>
    </w:p>
    <w:p w14:paraId="7423FED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cs="宋体"/>
          <w:kern w:val="0"/>
          <w:sz w:val="32"/>
          <w:szCs w:val="32"/>
          <w:u w:val="none"/>
        </w:rPr>
      </w:pPr>
      <w:r>
        <w:rPr>
          <w:rFonts w:hint="eastAsia" w:ascii="仿宋_GB2312" w:hAnsi="仿宋_GB2312" w:eastAsia="仿宋_GB2312" w:cs="仿宋_GB2312"/>
          <w:bCs/>
          <w:sz w:val="32"/>
          <w:szCs w:val="32"/>
          <w:u w:val="none"/>
          <w:lang w:val="en-US" w:eastAsia="zh-CN"/>
        </w:rPr>
        <w:t>从合同签订之日</w:t>
      </w:r>
      <w:r>
        <w:rPr>
          <w:rFonts w:hint="eastAsia" w:ascii="仿宋_GB2312" w:hAnsi="宋体" w:eastAsia="仿宋_GB2312" w:cs="宋体"/>
          <w:kern w:val="0"/>
          <w:sz w:val="32"/>
          <w:szCs w:val="32"/>
          <w:u w:val="none"/>
        </w:rPr>
        <w:t>至202</w:t>
      </w:r>
      <w:r>
        <w:rPr>
          <w:rFonts w:hint="eastAsia" w:ascii="仿宋_GB2312" w:hAnsi="宋体" w:eastAsia="仿宋_GB2312" w:cs="宋体"/>
          <w:kern w:val="0"/>
          <w:sz w:val="32"/>
          <w:szCs w:val="32"/>
          <w:u w:val="none"/>
          <w:lang w:val="en-US" w:eastAsia="zh-CN"/>
        </w:rPr>
        <w:t>6</w:t>
      </w:r>
      <w:r>
        <w:rPr>
          <w:rFonts w:hint="eastAsia" w:ascii="仿宋_GB2312" w:hAnsi="宋体" w:eastAsia="仿宋_GB2312" w:cs="宋体"/>
          <w:kern w:val="0"/>
          <w:sz w:val="32"/>
          <w:szCs w:val="32"/>
          <w:u w:val="none"/>
        </w:rPr>
        <w:t>年</w:t>
      </w:r>
      <w:r>
        <w:rPr>
          <w:rFonts w:hint="eastAsia" w:ascii="仿宋_GB2312" w:hAnsi="宋体" w:eastAsia="仿宋_GB2312" w:cs="宋体"/>
          <w:kern w:val="0"/>
          <w:sz w:val="32"/>
          <w:szCs w:val="32"/>
          <w:u w:val="none"/>
          <w:lang w:val="en-US" w:eastAsia="zh-CN"/>
        </w:rPr>
        <w:t>9</w:t>
      </w:r>
      <w:r>
        <w:rPr>
          <w:rFonts w:hint="eastAsia" w:ascii="仿宋_GB2312" w:hAnsi="宋体" w:eastAsia="仿宋_GB2312" w:cs="宋体"/>
          <w:kern w:val="0"/>
          <w:sz w:val="32"/>
          <w:szCs w:val="32"/>
          <w:u w:val="none"/>
        </w:rPr>
        <w:t>月</w:t>
      </w:r>
      <w:r>
        <w:rPr>
          <w:rFonts w:hint="eastAsia" w:ascii="仿宋_GB2312" w:hAnsi="宋体" w:eastAsia="仿宋_GB2312" w:cs="宋体"/>
          <w:kern w:val="0"/>
          <w:sz w:val="32"/>
          <w:szCs w:val="32"/>
          <w:u w:val="none"/>
          <w:lang w:eastAsia="zh-CN"/>
        </w:rPr>
        <w:t>底</w:t>
      </w:r>
      <w:r>
        <w:rPr>
          <w:rFonts w:hint="eastAsia" w:ascii="仿宋_GB2312" w:hAnsi="宋体" w:eastAsia="仿宋_GB2312" w:cs="宋体"/>
          <w:kern w:val="0"/>
          <w:sz w:val="32"/>
          <w:szCs w:val="32"/>
          <w:u w:val="none"/>
        </w:rPr>
        <w:t>（因不可抗力无法在项目期内完成项目合同约定事宜的，应延长履约时间至完成项目任务）。</w:t>
      </w:r>
    </w:p>
    <w:p w14:paraId="0B5EAD8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u w:val="none"/>
        </w:rPr>
      </w:pPr>
      <w:r>
        <w:rPr>
          <w:rFonts w:hint="eastAsia" w:ascii="黑体" w:hAnsi="黑体" w:eastAsia="黑体" w:cs="黑体"/>
          <w:sz w:val="32"/>
          <w:szCs w:val="32"/>
          <w:u w:val="none"/>
          <w:lang w:eastAsia="zh-CN"/>
        </w:rPr>
        <w:t>三</w:t>
      </w:r>
      <w:r>
        <w:rPr>
          <w:rFonts w:hint="eastAsia" w:ascii="黑体" w:hAnsi="黑体" w:eastAsia="黑体" w:cs="黑体"/>
          <w:sz w:val="32"/>
          <w:szCs w:val="32"/>
          <w:u w:val="none"/>
        </w:rPr>
        <w:t>、项目概况</w:t>
      </w:r>
    </w:p>
    <w:p w14:paraId="28284DAD">
      <w:pPr>
        <w:keepNext w:val="0"/>
        <w:keepLines w:val="0"/>
        <w:pageBreakBefore w:val="0"/>
        <w:widowControl w:val="0"/>
        <w:kinsoku/>
        <w:wordWrap/>
        <w:overflowPunct/>
        <w:topLinePunct w:val="0"/>
        <w:autoSpaceDE/>
        <w:autoSpaceDN/>
        <w:bidi w:val="0"/>
        <w:adjustRightInd/>
        <w:snapToGrid/>
        <w:spacing w:before="0" w:beforeLines="0" w:line="560" w:lineRule="exact"/>
        <w:ind w:firstLine="640" w:firstLineChars="200"/>
        <w:textAlignment w:val="auto"/>
        <w:outlineLvl w:val="0"/>
        <w:rPr>
          <w:rFonts w:hint="eastAsia" w:ascii="楷体" w:hAnsi="楷体" w:eastAsia="楷体" w:cs="楷体"/>
          <w:b w:val="0"/>
          <w:bCs w:val="0"/>
          <w:sz w:val="32"/>
          <w:szCs w:val="32"/>
          <w:highlight w:val="none"/>
          <w:u w:val="none"/>
          <w:lang w:eastAsia="zh-CN"/>
        </w:rPr>
      </w:pPr>
      <w:r>
        <w:rPr>
          <w:rFonts w:hint="eastAsia" w:ascii="楷体" w:hAnsi="楷体" w:eastAsia="楷体" w:cs="楷体"/>
          <w:b w:val="0"/>
          <w:bCs w:val="0"/>
          <w:sz w:val="32"/>
          <w:szCs w:val="32"/>
          <w:highlight w:val="none"/>
          <w:u w:val="none"/>
          <w:lang w:eastAsia="zh-CN"/>
        </w:rPr>
        <w:t>（一）项目背景、目的、意义</w:t>
      </w:r>
    </w:p>
    <w:p w14:paraId="6AAB1D2A">
      <w:pPr>
        <w:pageBreakBefore w:val="0"/>
        <w:kinsoku/>
        <w:wordWrap/>
        <w:overflowPunct/>
        <w:topLinePunct w:val="0"/>
        <w:bidi w:val="0"/>
        <w:spacing w:line="560" w:lineRule="exact"/>
        <w:ind w:firstLine="643" w:firstLineChars="200"/>
        <w:rPr>
          <w:rFonts w:hint="eastAsia" w:ascii="仿宋_GB2312" w:hAnsi="仿宋_GB2312" w:eastAsia="仿宋_GB2312" w:cs="仿宋_GB2312"/>
          <w:b/>
          <w:bCs/>
          <w:sz w:val="32"/>
          <w:u w:val="none"/>
          <w:lang w:eastAsia="zh-CN"/>
        </w:rPr>
      </w:pPr>
      <w:r>
        <w:rPr>
          <w:rFonts w:hint="eastAsia" w:ascii="仿宋_GB2312" w:hAnsi="仿宋_GB2312" w:eastAsia="仿宋_GB2312" w:cs="仿宋_GB2312"/>
          <w:b/>
          <w:bCs/>
          <w:sz w:val="32"/>
          <w:u w:val="none"/>
          <w:lang w:val="en-US" w:eastAsia="zh-CN"/>
        </w:rPr>
        <w:t>一是</w:t>
      </w:r>
      <w:r>
        <w:rPr>
          <w:rFonts w:hint="eastAsia" w:ascii="仿宋_GB2312" w:hAnsi="仿宋_GB2312" w:eastAsia="仿宋_GB2312" w:cs="仿宋_GB2312"/>
          <w:b/>
          <w:bCs/>
          <w:sz w:val="32"/>
          <w:u w:val="none"/>
          <w:lang w:eastAsia="zh-CN"/>
        </w:rPr>
        <w:t>贯彻落实上级决策部门最新部署的基础举措。</w:t>
      </w:r>
    </w:p>
    <w:p w14:paraId="1058C2B6">
      <w:pPr>
        <w:pageBreakBefore w:val="0"/>
        <w:kinsoku/>
        <w:wordWrap/>
        <w:overflowPunct/>
        <w:topLinePunct w:val="0"/>
        <w:bidi w:val="0"/>
        <w:spacing w:line="560" w:lineRule="exact"/>
        <w:ind w:firstLine="640" w:firstLineChars="200"/>
        <w:rPr>
          <w:rFonts w:hint="eastAsia" w:ascii="仿宋_GB2312" w:hAnsi="仿宋_GB2312" w:eastAsia="仿宋_GB2312" w:cs="仿宋_GB2312"/>
          <w:b w:val="0"/>
          <w:bCs w:val="0"/>
          <w:sz w:val="32"/>
          <w:u w:val="none"/>
          <w:lang w:eastAsia="zh-CN"/>
        </w:rPr>
      </w:pPr>
      <w:r>
        <w:rPr>
          <w:rFonts w:hint="eastAsia" w:ascii="仿宋_GB2312" w:hAnsi="仿宋_GB2312" w:eastAsia="仿宋_GB2312" w:cs="仿宋_GB2312"/>
          <w:b w:val="0"/>
          <w:bCs w:val="0"/>
          <w:sz w:val="32"/>
          <w:u w:val="none"/>
          <w:lang w:eastAsia="zh-CN"/>
        </w:rPr>
        <w:t>编制广州市市场监督管理“十五五”规划，是全面贯彻落实习近平总书记关于全面深化改革一系列重要讲话精神的实际举措，也是对未来五年全市市场监督管理发展的系统谋划。“十五五”时期（2026—2030年），是我国基本实现社会主义现代化承前启后的关键时期，是进一步全面深化改革推进中国式现代化的重要阶段，也是广州“二次创业”再出发，以新发展理念引领高质量发展、以新质生产力支撑高质量发展，奋力实现“排头兵、领头羊、火车头”标高追求，加快实现老城市新活力、“四个出新出彩”的紧要关头。科学谋划、精心设计“十五五”时期我市市场监督管理事业发展，是完整准确全面贯彻新发展理念的必要前提。</w:t>
      </w:r>
    </w:p>
    <w:p w14:paraId="6239E227">
      <w:pPr>
        <w:pageBreakBefore w:val="0"/>
        <w:kinsoku/>
        <w:wordWrap/>
        <w:overflowPunct/>
        <w:topLinePunct w:val="0"/>
        <w:bidi w:val="0"/>
        <w:spacing w:line="560" w:lineRule="exact"/>
        <w:ind w:firstLine="643" w:firstLineChars="200"/>
        <w:rPr>
          <w:rFonts w:hint="eastAsia" w:eastAsia="仿宋_GB2312" w:cs="Times New Roman"/>
          <w:b w:val="0"/>
          <w:bCs w:val="0"/>
          <w:sz w:val="32"/>
          <w:szCs w:val="32"/>
          <w:u w:val="none"/>
          <w:lang w:eastAsia="zh-CN"/>
        </w:rPr>
      </w:pPr>
      <w:r>
        <w:rPr>
          <w:rFonts w:hint="eastAsia" w:ascii="仿宋_GB2312" w:hAnsi="仿宋_GB2312" w:eastAsia="仿宋_GB2312" w:cs="仿宋_GB2312"/>
          <w:b/>
          <w:bCs/>
          <w:sz w:val="32"/>
          <w:u w:val="none"/>
          <w:lang w:val="en-US" w:eastAsia="zh-CN"/>
        </w:rPr>
        <w:t>二是</w:t>
      </w:r>
      <w:r>
        <w:rPr>
          <w:rFonts w:hint="eastAsia" w:ascii="仿宋_GB2312" w:hAnsi="仿宋_GB2312" w:eastAsia="仿宋_GB2312" w:cs="仿宋_GB2312"/>
          <w:b/>
          <w:bCs/>
          <w:sz w:val="32"/>
          <w:u w:val="none"/>
          <w:lang w:eastAsia="zh-CN"/>
        </w:rPr>
        <w:t>助力</w:t>
      </w:r>
      <w:r>
        <w:rPr>
          <w:rFonts w:hint="eastAsia" w:ascii="仿宋_GB2312" w:hAnsi="仿宋_GB2312" w:eastAsia="仿宋_GB2312" w:cs="仿宋_GB2312"/>
          <w:b/>
          <w:bCs/>
          <w:sz w:val="32"/>
          <w:u w:val="none"/>
          <w:lang w:val="en-US" w:eastAsia="zh-CN"/>
        </w:rPr>
        <w:t>我市开创高质量发展新局面</w:t>
      </w:r>
      <w:r>
        <w:rPr>
          <w:rFonts w:hint="eastAsia" w:ascii="仿宋_GB2312" w:hAnsi="仿宋_GB2312" w:eastAsia="仿宋_GB2312" w:cs="仿宋_GB2312"/>
          <w:b/>
          <w:bCs/>
          <w:sz w:val="32"/>
          <w:u w:val="none"/>
          <w:lang w:eastAsia="zh-CN"/>
        </w:rPr>
        <w:t>的迫切要求。</w:t>
      </w:r>
      <w:r>
        <w:rPr>
          <w:rFonts w:hint="eastAsia" w:ascii="仿宋_GB2312" w:hAnsi="仿宋_GB2312" w:eastAsia="仿宋_GB2312" w:cs="仿宋_GB2312"/>
          <w:b w:val="0"/>
          <w:bCs w:val="0"/>
          <w:sz w:val="32"/>
          <w:u w:val="none"/>
          <w:lang w:val="en-US" w:eastAsia="zh-CN"/>
        </w:rPr>
        <w:t>编制好广州市市场监督管理“十五五”规划,有利于进一步全面深化市场监管领域改革创新，进一步促进营商环境市场化、法治化、国际化，进一步增强人民群众获得感、幸福感、安全感，加快推动市场监管治理体系和治理能力现代化，</w:t>
      </w:r>
      <w:r>
        <w:rPr>
          <w:rFonts w:hint="eastAsia" w:ascii="仿宋_GB2312" w:hAnsi="仿宋_GB2312" w:eastAsia="仿宋_GB2312" w:cs="仿宋_GB2312"/>
          <w:b w:val="0"/>
          <w:bCs w:val="0"/>
          <w:sz w:val="32"/>
          <w:szCs w:val="32"/>
          <w:u w:val="none"/>
          <w:lang w:eastAsia="zh-CN"/>
        </w:rPr>
        <w:t>助力激发全市市场监管系统改革动力活力，赋能我市经济社会高质量发展，</w:t>
      </w:r>
      <w:r>
        <w:rPr>
          <w:rFonts w:hint="eastAsia" w:ascii="仿宋_GB2312" w:hAnsi="仿宋_GB2312" w:eastAsia="仿宋_GB2312" w:cs="仿宋_GB2312"/>
          <w:b w:val="0"/>
          <w:bCs w:val="0"/>
          <w:sz w:val="32"/>
          <w:u w:val="none"/>
          <w:lang w:eastAsia="zh-CN"/>
        </w:rPr>
        <w:t>绘就全面建设社会主义现代化新征程第一个五年的全市市场监督管理发展蓝图，意义重大、影响深远</w:t>
      </w:r>
      <w:r>
        <w:rPr>
          <w:rFonts w:hint="eastAsia" w:eastAsia="仿宋_GB2312" w:cs="Times New Roman"/>
          <w:b w:val="0"/>
          <w:bCs w:val="0"/>
          <w:sz w:val="32"/>
          <w:szCs w:val="32"/>
          <w:u w:val="none"/>
          <w:lang w:eastAsia="zh-CN"/>
        </w:rPr>
        <w:t>。</w:t>
      </w:r>
    </w:p>
    <w:p w14:paraId="52E70CD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outlineLvl w:val="9"/>
        <w:rPr>
          <w:rFonts w:hint="eastAsia" w:eastAsia="仿宋_GB2312" w:cs="Times New Roman"/>
          <w:b w:val="0"/>
          <w:bCs w:val="0"/>
          <w:sz w:val="32"/>
          <w:szCs w:val="32"/>
          <w:u w:val="none"/>
          <w:lang w:val="en-US" w:eastAsia="zh-CN"/>
        </w:rPr>
      </w:pPr>
      <w:r>
        <w:rPr>
          <w:rFonts w:hint="eastAsia" w:ascii="仿宋_GB2312" w:hAnsi="仿宋_GB2312" w:eastAsia="仿宋_GB2312" w:cs="仿宋_GB2312"/>
          <w:b/>
          <w:bCs/>
          <w:sz w:val="32"/>
          <w:u w:val="none"/>
          <w:lang w:val="en-US" w:eastAsia="zh-CN"/>
        </w:rPr>
        <w:t>三是做好发展研究</w:t>
      </w:r>
      <w:r>
        <w:rPr>
          <w:rFonts w:hint="eastAsia" w:ascii="仿宋_GB2312" w:hAnsi="仿宋_GB2312" w:eastAsia="仿宋_GB2312" w:cs="仿宋_GB2312"/>
          <w:b/>
          <w:bCs/>
          <w:sz w:val="32"/>
          <w:u w:val="none"/>
          <w:lang w:eastAsia="zh-CN"/>
        </w:rPr>
        <w:t>工作的应有之义。</w:t>
      </w:r>
      <w:r>
        <w:rPr>
          <w:rFonts w:hint="eastAsia" w:ascii="仿宋_GB2312" w:hAnsi="仿宋_GB2312" w:eastAsia="仿宋_GB2312" w:cs="仿宋_GB2312"/>
          <w:b w:val="0"/>
          <w:bCs w:val="0"/>
          <w:sz w:val="32"/>
          <w:u w:val="none"/>
          <w:lang w:eastAsia="zh-CN"/>
        </w:rPr>
        <w:t>编制</w:t>
      </w:r>
      <w:r>
        <w:rPr>
          <w:rFonts w:hint="eastAsia" w:ascii="仿宋_GB2312" w:hAnsi="仿宋_GB2312" w:eastAsia="仿宋_GB2312" w:cs="仿宋_GB2312"/>
          <w:b w:val="0"/>
          <w:bCs w:val="0"/>
          <w:sz w:val="32"/>
          <w:szCs w:val="32"/>
          <w:u w:val="none"/>
          <w:lang w:eastAsia="zh-CN"/>
        </w:rPr>
        <w:t>广州市市场监督管理“十五五”规划是广州市市场监督管理局的重点工作，开展市场监管编制规划相关研究也是发展研究中心作为市场监管智库的重要职能。切实关注我市市场监管“十五五”期间重大发展路径，能够为高质量完成中心相关课题提供强有力的观点支撑，也为中心明确高质量发展主题研究方向提供重要的前瞻参考，</w:t>
      </w:r>
      <w:r>
        <w:rPr>
          <w:rFonts w:hint="eastAsia" w:eastAsia="仿宋_GB2312" w:cs="Times New Roman"/>
          <w:b w:val="0"/>
          <w:bCs w:val="0"/>
          <w:sz w:val="32"/>
          <w:szCs w:val="32"/>
          <w:u w:val="none"/>
          <w:lang w:eastAsia="zh-CN"/>
        </w:rPr>
        <w:t>有利于精准提高</w:t>
      </w:r>
      <w:r>
        <w:rPr>
          <w:rFonts w:hint="eastAsia" w:eastAsia="仿宋_GB2312" w:cs="Times New Roman"/>
          <w:b w:val="0"/>
          <w:bCs w:val="0"/>
          <w:sz w:val="32"/>
          <w:szCs w:val="32"/>
          <w:u w:val="none"/>
          <w:lang w:val="en-US" w:eastAsia="zh-CN"/>
        </w:rPr>
        <w:t>全市市场监管系统</w:t>
      </w:r>
      <w:r>
        <w:rPr>
          <w:rFonts w:hint="eastAsia" w:eastAsia="仿宋_GB2312" w:cs="Times New Roman"/>
          <w:b w:val="0"/>
          <w:bCs w:val="0"/>
          <w:sz w:val="32"/>
          <w:szCs w:val="32"/>
          <w:u w:val="none"/>
          <w:lang w:eastAsia="zh-CN"/>
        </w:rPr>
        <w:t>重点工作质效，是中心履职尽责的应有之义。</w:t>
      </w:r>
    </w:p>
    <w:p w14:paraId="44FA41C1">
      <w:pPr>
        <w:keepNext w:val="0"/>
        <w:keepLines w:val="0"/>
        <w:pageBreakBefore w:val="0"/>
        <w:widowControl w:val="0"/>
        <w:kinsoku/>
        <w:wordWrap/>
        <w:overflowPunct/>
        <w:topLinePunct w:val="0"/>
        <w:autoSpaceDE/>
        <w:autoSpaceDN/>
        <w:bidi w:val="0"/>
        <w:adjustRightInd/>
        <w:snapToGrid/>
        <w:spacing w:before="0" w:beforeLines="0" w:line="560" w:lineRule="exact"/>
        <w:ind w:firstLine="640" w:firstLineChars="200"/>
        <w:textAlignment w:val="auto"/>
        <w:outlineLvl w:val="0"/>
        <w:rPr>
          <w:rFonts w:hint="eastAsia" w:ascii="楷体" w:hAnsi="楷体" w:eastAsia="楷体" w:cs="楷体"/>
          <w:b w:val="0"/>
          <w:bCs w:val="0"/>
          <w:sz w:val="32"/>
          <w:szCs w:val="32"/>
          <w:u w:val="none"/>
          <w:lang w:eastAsia="zh-CN"/>
        </w:rPr>
      </w:pPr>
      <w:r>
        <w:rPr>
          <w:rFonts w:hint="eastAsia" w:ascii="楷体" w:hAnsi="楷体" w:eastAsia="楷体" w:cs="楷体"/>
          <w:b w:val="0"/>
          <w:bCs w:val="0"/>
          <w:sz w:val="32"/>
          <w:szCs w:val="32"/>
          <w:u w:val="none"/>
          <w:lang w:eastAsia="zh-CN"/>
        </w:rPr>
        <w:t>（二）项目要求</w:t>
      </w:r>
    </w:p>
    <w:p w14:paraId="6F42350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1.路径目标</w:t>
      </w:r>
    </w:p>
    <w:p w14:paraId="4EC6B2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u w:val="none"/>
          <w:lang w:eastAsia="zh-CN"/>
        </w:rPr>
      </w:pPr>
      <w:r>
        <w:rPr>
          <w:rFonts w:hint="eastAsia" w:ascii="仿宋_GB2312" w:hAnsi="仿宋_GB2312" w:eastAsia="仿宋_GB2312" w:cs="仿宋_GB2312"/>
          <w:sz w:val="32"/>
          <w:szCs w:val="32"/>
          <w:u w:val="none"/>
          <w:lang w:val="en-US" w:eastAsia="zh-CN"/>
        </w:rPr>
        <w:t>以习近平新时代中国特色社会主义思想为指导，全面学习贯彻党的二十大和二十届历次全会精神，认真贯彻落实习近平总书记视察广东重要讲话重要指示精神，锚定“排头兵、领头羊、火车头”标高追求，以深入推进市场监管治理体系和治理能力现代化为目标，统筹效率和公平、活力和秩序、发展和安全，聚焦事关全市市场监管事业长远发展的重大改革、重大政策和重大项目，科学谋划、精心设计“十五五”时期我市市场监管事业发展的宏伟蓝图，有效发挥规划对市场监管工作的战略导向作用，为广州在推进中国式现代化建设中走在前列、当好示范作出市场监管新贡献。</w:t>
      </w:r>
    </w:p>
    <w:p w14:paraId="0AD443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b w:val="0"/>
          <w:bCs w:val="0"/>
          <w:sz w:val="32"/>
          <w:szCs w:val="32"/>
          <w:u w:val="none"/>
          <w:lang w:val="en-US" w:eastAsia="zh-CN"/>
        </w:rPr>
        <w:t>2.内容要求</w:t>
      </w:r>
    </w:p>
    <w:p w14:paraId="0777011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u w:val="none"/>
          <w:lang w:val="en-US" w:eastAsia="zh-CN"/>
        </w:rPr>
        <w:t>坚持深入一线、掌握第一手资料，坚持对标先进、创造性转化应用，扎实做好调查研究工作，找准事关全局和长远发展的重大矛盾和问题，科学合理提出“十五五”目标指标和任务举措等。具体内容要求如下：</w:t>
      </w:r>
    </w:p>
    <w:p w14:paraId="09ECB4AA">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3" w:firstLineChars="200"/>
        <w:jc w:val="both"/>
        <w:textAlignment w:val="auto"/>
        <w:outlineLvl w:val="9"/>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b/>
          <w:bCs/>
          <w:sz w:val="32"/>
          <w:szCs w:val="32"/>
          <w:u w:val="none"/>
          <w:lang w:val="en-US" w:eastAsia="zh-CN"/>
        </w:rPr>
        <w:t>加强重大问题研究</w:t>
      </w:r>
      <w:r>
        <w:rPr>
          <w:rFonts w:hint="eastAsia" w:ascii="仿宋_GB2312" w:hAnsi="仿宋_GB2312" w:eastAsia="仿宋_GB2312" w:cs="仿宋_GB2312"/>
          <w:sz w:val="32"/>
          <w:szCs w:val="32"/>
          <w:u w:val="none"/>
          <w:lang w:val="en-US" w:eastAsia="zh-CN"/>
        </w:rPr>
        <w:t>。要善于研判大势、谋全局，在当前国内外发展环境错综复杂、不确定性因素明显增多的大背景下，既要形成总体性、趋势性判断，又要找准事关全局和长远发展的重大问题和瓶颈短板。要加强市内外调研，深入了解基层一线的诉求，把问题研究深、研究透，提出切实可行的解决方案。就规划的主要指标、重大项目、重大平台、重大政策等实施的必要性、可行性和效果影响进行深入论证，科学测算规划目标并做好平衡协调，充分考虑资金、能源等要素支撑条件、资源环境约束和重大风险防控等因素。要结合任务需求，合理设置研究课题，加强前期调研，掌握第一手资料，找准事关全局和长远发展的重大矛盾和问题，形成一些总体性、趋势性判断，提出切实可行的举措。</w:t>
      </w:r>
    </w:p>
    <w:p w14:paraId="05FFA5B3">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3" w:firstLineChars="200"/>
        <w:jc w:val="both"/>
        <w:textAlignment w:val="auto"/>
        <w:outlineLvl w:val="9"/>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b/>
          <w:bCs/>
          <w:sz w:val="32"/>
          <w:szCs w:val="32"/>
          <w:u w:val="none"/>
          <w:lang w:val="en-US" w:eastAsia="zh-CN"/>
        </w:rPr>
        <w:t>做好“四个重大”策划。</w:t>
      </w:r>
      <w:r>
        <w:rPr>
          <w:rFonts w:hint="eastAsia" w:ascii="仿宋_GB2312" w:hAnsi="仿宋_GB2312" w:eastAsia="仿宋_GB2312" w:cs="仿宋_GB2312"/>
          <w:sz w:val="32"/>
          <w:szCs w:val="32"/>
          <w:u w:val="none"/>
          <w:lang w:val="en-US" w:eastAsia="zh-CN"/>
        </w:rPr>
        <w:t>要认真总结“十四五”规划编制实施经验，深入开展“十五五”重要内容研究论证。</w:t>
      </w:r>
      <w:r>
        <w:rPr>
          <w:rFonts w:hint="eastAsia" w:ascii="仿宋_GB2312" w:hAnsi="仿宋_GB2312" w:eastAsia="仿宋_GB2312" w:cs="仿宋_GB2312"/>
          <w:b/>
          <w:bCs/>
          <w:sz w:val="32"/>
          <w:szCs w:val="32"/>
          <w:u w:val="none"/>
          <w:lang w:val="en-US" w:eastAsia="zh-CN"/>
        </w:rPr>
        <w:t>重大指标</w:t>
      </w:r>
      <w:r>
        <w:rPr>
          <w:rFonts w:hint="eastAsia" w:ascii="仿宋_GB2312" w:hAnsi="仿宋_GB2312" w:eastAsia="仿宋_GB2312" w:cs="仿宋_GB2312"/>
          <w:sz w:val="32"/>
          <w:szCs w:val="32"/>
          <w:u w:val="none"/>
          <w:lang w:val="en-US" w:eastAsia="zh-CN"/>
        </w:rPr>
        <w:t>设置既要体现与“两个一百年奋斗目标”的有机衔接，也要体现老城市新活力、粤港澳大湾区建设等目标定位。</w:t>
      </w:r>
      <w:r>
        <w:rPr>
          <w:rFonts w:hint="eastAsia" w:ascii="仿宋_GB2312" w:hAnsi="仿宋_GB2312" w:eastAsia="仿宋_GB2312" w:cs="仿宋_GB2312"/>
          <w:b/>
          <w:bCs/>
          <w:sz w:val="32"/>
          <w:szCs w:val="32"/>
          <w:u w:val="none"/>
          <w:lang w:val="en-US" w:eastAsia="zh-CN"/>
        </w:rPr>
        <w:t>重大平台</w:t>
      </w:r>
      <w:r>
        <w:rPr>
          <w:rFonts w:hint="eastAsia" w:ascii="仿宋_GB2312" w:hAnsi="仿宋_GB2312" w:eastAsia="仿宋_GB2312" w:cs="仿宋_GB2312"/>
          <w:sz w:val="32"/>
          <w:szCs w:val="32"/>
          <w:u w:val="none"/>
          <w:lang w:val="en-US" w:eastAsia="zh-CN"/>
        </w:rPr>
        <w:t>选取宜精不宜多，既要集全系统之力打造若干对全市经济发展起引擎带动的平台，又要发挥各区主战场作用。</w:t>
      </w:r>
      <w:r>
        <w:rPr>
          <w:rFonts w:hint="eastAsia" w:ascii="仿宋_GB2312" w:hAnsi="仿宋_GB2312" w:eastAsia="仿宋_GB2312" w:cs="仿宋_GB2312"/>
          <w:b/>
          <w:bCs/>
          <w:sz w:val="32"/>
          <w:szCs w:val="32"/>
          <w:u w:val="none"/>
          <w:lang w:val="en-US" w:eastAsia="zh-CN"/>
        </w:rPr>
        <w:t>重大项目</w:t>
      </w:r>
      <w:r>
        <w:rPr>
          <w:rFonts w:hint="eastAsia" w:ascii="仿宋_GB2312" w:hAnsi="仿宋_GB2312" w:eastAsia="仿宋_GB2312" w:cs="仿宋_GB2312"/>
          <w:sz w:val="32"/>
          <w:szCs w:val="32"/>
          <w:u w:val="none"/>
          <w:lang w:val="en-US" w:eastAsia="zh-CN"/>
        </w:rPr>
        <w:t>策划要注重关系全局发展、带动作用强，做好项目纳入规划的前期研究及论证工作。</w:t>
      </w:r>
      <w:r>
        <w:rPr>
          <w:rFonts w:hint="eastAsia" w:ascii="仿宋_GB2312" w:hAnsi="仿宋_GB2312" w:eastAsia="仿宋_GB2312" w:cs="仿宋_GB2312"/>
          <w:b/>
          <w:bCs/>
          <w:sz w:val="32"/>
          <w:szCs w:val="32"/>
          <w:u w:val="none"/>
          <w:lang w:val="en-US" w:eastAsia="zh-CN"/>
        </w:rPr>
        <w:t>重大改革</w:t>
      </w:r>
      <w:r>
        <w:rPr>
          <w:rFonts w:hint="eastAsia" w:ascii="仿宋_GB2312" w:hAnsi="仿宋_GB2312" w:eastAsia="仿宋_GB2312" w:cs="仿宋_GB2312"/>
          <w:sz w:val="32"/>
          <w:szCs w:val="32"/>
          <w:u w:val="none"/>
          <w:lang w:val="en-US" w:eastAsia="zh-CN"/>
        </w:rPr>
        <w:t>提出要创新性强、可复制、可推广，切实提高规划的前瞻性、可操作性。</w:t>
      </w:r>
    </w:p>
    <w:p w14:paraId="771E9E8E">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3" w:firstLineChars="200"/>
        <w:jc w:val="both"/>
        <w:textAlignment w:val="auto"/>
        <w:outlineLvl w:val="9"/>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b/>
          <w:bCs/>
          <w:sz w:val="32"/>
          <w:szCs w:val="32"/>
          <w:u w:val="none"/>
          <w:lang w:val="en-US" w:eastAsia="zh-CN"/>
        </w:rPr>
        <w:t>体现广州市场监管特色。</w:t>
      </w:r>
      <w:r>
        <w:rPr>
          <w:rFonts w:hint="eastAsia" w:ascii="仿宋_GB2312" w:hAnsi="仿宋_GB2312" w:eastAsia="仿宋_GB2312" w:cs="仿宋_GB2312"/>
          <w:sz w:val="32"/>
          <w:szCs w:val="32"/>
          <w:u w:val="none"/>
          <w:lang w:val="en-US" w:eastAsia="zh-CN"/>
        </w:rPr>
        <w:t>根据广州市发展特点，研究如何成为服务统一大市场建设，当好公平竞争的维护者;如何深化放管服改革，当好经营主体发展壮大的服务者;如何强化质量支撑和标准引领，当好高质量发展的践行者;如何构建高效的知识产权综合管理体制，当好创新驱动发展的推动者;如何坚持监管为民，当好安全稳定市场环境的守护者。</w:t>
      </w:r>
    </w:p>
    <w:p w14:paraId="475F6B72">
      <w:pPr>
        <w:keepNext w:val="0"/>
        <w:keepLines w:val="0"/>
        <w:pageBreakBefore w:val="0"/>
        <w:widowControl w:val="0"/>
        <w:kinsoku/>
        <w:wordWrap/>
        <w:overflowPunct/>
        <w:topLinePunct w:val="0"/>
        <w:autoSpaceDE/>
        <w:autoSpaceDN/>
        <w:bidi w:val="0"/>
        <w:adjustRightInd/>
        <w:snapToGrid/>
        <w:spacing w:before="0" w:beforeLines="0" w:line="560" w:lineRule="exact"/>
        <w:ind w:firstLine="640" w:firstLineChars="200"/>
        <w:textAlignment w:val="auto"/>
        <w:outlineLvl w:val="0"/>
        <w:rPr>
          <w:rFonts w:hint="eastAsia" w:ascii="楷体" w:hAnsi="楷体" w:eastAsia="楷体" w:cs="楷体"/>
          <w:b w:val="0"/>
          <w:bCs w:val="0"/>
          <w:sz w:val="32"/>
          <w:szCs w:val="32"/>
          <w:u w:val="none"/>
          <w:lang w:eastAsia="zh-CN"/>
        </w:rPr>
      </w:pPr>
      <w:r>
        <w:rPr>
          <w:rFonts w:hint="eastAsia" w:ascii="楷体" w:hAnsi="楷体" w:eastAsia="楷体" w:cs="楷体"/>
          <w:b w:val="0"/>
          <w:bCs w:val="0"/>
          <w:sz w:val="32"/>
          <w:szCs w:val="32"/>
          <w:u w:val="none"/>
          <w:lang w:eastAsia="zh-CN"/>
        </w:rPr>
        <w:t>（三）研究成果</w:t>
      </w:r>
    </w:p>
    <w:p w14:paraId="11490F6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1.形成不少于1万字的广州市市场监督管理“十四五”规划实施成效总结评估报告1份。</w:t>
      </w:r>
    </w:p>
    <w:p w14:paraId="171BB11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highlight w:val="yellow"/>
          <w:u w:val="none"/>
          <w:lang w:val="en-US" w:eastAsia="zh-CN"/>
        </w:rPr>
      </w:pPr>
      <w:r>
        <w:rPr>
          <w:rFonts w:hint="eastAsia" w:ascii="仿宋_GB2312" w:hAnsi="仿宋_GB2312" w:eastAsia="仿宋_GB2312" w:cs="仿宋_GB2312"/>
          <w:b w:val="0"/>
          <w:bCs w:val="0"/>
          <w:sz w:val="32"/>
          <w:szCs w:val="32"/>
          <w:u w:val="none"/>
          <w:lang w:val="en-US" w:eastAsia="zh-CN"/>
        </w:rPr>
        <w:t>2.</w:t>
      </w:r>
      <w:r>
        <w:rPr>
          <w:rFonts w:hint="eastAsia" w:ascii="仿宋_GB2312" w:hAnsi="仿宋_GB2312" w:eastAsia="仿宋_GB2312" w:cs="仿宋_GB2312"/>
          <w:bCs/>
          <w:sz w:val="32"/>
          <w:szCs w:val="32"/>
          <w:u w:val="none"/>
          <w:lang w:val="en-US" w:eastAsia="zh-CN"/>
        </w:rPr>
        <w:t>形成一个具有前瞻性、连续性、可操作性的，能适应新形势变化的</w:t>
      </w:r>
      <w:r>
        <w:rPr>
          <w:rFonts w:hint="eastAsia" w:ascii="仿宋_GB2312" w:hAnsi="仿宋_GB2312" w:eastAsia="仿宋_GB2312" w:cs="仿宋_GB2312"/>
          <w:b w:val="0"/>
          <w:bCs w:val="0"/>
          <w:sz w:val="32"/>
          <w:szCs w:val="32"/>
          <w:u w:val="none"/>
          <w:lang w:val="en-US" w:eastAsia="zh-CN"/>
        </w:rPr>
        <w:t>广州市市场监督管理“十五五”规划</w:t>
      </w:r>
      <w:r>
        <w:rPr>
          <w:rFonts w:hint="eastAsia" w:ascii="仿宋_GB2312" w:hAnsi="仿宋_GB2312" w:eastAsia="仿宋_GB2312" w:cs="仿宋_GB2312"/>
          <w:bCs/>
          <w:sz w:val="32"/>
          <w:szCs w:val="32"/>
          <w:u w:val="none"/>
          <w:lang w:val="en-US" w:eastAsia="zh-CN"/>
        </w:rPr>
        <w:t>研究报告和规划（送审稿）各1份</w:t>
      </w:r>
      <w:r>
        <w:rPr>
          <w:rFonts w:hint="eastAsia" w:ascii="仿宋_GB2312" w:hAnsi="仿宋_GB2312" w:eastAsia="仿宋_GB2312" w:cs="仿宋_GB2312"/>
          <w:bCs/>
          <w:sz w:val="32"/>
          <w:szCs w:val="32"/>
          <w:highlight w:val="none"/>
          <w:u w:val="none"/>
          <w:lang w:val="en-US" w:eastAsia="zh-CN"/>
        </w:rPr>
        <w:t>。</w:t>
      </w:r>
    </w:p>
    <w:p w14:paraId="61911F4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u w:val="none"/>
        </w:rPr>
      </w:pPr>
      <w:r>
        <w:rPr>
          <w:rFonts w:hint="eastAsia" w:ascii="黑体" w:hAnsi="黑体" w:eastAsia="黑体" w:cs="黑体"/>
          <w:sz w:val="32"/>
          <w:szCs w:val="32"/>
          <w:u w:val="none"/>
          <w:lang w:eastAsia="zh-CN"/>
        </w:rPr>
        <w:t>四</w:t>
      </w:r>
      <w:r>
        <w:rPr>
          <w:rFonts w:hint="eastAsia" w:ascii="黑体" w:hAnsi="黑体" w:eastAsia="黑体" w:cs="黑体"/>
          <w:sz w:val="32"/>
          <w:szCs w:val="32"/>
          <w:u w:val="none"/>
        </w:rPr>
        <w:t>、进度要求</w:t>
      </w:r>
    </w:p>
    <w:p w14:paraId="5CB8DDD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广州市市场监督管理“十五五”规划编制工作自合同签订之日起，至2026年9月止，时间步骤如下：</w:t>
      </w:r>
    </w:p>
    <w:p w14:paraId="37E97B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（一）自合同签订之日起至12月，全面梳理广州市市场监督管理发展现状，梳理主要指标完成情况，总结市场监督管理工作成效和亮点，分析存在的突出问题、短板和深层次原因。</w:t>
      </w:r>
    </w:p>
    <w:p w14:paraId="245319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二）2025年1月至2025年7月，提交广州市市场监督管理“十四五”规划实施成效总结评估报告；根据“十五五”规划编制工作方案，在书面收集资料、调研座谈等基础上，形成规划基本思路与重点问题研究报告、规划草案及说明等阶段性成果，按要求配合将相关阶段性成果报市发展改革委，为市规划纲要编制提供支撑。</w:t>
      </w:r>
    </w:p>
    <w:p w14:paraId="46AC2D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三）2025年8月至12月，形成“十五五”规划征求意见稿，多渠道广泛征求并合理采纳市有关部门、各区和社会公众意见，组织开展专家论证等工作，细化落实国家、省对口规划设想，修改完善形成送审稿以及研究报告终稿。</w:t>
      </w:r>
    </w:p>
    <w:p w14:paraId="7C2992D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（四）2026年9月底前，配合报市发展改革委与市规划纲要衔接，并与上级对口规划衔接。</w:t>
      </w:r>
    </w:p>
    <w:p w14:paraId="4308DA6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u w:val="none"/>
        </w:rPr>
      </w:pPr>
      <w:r>
        <w:rPr>
          <w:rFonts w:hint="eastAsia" w:ascii="黑体" w:hAnsi="黑体" w:eastAsia="黑体" w:cs="黑体"/>
          <w:sz w:val="32"/>
          <w:szCs w:val="32"/>
          <w:u w:val="none"/>
          <w:lang w:eastAsia="zh-CN"/>
        </w:rPr>
        <w:t>五</w:t>
      </w:r>
      <w:r>
        <w:rPr>
          <w:rFonts w:hint="eastAsia" w:ascii="黑体" w:hAnsi="黑体" w:eastAsia="黑体" w:cs="黑体"/>
          <w:sz w:val="32"/>
          <w:szCs w:val="32"/>
          <w:u w:val="none"/>
        </w:rPr>
        <w:t>、合格供应商要求</w:t>
      </w:r>
    </w:p>
    <w:p w14:paraId="781CB4F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（一）供应商必须是具有独立承担民事责任能力的在中华人民共和国境内注册的法人或其它组织（投标时提供相关证明文件）。</w:t>
      </w:r>
    </w:p>
    <w:p w14:paraId="3554910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（二）项目组负责人主持过跨地市的数据调查项目；项目组成员不少于</w:t>
      </w:r>
      <w:r>
        <w:rPr>
          <w:rFonts w:hint="eastAsia" w:ascii="仿宋_GB2312" w:hAnsi="仿宋_GB2312" w:eastAsia="仿宋_GB2312" w:cs="仿宋_GB2312"/>
          <w:b w:val="0"/>
          <w:bCs w:val="0"/>
          <w:sz w:val="32"/>
          <w:szCs w:val="32"/>
          <w:highlight w:val="none"/>
          <w:u w:val="none"/>
          <w:lang w:val="en-US" w:eastAsia="zh-CN"/>
        </w:rPr>
        <w:t>10</w:t>
      </w:r>
      <w:r>
        <w:rPr>
          <w:rFonts w:hint="eastAsia" w:ascii="仿宋_GB2312" w:hAnsi="仿宋_GB2312" w:eastAsia="仿宋_GB2312" w:cs="仿宋_GB2312"/>
          <w:b w:val="0"/>
          <w:bCs w:val="0"/>
          <w:sz w:val="32"/>
          <w:szCs w:val="32"/>
          <w:u w:val="none"/>
          <w:lang w:val="en-US" w:eastAsia="zh-CN"/>
        </w:rPr>
        <w:t>人，并设置专人专职专岗负责项目运行沟通对接。</w:t>
      </w:r>
    </w:p>
    <w:p w14:paraId="0581394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（三）项目组成员必须按照党的二十大、二十届历次全会精神以及习近平新时代中国特色社会主义思想开展调查分析。</w:t>
      </w:r>
    </w:p>
    <w:p w14:paraId="28B56B5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（四）根据项目进度的需要，在项目实施过程中，如果广州市市场监督管理发展研究中心认为投标人提供的专业技术人员在服务水平和服务质量上达不到要求，可以要求投标人无条件更换专业技术人员。</w:t>
      </w:r>
    </w:p>
    <w:p w14:paraId="4AE347C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val="0"/>
          <w:bCs w:val="0"/>
          <w:sz w:val="32"/>
          <w:szCs w:val="32"/>
          <w:u w:val="none"/>
          <w:lang w:val="en-US" w:eastAsia="zh-CN"/>
        </w:rPr>
        <w:t>（五）本项目不接受联合体共同投标，不接受以个人名义投标。</w:t>
      </w:r>
    </w:p>
    <w:p w14:paraId="7CE87799">
      <w:pPr>
        <w:keepNext w:val="0"/>
        <w:keepLines w:val="0"/>
        <w:pageBreakBefore w:val="0"/>
        <w:widowControl w:val="0"/>
        <w:kinsoku/>
        <w:wordWrap/>
        <w:overflowPunct/>
        <w:topLinePunct w:val="0"/>
        <w:autoSpaceDE/>
        <w:autoSpaceDN/>
        <w:bidi w:val="0"/>
        <w:spacing w:line="560" w:lineRule="exact"/>
        <w:ind w:firstLine="480" w:firstLineChars="150"/>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★如参与本次投标的单位存在违法违纪、社会信用不良、恶意中标等问题，广州市市场监督管理发展研究中心有权取消该机构参与投标或中标的资格。</w:t>
      </w:r>
    </w:p>
    <w:p w14:paraId="74C0057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u w:val="none"/>
        </w:rPr>
      </w:pPr>
    </w:p>
    <w:p w14:paraId="1E57AE0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DBB5CD"/>
    <w:multiLevelType w:val="singleLevel"/>
    <w:tmpl w:val="EDDBB5CD"/>
    <w:lvl w:ilvl="0" w:tentative="0">
      <w:start w:val="1"/>
      <w:numFmt w:val="decimal"/>
      <w:suff w:val="nothing"/>
      <w:lvlText w:val="（%1）"/>
      <w:lvlJc w:val="left"/>
      <w:rPr>
        <w:rFonts w:hint="default"/>
        <w:b w:val="0"/>
        <w:bCs w:val="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JkYTZjM2ZjZjcxNmU2OTA5N2UxOWYwNmRmMmViMTMifQ=="/>
  </w:docVars>
  <w:rsids>
    <w:rsidRoot w:val="6A884F55"/>
    <w:rsid w:val="6A884F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Indent 3"/>
    <w:basedOn w:val="1"/>
    <w:qFormat/>
    <w:uiPriority w:val="0"/>
    <w:pPr>
      <w:spacing w:after="120"/>
      <w:ind w:left="420" w:leftChars="200"/>
    </w:pPr>
    <w:rPr>
      <w:sz w:val="16"/>
      <w:szCs w:val="16"/>
    </w:rPr>
  </w:style>
  <w:style w:type="paragraph" w:customStyle="1" w:styleId="5">
    <w:name w:val="_Style 3"/>
    <w:basedOn w:val="1"/>
    <w:next w:val="2"/>
    <w:qFormat/>
    <w:uiPriority w:val="0"/>
    <w:pPr>
      <w:ind w:firstLine="420" w:firstLineChars="200"/>
    </w:pPr>
    <w:rPr>
      <w:rFonts w:ascii="Calibri" w:hAnsi="Calibr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2024-10-22T03:49:00Z</dcterms:created>
  <dc:creator>谢</dc:creator>
  <cp:lastModifiedBy>谢</cp:lastModifiedBy>
  <dcterms:modified xsi:type="dcterms:W3CDTF">2024-10-22T06:18:22Z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C14FFB62200F471D828252E0A7F4C63B_11</vt:lpwstr>
  </property>
</Properties>
</file>