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8"/>
          <w:lang w:val="en-US" w:eastAsia="zh-CN"/>
        </w:rPr>
        <w:t>2025年度海珠区“青年地带”青少年专项服务项目量化指标</w:t>
      </w:r>
    </w:p>
    <w:tbl>
      <w:tblPr>
        <w:tblStyle w:val="5"/>
        <w:tblW w:w="154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1"/>
        <w:gridCol w:w="789"/>
        <w:gridCol w:w="1203"/>
        <w:gridCol w:w="1433"/>
        <w:gridCol w:w="925"/>
        <w:gridCol w:w="1866"/>
        <w:gridCol w:w="1800"/>
        <w:gridCol w:w="1967"/>
        <w:gridCol w:w="48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  <w:jc w:val="center"/>
        </w:trPr>
        <w:tc>
          <w:tcPr>
            <w:tcW w:w="581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</w:rPr>
              <w:t>类别</w:t>
            </w:r>
          </w:p>
        </w:tc>
        <w:tc>
          <w:tcPr>
            <w:tcW w:w="789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</w:rPr>
              <w:t>层面</w:t>
            </w: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</w:rPr>
              <w:t>内容</w:t>
            </w:r>
          </w:p>
        </w:tc>
        <w:tc>
          <w:tcPr>
            <w:tcW w:w="143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</w:rPr>
              <w:t>评估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</w:rPr>
              <w:t>指标</w:t>
            </w:r>
          </w:p>
        </w:tc>
        <w:tc>
          <w:tcPr>
            <w:tcW w:w="4591" w:type="dxa"/>
            <w:gridSpan w:val="3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2025年</w:t>
            </w:r>
          </w:p>
        </w:tc>
        <w:tc>
          <w:tcPr>
            <w:tcW w:w="1967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</w:rPr>
              <w:t>备注</w:t>
            </w:r>
          </w:p>
        </w:tc>
        <w:tc>
          <w:tcPr>
            <w:tcW w:w="4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  <w:rPrChange w:id="0" w:author="lqx" w:date="2024-12-27T17:52:44Z">
                  <w:rPr>
                    <w:rFonts w:hint="eastAsia" w:ascii="Times New Roman" w:hAnsi="Times New Roman" w:eastAsia="宋体" w:cs="宋体"/>
                    <w:b/>
                    <w:bCs/>
                    <w:color w:val="auto"/>
                    <w:kern w:val="0"/>
                    <w:sz w:val="21"/>
                    <w:szCs w:val="21"/>
                    <w:lang w:val="en-US" w:eastAsia="zh-CN" w:bidi="ar-SA"/>
                  </w:rPr>
                </w:rPrChange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  <w:rPrChange w:id="1" w:author="lqx" w:date="2024-12-27T17:52:44Z">
                  <w:rPr>
                    <w:rFonts w:hint="eastAsia" w:ascii="Times New Roman" w:hAnsi="Times New Roman" w:eastAsia="宋体" w:cs="宋体"/>
                    <w:b/>
                    <w:bCs/>
                    <w:color w:val="auto"/>
                    <w:kern w:val="0"/>
                    <w:sz w:val="21"/>
                    <w:szCs w:val="21"/>
                    <w:lang w:val="en-US" w:eastAsia="zh-CN" w:bidi="ar-SA"/>
                  </w:rPr>
                </w:rPrChange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  <w:rPrChange w:id="2" w:author="lqx" w:date="2024-12-27T17:52:44Z">
                  <w:rPr>
                    <w:rFonts w:hint="eastAsia" w:ascii="Times New Roman" w:hAnsi="Times New Roman" w:eastAsia="宋体" w:cs="宋体"/>
                    <w:b/>
                    <w:bCs/>
                    <w:color w:val="auto"/>
                    <w:kern w:val="0"/>
                    <w:sz w:val="21"/>
                    <w:szCs w:val="21"/>
                    <w:lang w:val="en-US" w:eastAsia="zh-CN" w:bidi="ar-SA"/>
                  </w:rPr>
                </w:rPrChange>
              </w:rPr>
            </w:pPr>
          </w:p>
        </w:tc>
        <w:tc>
          <w:tcPr>
            <w:tcW w:w="143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  <w:rPrChange w:id="3" w:author="lqx" w:date="2024-12-27T17:52:44Z">
                  <w:rPr>
                    <w:rFonts w:hint="eastAsia" w:ascii="Times New Roman" w:hAnsi="Times New Roman" w:eastAsia="宋体" w:cs="宋体"/>
                    <w:b/>
                    <w:bCs/>
                    <w:color w:val="auto"/>
                    <w:kern w:val="0"/>
                    <w:sz w:val="21"/>
                    <w:szCs w:val="21"/>
                    <w:lang w:val="en-US" w:eastAsia="zh-CN" w:bidi="ar-SA"/>
                  </w:rPr>
                </w:rPrChange>
              </w:rPr>
            </w:pP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  <w:rPrChange w:id="4" w:author="lqx" w:date="2024-12-27T17:52:44Z">
                  <w:rPr>
                    <w:rFonts w:hint="eastAsia" w:ascii="Times New Roman" w:hAnsi="Times New Roman" w:eastAsia="宋体" w:cs="宋体"/>
                    <w:b/>
                    <w:bCs/>
                    <w:color w:val="auto"/>
                    <w:kern w:val="0"/>
                    <w:sz w:val="21"/>
                    <w:szCs w:val="21"/>
                    <w:lang w:val="en-US" w:eastAsia="zh-CN" w:bidi="ar-SA"/>
                  </w:rPr>
                </w:rPrChange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  <w:rPrChange w:id="5" w:author="lqx" w:date="2024-12-27T17:52:44Z">
                  <w:rPr>
                    <w:rFonts w:hint="eastAsia" w:ascii="Times New Roman" w:hAnsi="Times New Roman" w:cs="宋体"/>
                    <w:b/>
                    <w:bCs/>
                    <w:color w:val="auto"/>
                    <w:kern w:val="0"/>
                    <w:szCs w:val="21"/>
                  </w:rPr>
                </w:rPrChange>
              </w:rPr>
              <w:t>总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  <w:lang w:eastAsia="zh-CN"/>
                <w:rPrChange w:id="6" w:author="lqx" w:date="2024-12-27T17:52:44Z">
                  <w:rPr>
                    <w:rFonts w:hint="eastAsia" w:ascii="Times New Roman" w:hAnsi="Times New Roman" w:cs="宋体"/>
                    <w:b/>
                    <w:bCs/>
                    <w:color w:val="auto"/>
                    <w:kern w:val="0"/>
                    <w:szCs w:val="21"/>
                    <w:lang w:eastAsia="zh-CN"/>
                  </w:rPr>
                </w:rPrChange>
              </w:rPr>
              <w:t>数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  <w:rPrChange w:id="7" w:author="lqx" w:date="2024-12-27T17:52:44Z">
                  <w:rPr>
                    <w:rFonts w:hint="eastAsia" w:ascii="Times New Roman" w:hAnsi="Times New Roman" w:eastAsia="宋体" w:cs="宋体"/>
                    <w:b/>
                    <w:bCs/>
                    <w:color w:val="auto"/>
                    <w:kern w:val="0"/>
                    <w:sz w:val="21"/>
                    <w:szCs w:val="21"/>
                    <w:lang w:val="en-US" w:eastAsia="zh-CN" w:bidi="ar-SA"/>
                  </w:rPr>
                </w:rPrChange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  <w:rPrChange w:id="8" w:author="lqx" w:date="2024-12-27T17:52:44Z">
                  <w:rPr>
                    <w:rFonts w:hint="eastAsia" w:ascii="Times New Roman" w:hAnsi="Times New Roman" w:cs="宋体"/>
                    <w:b/>
                    <w:bCs/>
                    <w:color w:val="auto"/>
                    <w:kern w:val="0"/>
                    <w:szCs w:val="21"/>
                  </w:rPr>
                </w:rPrChange>
              </w:rPr>
              <w:t>素社站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  <w:rPrChange w:id="9" w:author="lqx" w:date="2024-12-27T17:52:44Z">
                  <w:rPr>
                    <w:rFonts w:hint="eastAsia" w:ascii="Times New Roman" w:hAnsi="Times New Roman" w:eastAsia="宋体" w:cs="宋体"/>
                    <w:b/>
                    <w:bCs/>
                    <w:color w:val="auto"/>
                    <w:kern w:val="0"/>
                    <w:sz w:val="21"/>
                    <w:szCs w:val="21"/>
                    <w:lang w:val="en-US" w:eastAsia="zh-CN" w:bidi="ar-SA"/>
                  </w:rPr>
                </w:rPrChange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  <w:rPrChange w:id="10" w:author="lqx" w:date="2024-12-27T17:52:44Z">
                  <w:rPr>
                    <w:rFonts w:hint="eastAsia" w:ascii="Times New Roman" w:hAnsi="Times New Roman" w:cs="宋体"/>
                    <w:b/>
                    <w:bCs/>
                    <w:color w:val="auto"/>
                    <w:kern w:val="0"/>
                    <w:szCs w:val="21"/>
                  </w:rPr>
                </w:rPrChange>
              </w:rPr>
              <w:t>赤岗站</w:t>
            </w:r>
          </w:p>
        </w:tc>
        <w:tc>
          <w:tcPr>
            <w:tcW w:w="1967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  <w:rPrChange w:id="11" w:author="lqx" w:date="2024-12-27T17:52:44Z">
                  <w:rPr>
                    <w:rFonts w:hint="eastAsia" w:ascii="Times New Roman" w:hAnsi="Times New Roman" w:eastAsia="宋体" w:cs="宋体"/>
                    <w:b/>
                    <w:bCs/>
                    <w:color w:val="auto"/>
                    <w:kern w:val="0"/>
                    <w:sz w:val="21"/>
                    <w:szCs w:val="21"/>
                    <w:lang w:val="en-US" w:eastAsia="zh-CN" w:bidi="ar-SA"/>
                  </w:rPr>
                </w:rPrChange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  <w:rPrChange w:id="12" w:author="lqx" w:date="2024-12-27T17:52:44Z">
                  <w:rPr>
                    <w:rFonts w:hint="eastAsia" w:ascii="Times New Roman" w:hAnsi="Times New Roman" w:cs="宋体"/>
                    <w:b/>
                    <w:bCs/>
                    <w:color w:val="auto"/>
                    <w:kern w:val="0"/>
                    <w:szCs w:val="21"/>
                  </w:rPr>
                </w:rPrChange>
              </w:rPr>
              <w:t>备注</w:t>
            </w:r>
          </w:p>
        </w:tc>
        <w:tc>
          <w:tcPr>
            <w:tcW w:w="4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  <w:rPrChange w:id="13" w:author="lqx" w:date="2024-12-27T17:52:44Z">
                  <w:rPr>
                    <w:rFonts w:hint="eastAsia" w:ascii="Times New Roman" w:hAnsi="Times New Roman" w:eastAsia="宋体" w:cs="宋体"/>
                    <w:b/>
                    <w:bCs/>
                    <w:color w:val="auto"/>
                    <w:kern w:val="0"/>
                    <w:sz w:val="21"/>
                    <w:szCs w:val="21"/>
                    <w:lang w:val="en-US" w:eastAsia="zh-CN" w:bidi="ar-SA"/>
                  </w:rPr>
                </w:rPrChange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Cs w:val="21"/>
                <w:rPrChange w:id="14" w:author="lqx" w:date="2024-12-27T17:52:44Z">
                  <w:rPr>
                    <w:rFonts w:hint="eastAsia" w:ascii="Times New Roman" w:hAnsi="Times New Roman" w:cs="宋体"/>
                    <w:b/>
                    <w:bCs/>
                    <w:color w:val="auto"/>
                    <w:kern w:val="0"/>
                    <w:szCs w:val="21"/>
                  </w:rPr>
                </w:rPrChange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  <w:jc w:val="center"/>
        </w:trPr>
        <w:tc>
          <w:tcPr>
            <w:tcW w:w="581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一、服务投入指标</w:t>
            </w:r>
          </w:p>
        </w:tc>
        <w:tc>
          <w:tcPr>
            <w:tcW w:w="789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社工站基本要求</w:t>
            </w: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站点社工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配备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人数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5</w:t>
            </w:r>
          </w:p>
        </w:tc>
        <w:tc>
          <w:tcPr>
            <w:tcW w:w="3666" w:type="dxa"/>
            <w:gridSpan w:val="2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每个站点配备员工不少于2人，</w:t>
            </w:r>
          </w:p>
        </w:tc>
        <w:tc>
          <w:tcPr>
            <w:tcW w:w="1967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海珠区青年之家“青吧”工作人员由素社站负责，不另行增加</w:t>
            </w:r>
          </w:p>
        </w:tc>
        <w:tc>
          <w:tcPr>
            <w:tcW w:w="4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以聘用合同、工资册为准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0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开放时间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服务时数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40小时/周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周二至周六开放，每天开放时间不少于8小时，每周总服务时数不少于 40小时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周二至周六开放，每天开放时间不少于8小时，每周总服务时数不少于 40小时</w:t>
            </w:r>
          </w:p>
        </w:tc>
        <w:tc>
          <w:tcPr>
            <w:tcW w:w="1967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海珠区“青年之家”青吧需提供进站登记、团务咨询、图书借阅、饮用水提供、座位安排、场地协调等工作。开放时间待招标结束后与中标单位协商确定。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581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二、服务产出指标</w:t>
            </w:r>
          </w:p>
        </w:tc>
        <w:tc>
          <w:tcPr>
            <w:tcW w:w="789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拓展青年地带服务对象</w:t>
            </w: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站内服务对象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主动入站人次</w:t>
            </w:r>
            <w:r>
              <w:rPr>
                <w:rFonts w:hint="eastAsia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 xml:space="preserve"> 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3394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1697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1697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包含偶到服务和入站咨询服务，以进展签到、活动签到为参考依据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会员数目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494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247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247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会员：填写会员登记表，包含新增会员和续会会员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新增会员比率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20%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20%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20%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18岁以上会员比率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20%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20%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20%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站外服务对象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外展节数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84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42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42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节数为次数，每次不少于45分钟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外展接触人次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252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126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126</w:t>
            </w:r>
          </w:p>
        </w:tc>
        <w:tc>
          <w:tcPr>
            <w:tcW w:w="1967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每节外展接触至少3人</w:t>
            </w:r>
          </w:p>
        </w:tc>
        <w:tc>
          <w:tcPr>
            <w:tcW w:w="4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6-30岁街头闲散青少年，了解其需求，并跟进开展服务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扩展家庭潜能</w:t>
            </w: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家庭探访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家庭个数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41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21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20</w:t>
            </w:r>
          </w:p>
        </w:tc>
        <w:tc>
          <w:tcPr>
            <w:tcW w:w="1967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不含个案</w:t>
            </w:r>
          </w:p>
        </w:tc>
        <w:tc>
          <w:tcPr>
            <w:tcW w:w="4866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除个案外，含入户、电话访问、户外接触、来站的青少年家庭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服务人次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123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62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61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访问次数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41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21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20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家庭活动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活动次数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7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3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包含家长工作坊、亲子活动、家长专题教育知识讲座等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服务人次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88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50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38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流动服务车/特色外展服务</w:t>
            </w: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站外服务对象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外展节数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24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-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-</w:t>
            </w:r>
          </w:p>
        </w:tc>
        <w:tc>
          <w:tcPr>
            <w:tcW w:w="1967" w:type="dxa"/>
            <w:vMerge w:val="restart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1.流动服务车每月出车服务不少于2次，每次不少于45分钟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eastAsia="zh-CN"/>
              </w:rPr>
              <w:t>（按每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节外展45分钟计算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eastAsia="zh-CN"/>
              </w:rPr>
              <w:t>）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2.流动服务车原则上配备不少于1名工作人员，人员根据实际情况从各站点抽调或各站点轮流负责运作；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3.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eastAsia="zh-CN"/>
              </w:rPr>
              <w:t>主要服务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区内较少被社工站覆盖的6-30岁社区青少年及没有被驻校社工服务覆盖的在校青少年。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外展接触人次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360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-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-</w:t>
            </w:r>
          </w:p>
        </w:tc>
        <w:tc>
          <w:tcPr>
            <w:tcW w:w="1967" w:type="dxa"/>
            <w:vMerge w:val="continue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社区日常公益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活动次数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6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-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-</w:t>
            </w:r>
          </w:p>
        </w:tc>
        <w:tc>
          <w:tcPr>
            <w:tcW w:w="1967" w:type="dxa"/>
            <w:vMerge w:val="continue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服务人次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300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-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-</w:t>
            </w:r>
          </w:p>
        </w:tc>
        <w:tc>
          <w:tcPr>
            <w:tcW w:w="1967" w:type="dxa"/>
            <w:vMerge w:val="continue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建立社区服务模式</w:t>
            </w: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社区日常公益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活动次数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 Bold"/>
                <w:b w:val="0"/>
                <w:bCs w:val="0"/>
                <w:i/>
                <w:iCs/>
                <w:color w:val="auto"/>
                <w:kern w:val="0"/>
                <w:szCs w:val="21"/>
                <w:lang w:val="en-US" w:eastAsia="zh-CN"/>
              </w:rPr>
              <w:t>82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41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41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1.社区日常公益活动主要指特色讲座、公益兴趣班、辅导课堂、周末影院、桌游及有益于青少年身心发展的公益活动。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2.青年活动是指服务对象全部为18岁及以上青年，每次活动不少于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20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人。目标是促进青年解决生活、学习、工作问题，推动青年不断提升自我、获得正向发展。组织方式可采用独立开展、合作共赢、资源引进等，活动内容丰富多样。详情请见青年之家运营方案。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青年活动次数占比（不少于）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--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40%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7"/>
                <w:rFonts w:ascii="Times New Roman" w:hAnsi="Times New Roman"/>
                <w:b w:val="0"/>
                <w:bCs w:val="0"/>
                <w:color w:val="auto"/>
                <w:lang w:val="en-US" w:eastAsia="zh-CN" w:bidi="ar"/>
              </w:rPr>
              <w:t>--</w:t>
            </w:r>
          </w:p>
        </w:tc>
        <w:tc>
          <w:tcPr>
            <w:tcW w:w="1967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服务人次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1640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820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820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品牌项目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数量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1967" w:type="dxa"/>
            <w:vMerge w:val="restart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每个站点根据区域实际和群体特点设计打造至少1个品牌项目，做到“一站一特色”，开展有针对性的特色服务，如“幸福·家”“小候鸟”等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活动次数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14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7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7</w:t>
            </w:r>
          </w:p>
        </w:tc>
        <w:tc>
          <w:tcPr>
            <w:tcW w:w="1967" w:type="dxa"/>
            <w:vMerge w:val="continue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参与人次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720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360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360</w:t>
            </w:r>
          </w:p>
        </w:tc>
        <w:tc>
          <w:tcPr>
            <w:tcW w:w="1967" w:type="dxa"/>
            <w:vMerge w:val="continue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社区专项服务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活动次数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8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配合时政活动（如创文、创卫复检及主题宣教活动主要包括禁毒、防邪、艾滋病防治、控烟、网络安全等）、传统节庆活动、专项主线服务（生涯规划、亲子教育、青春期教育、青年参与）等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服务人次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400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200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200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协助志愿者服务建立</w:t>
            </w: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志愿者登记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登记人数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117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59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58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包括新增志愿者和续会志愿者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活跃志愿者人数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31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16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15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本年度内累计参加志愿服务活动不少于30小时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建立志愿者队伍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有队名、有固定的成员6-8名，持续培训，定时聚会，为社会提供服务。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至少1支志愿者服务队服务于海珠区“青年之家”青吧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志愿者培训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培训节数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8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节数为次数，每次不少于45分钟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培训人次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80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40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40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志愿服务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服务次数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46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23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23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节数为次数，每次不少于45分钟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服务人次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368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184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184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深入开展小组活动和个案工作</w:t>
            </w: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小组活动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小组个数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8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策划节数至少6节，报名人数超过6个人方可开展。小组比例为发展：预防：治疗=3：1：1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小组节数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48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24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24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小组人数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48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24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24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服务人次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308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154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154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个案介入服务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开启个案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48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24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24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szCs w:val="21"/>
              </w:rPr>
              <w:t>个案来源包括社工站发展及各合作伙伴转介等。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咨询式个案指服务次数低于3节的个案；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szCs w:val="21"/>
              </w:rPr>
              <w:t>重点个案类型包括:严重偏差行为青少年、特殊困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szCs w:val="21"/>
                <w:lang w:eastAsia="zh-CN"/>
              </w:rPr>
              <w:t>境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szCs w:val="21"/>
              </w:rPr>
              <w:t>青少年和社区矫正人员等。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个案工作节数按平均每个个案5节进行计算，结案率为</w:t>
            </w:r>
            <w:r>
              <w:rPr>
                <w:rFonts w:hint="eastAsia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6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个案建档率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100%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100%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100%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重点个案率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0%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0%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0%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个案工作节数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240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120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120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结案个数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30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</w:t>
            </w:r>
            <w:r>
              <w:rPr>
                <w:rFonts w:hint="eastAsia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5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</w:t>
            </w:r>
            <w:r>
              <w:rPr>
                <w:rFonts w:hint="eastAsia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5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加强系统合作</w:t>
            </w: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学校项目服务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签订合作协议学校个数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3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学校项目服务类型包括为边缘学生辅导、学生领袖培训、老师工作坊、班会课活动等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项目次数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6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3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3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服务人次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320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160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160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1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社区网络发展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主动与团体、部门、企业合作通报次数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82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41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41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每月向街道团工委、民政科、司法所、居委会等部门、合作机构通报工作情况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社区活动合作单位次数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11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6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5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eastAsia="zh-CN"/>
              </w:rPr>
              <w:t>包括各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街道团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eastAsia="zh-CN"/>
              </w:rPr>
              <w:t>工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委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eastAsia="zh-CN"/>
              </w:rPr>
              <w:t>、社区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居委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eastAsia="zh-CN"/>
              </w:rPr>
              <w:t>会、各机关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部门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eastAsia="zh-CN"/>
              </w:rPr>
              <w:t>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青年工作资源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开拓并维系“两新”组织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-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-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与不少于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6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家“两新”组织签订海珠区“青年之家”青吧合作协议，与每个合作组织在青吧联合开展活动不少于2次，服务数据计入同类型指标，不单独安排指标。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青年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社群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建立青年微信群，维系青年粉丝，传播网络正能量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按实际需求建群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8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发布海珠区“青年之家”青吧微信推文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在“海珠青年”、“海珠区青年地带”、“海珠发布”以及其他微信公众号发布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8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强化团务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团的各类服务转介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21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11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10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为咨询青年建档，登记团员关系转移、创建青年文明号等服务需求，转介团区委相关部门并跟进。承接团区委转介的业务交流活动，做好项目介绍和相关接待工作。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581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五、服务效果指标</w:t>
            </w:r>
          </w:p>
        </w:tc>
        <w:tc>
          <w:tcPr>
            <w:tcW w:w="789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创新探索及研究出版成果</w:t>
            </w: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创新服务探索模式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数量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重点突出共青团在青少年事务社工服务的带领作用，把培养社会主义建设者和接班人作为根本任务，把巩固和扩大党执政的青年群众基础作为政治责任，把围绕中心服务大局作为工作主线。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品牌服务成果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数量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实务经验分享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篇数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2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宣传出版物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份数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媒体新闻报道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次数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4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制定并完善机构制度</w:t>
            </w: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日常管理制度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--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  <w:t>完善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eastAsia="zh-CN"/>
              </w:rPr>
              <w:t>项目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整体指标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工作反馈机制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--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  <w:t>完善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财务收支制度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--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  <w:t>完善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工作制度汇编</w:t>
            </w:r>
          </w:p>
        </w:tc>
        <w:tc>
          <w:tcPr>
            <w:tcW w:w="143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本数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服务系统反馈</w:t>
            </w: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服务对象</w:t>
            </w:r>
          </w:p>
        </w:tc>
        <w:tc>
          <w:tcPr>
            <w:tcW w:w="1433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知晓度/满意度/专业能力/服务效果/总体评价</w:t>
            </w: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90</w:t>
            </w:r>
            <w:r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  <w:t>%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restart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  <w:lang w:eastAsia="zh-CN"/>
              </w:rPr>
              <w:t>项目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整体指标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服务对象家属</w:t>
            </w:r>
          </w:p>
        </w:tc>
        <w:tc>
          <w:tcPr>
            <w:tcW w:w="143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Times New Roman" w:hAnsi="Times New Roman" w:eastAsia="宋体" w:cs="宋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90</w:t>
            </w:r>
            <w:r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  <w:t>%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服务购买方</w:t>
            </w:r>
          </w:p>
        </w:tc>
        <w:tc>
          <w:tcPr>
            <w:tcW w:w="143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Times New Roman" w:hAnsi="Times New Roman" w:eastAsia="宋体" w:cs="宋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90</w:t>
            </w:r>
            <w:r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  <w:t>%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58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120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Cs w:val="21"/>
              </w:rPr>
              <w:t>服务合作伙伴</w:t>
            </w:r>
          </w:p>
        </w:tc>
        <w:tc>
          <w:tcPr>
            <w:tcW w:w="1433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925" w:type="dxa"/>
            <w:shd w:val="clear" w:color="auto" w:fill="auto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Times New Roman" w:hAnsi="Times New Roman" w:eastAsia="宋体" w:cs="宋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  <w:lang w:val="en-US" w:eastAsia="zh-CN"/>
              </w:rPr>
              <w:t>90</w:t>
            </w:r>
            <w:r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  <w:t>%</w:t>
            </w:r>
          </w:p>
        </w:tc>
        <w:tc>
          <w:tcPr>
            <w:tcW w:w="186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800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—</w:t>
            </w:r>
          </w:p>
        </w:tc>
        <w:tc>
          <w:tcPr>
            <w:tcW w:w="1967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</w:p>
        </w:tc>
        <w:tc>
          <w:tcPr>
            <w:tcW w:w="4866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宋体"/>
                <w:b w:val="0"/>
                <w:bCs w:val="0"/>
                <w:color w:val="auto"/>
                <w:kern w:val="0"/>
                <w:szCs w:val="21"/>
              </w:rPr>
            </w:pPr>
          </w:p>
        </w:tc>
      </w:tr>
    </w:tbl>
    <w:p/>
    <w:p>
      <w:pPr>
        <w:rPr>
          <w:rFonts w:hint="default" w:eastAsia="仿宋_GB2312"/>
          <w:lang w:val="en-US" w:eastAsia="zh-CN"/>
        </w:rPr>
      </w:pP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 New Roman Bold">
    <w:altName w:val="Times New Roman"/>
    <w:panose1 w:val="02020803070505020304"/>
    <w:charset w:val="00"/>
    <w:family w:val="auto"/>
    <w:pitch w:val="default"/>
    <w:sig w:usb0="00000000" w:usb1="00000000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2EB7A8F"/>
    <w:multiLevelType w:val="singleLevel"/>
    <w:tmpl w:val="E2EB7A8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lqx">
    <w15:presenceInfo w15:providerId="WPS Office" w15:userId="202831317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FFF090B"/>
    <w:rsid w:val="0F437F31"/>
    <w:rsid w:val="209F16AA"/>
    <w:rsid w:val="26AD0802"/>
    <w:rsid w:val="3D980365"/>
    <w:rsid w:val="3DF35274"/>
    <w:rsid w:val="459806D4"/>
    <w:rsid w:val="5A3612C1"/>
    <w:rsid w:val="61093011"/>
    <w:rsid w:val="67065841"/>
    <w:rsid w:val="71A0086C"/>
    <w:rsid w:val="79B052BC"/>
    <w:rsid w:val="7E661055"/>
    <w:rsid w:val="8FF7E8B8"/>
    <w:rsid w:val="BFFF0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kern w:val="0"/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kern w:val="0"/>
      <w:sz w:val="18"/>
      <w:szCs w:val="18"/>
    </w:rPr>
  </w:style>
  <w:style w:type="character" w:customStyle="1" w:styleId="7">
    <w:name w:val="font11"/>
    <w:basedOn w:val="6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3073</Words>
  <Characters>3571</Characters>
  <Lines>0</Lines>
  <Paragraphs>0</Paragraphs>
  <TotalTime>123</TotalTime>
  <ScaleCrop>false</ScaleCrop>
  <LinksUpToDate>false</LinksUpToDate>
  <CharactersWithSpaces>3575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2024-12-19T12:25:00Z</dcterms:created>
  <dc:creator>admin</dc:creator>
  <cp:lastModifiedBy>lqx</cp:lastModifiedBy>
  <cp:lastPrinted>2024-12-23T07:16:00Z</cp:lastPrinted>
  <dcterms:modified xsi:type="dcterms:W3CDTF">2024-12-27T09:52:52Z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86A7CF89F9694F49A5B5F888CD3DB95A_13</vt:lpwstr>
  </property>
  <property fmtid="{D5CDD505-2E9C-101B-9397-08002B2CF9AE}" pid="4" name="KSOTemplateDocerSaveRecord">
    <vt:lpwstr>eyJoZGlkIjoiODBlMTMyZjI2ZmE5NmYzNDM3Njc0MmEyMTM4MDcyMDIiLCJ1c2VySWQiOiIyNTcyMDkyNjkifQ==</vt:lpwstr>
  </property>
</Properties>
</file>