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878EE2">
      <w:pPr>
        <w:pStyle w:val="2"/>
        <w:spacing w:before="100" w:beforeAutospacing="1" w:after="100" w:afterAutospacing="1" w:line="240" w:lineRule="auto"/>
        <w:jc w:val="center"/>
        <w:rPr>
          <w:rFonts w:hint="eastAsia" w:ascii="黑体" w:eastAsia="黑体"/>
          <w:color w:val="000000"/>
          <w:sz w:val="36"/>
          <w:szCs w:val="36"/>
          <w:highlight w:val="none"/>
        </w:rPr>
      </w:pPr>
      <w:bookmarkStart w:id="0" w:name="_Toc23014"/>
      <w:r>
        <w:rPr>
          <w:rFonts w:hint="eastAsia" w:ascii="黑体" w:eastAsia="黑体"/>
          <w:color w:val="000000"/>
          <w:sz w:val="36"/>
          <w:szCs w:val="36"/>
          <w:highlight w:val="none"/>
          <w:lang w:val="en-US" w:eastAsia="zh-CN"/>
        </w:rPr>
        <w:t xml:space="preserve"> </w:t>
      </w:r>
      <w:r>
        <w:rPr>
          <w:rFonts w:hint="eastAsia" w:ascii="黑体" w:eastAsia="黑体"/>
          <w:color w:val="000000"/>
          <w:sz w:val="36"/>
          <w:szCs w:val="36"/>
          <w:highlight w:val="none"/>
        </w:rPr>
        <w:t>采购需求书</w:t>
      </w:r>
      <w:bookmarkEnd w:id="0"/>
    </w:p>
    <w:p w14:paraId="66AE8855">
      <w:pPr>
        <w:snapToGrid w:val="0"/>
        <w:spacing w:line="360" w:lineRule="auto"/>
        <w:rPr>
          <w:rFonts w:hint="eastAsia" w:ascii="宋体"/>
          <w:b/>
          <w:bCs/>
          <w:color w:val="000000"/>
          <w:szCs w:val="20"/>
          <w:highlight w:val="none"/>
        </w:rPr>
      </w:pPr>
      <w:r>
        <w:rPr>
          <w:rFonts w:hint="eastAsia" w:ascii="宋体"/>
          <w:b/>
          <w:bCs/>
          <w:color w:val="000000"/>
          <w:szCs w:val="20"/>
          <w:highlight w:val="none"/>
        </w:rPr>
        <w:t>说明：</w:t>
      </w:r>
    </w:p>
    <w:p w14:paraId="2D8E215D">
      <w:pPr>
        <w:numPr>
          <w:ilvl w:val="0"/>
          <w:numId w:val="1"/>
        </w:numPr>
        <w:snapToGrid w:val="0"/>
        <w:spacing w:line="360" w:lineRule="auto"/>
        <w:ind w:left="422" w:hanging="422" w:hangingChars="200"/>
        <w:rPr>
          <w:rFonts w:hint="eastAsia" w:ascii="宋体"/>
          <w:b/>
          <w:bCs/>
          <w:color w:val="000000"/>
          <w:szCs w:val="20"/>
        </w:rPr>
      </w:pPr>
      <w:r>
        <w:rPr>
          <w:rFonts w:hint="eastAsia" w:ascii="宋体"/>
          <w:b/>
          <w:bCs/>
          <w:szCs w:val="20"/>
          <w:lang w:eastAsia="zh-CN"/>
        </w:rPr>
        <w:t>供应商</w:t>
      </w:r>
      <w:r>
        <w:rPr>
          <w:rFonts w:hint="eastAsia" w:ascii="宋体"/>
          <w:b/>
          <w:bCs/>
          <w:szCs w:val="20"/>
        </w:rPr>
        <w:t>须对本项目为单</w:t>
      </w:r>
      <w:r>
        <w:rPr>
          <w:rFonts w:hint="eastAsia" w:ascii="宋体"/>
          <w:b/>
          <w:bCs/>
          <w:color w:val="000000"/>
          <w:szCs w:val="20"/>
        </w:rPr>
        <w:t>位的货物及服务进行整</w:t>
      </w:r>
      <w:r>
        <w:rPr>
          <w:rFonts w:hint="eastAsia" w:ascii="宋体"/>
          <w:b/>
          <w:bCs/>
          <w:szCs w:val="20"/>
        </w:rPr>
        <w:t>体</w:t>
      </w:r>
      <w:r>
        <w:rPr>
          <w:rFonts w:hint="eastAsia" w:ascii="宋体"/>
          <w:b/>
          <w:bCs/>
          <w:szCs w:val="20"/>
          <w:lang w:eastAsia="zh-CN"/>
        </w:rPr>
        <w:t>响应</w:t>
      </w:r>
      <w:r>
        <w:rPr>
          <w:rFonts w:hint="eastAsia" w:ascii="宋体"/>
          <w:b/>
          <w:bCs/>
          <w:szCs w:val="20"/>
        </w:rPr>
        <w:t>，任何只对本项目其中一部分内容进行的</w:t>
      </w:r>
      <w:r>
        <w:rPr>
          <w:rFonts w:hint="eastAsia" w:ascii="宋体"/>
          <w:b/>
          <w:bCs/>
          <w:color w:val="000000"/>
          <w:szCs w:val="20"/>
          <w:lang w:eastAsia="zh-CN"/>
        </w:rPr>
        <w:t>响应</w:t>
      </w:r>
      <w:r>
        <w:rPr>
          <w:rFonts w:hint="eastAsia" w:ascii="宋体"/>
          <w:b/>
          <w:bCs/>
          <w:color w:val="000000"/>
          <w:szCs w:val="20"/>
        </w:rPr>
        <w:t>都被视为</w:t>
      </w:r>
      <w:r>
        <w:rPr>
          <w:rFonts w:hint="eastAsia" w:ascii="宋体"/>
          <w:b/>
          <w:bCs/>
          <w:color w:val="000000"/>
          <w:szCs w:val="20"/>
          <w:lang w:eastAsia="zh-CN"/>
        </w:rPr>
        <w:t>无效响应</w:t>
      </w:r>
      <w:r>
        <w:rPr>
          <w:rFonts w:hint="eastAsia" w:ascii="宋体"/>
          <w:b/>
          <w:bCs/>
          <w:color w:val="000000"/>
          <w:szCs w:val="20"/>
        </w:rPr>
        <w:t>。</w:t>
      </w:r>
    </w:p>
    <w:p w14:paraId="1FC31D32">
      <w:pPr>
        <w:numPr>
          <w:ilvl w:val="0"/>
          <w:numId w:val="1"/>
        </w:numPr>
        <w:snapToGrid w:val="0"/>
        <w:spacing w:line="360" w:lineRule="auto"/>
        <w:ind w:left="422" w:hanging="422" w:hangingChars="200"/>
        <w:rPr>
          <w:rFonts w:hint="eastAsia" w:ascii="宋体"/>
          <w:b/>
          <w:bCs/>
          <w:color w:val="000000"/>
          <w:szCs w:val="20"/>
        </w:rPr>
      </w:pPr>
      <w:r>
        <w:rPr>
          <w:rFonts w:hint="eastAsia" w:ascii="宋体"/>
          <w:b/>
          <w:bCs/>
          <w:color w:val="000000"/>
          <w:szCs w:val="20"/>
          <w:lang w:eastAsia="zh-CN"/>
        </w:rPr>
        <w:t>磋商文件</w:t>
      </w:r>
      <w:r>
        <w:rPr>
          <w:rFonts w:hint="eastAsia" w:ascii="宋体"/>
          <w:b/>
          <w:bCs/>
          <w:color w:val="000000"/>
          <w:szCs w:val="20"/>
        </w:rPr>
        <w:t>中如有打</w:t>
      </w:r>
      <w:r>
        <w:rPr>
          <w:rFonts w:ascii="宋体"/>
          <w:b/>
          <w:bCs/>
          <w:color w:val="000000"/>
          <w:szCs w:val="20"/>
        </w:rPr>
        <w:t>“</w:t>
      </w:r>
      <w:r>
        <w:rPr>
          <w:rFonts w:hint="eastAsia" w:ascii="宋体"/>
          <w:b/>
          <w:bCs/>
          <w:color w:val="000000"/>
          <w:szCs w:val="20"/>
        </w:rPr>
        <w:t>★</w:t>
      </w:r>
      <w:r>
        <w:rPr>
          <w:rFonts w:ascii="宋体"/>
          <w:b/>
          <w:bCs/>
          <w:color w:val="000000"/>
          <w:szCs w:val="20"/>
        </w:rPr>
        <w:t>”</w:t>
      </w:r>
      <w:r>
        <w:rPr>
          <w:rFonts w:hint="eastAsia" w:ascii="宋体"/>
          <w:b/>
          <w:bCs/>
          <w:color w:val="000000"/>
          <w:szCs w:val="20"/>
        </w:rPr>
        <w:t>号条款为实质性条款，</w:t>
      </w:r>
      <w:r>
        <w:rPr>
          <w:rFonts w:hint="eastAsia" w:ascii="宋体"/>
          <w:b/>
          <w:bCs/>
          <w:color w:val="000000"/>
          <w:szCs w:val="20"/>
          <w:lang w:eastAsia="zh-CN"/>
        </w:rPr>
        <w:t>供应商</w:t>
      </w:r>
      <w:r>
        <w:rPr>
          <w:rFonts w:hint="eastAsia" w:ascii="宋体"/>
          <w:b/>
          <w:bCs/>
          <w:color w:val="000000"/>
          <w:szCs w:val="20"/>
        </w:rPr>
        <w:t>若有任何一条负偏离或不满足则导致</w:t>
      </w:r>
      <w:r>
        <w:rPr>
          <w:rFonts w:hint="eastAsia" w:ascii="宋体"/>
          <w:b/>
          <w:bCs/>
          <w:color w:val="000000"/>
          <w:szCs w:val="20"/>
          <w:lang w:eastAsia="zh-CN"/>
        </w:rPr>
        <w:t>响应</w:t>
      </w:r>
      <w:r>
        <w:rPr>
          <w:rFonts w:hint="eastAsia" w:ascii="宋体"/>
          <w:b/>
          <w:bCs/>
          <w:color w:val="000000"/>
          <w:szCs w:val="20"/>
        </w:rPr>
        <w:t>无效。</w:t>
      </w:r>
    </w:p>
    <w:p w14:paraId="674C5253">
      <w:pPr>
        <w:numPr>
          <w:ilvl w:val="0"/>
          <w:numId w:val="1"/>
        </w:numPr>
        <w:snapToGrid w:val="0"/>
        <w:spacing w:line="360" w:lineRule="auto"/>
        <w:ind w:left="422" w:hanging="422" w:hangingChars="200"/>
        <w:rPr>
          <w:rFonts w:hint="eastAsia" w:ascii="宋体"/>
          <w:b/>
          <w:bCs/>
          <w:color w:val="000000"/>
          <w:szCs w:val="20"/>
        </w:rPr>
      </w:pPr>
      <w:r>
        <w:rPr>
          <w:rFonts w:hint="eastAsia" w:ascii="宋体"/>
          <w:b/>
          <w:bCs/>
          <w:color w:val="000000"/>
          <w:szCs w:val="20"/>
          <w:lang w:eastAsia="zh-CN"/>
        </w:rPr>
        <w:t>磋商文件</w:t>
      </w:r>
      <w:r>
        <w:rPr>
          <w:rFonts w:hint="eastAsia" w:ascii="宋体"/>
          <w:b/>
          <w:bCs/>
          <w:color w:val="000000"/>
          <w:szCs w:val="20"/>
        </w:rPr>
        <w:t>中如有打</w:t>
      </w:r>
      <w:r>
        <w:rPr>
          <w:rFonts w:ascii="宋体"/>
          <w:b/>
          <w:bCs/>
          <w:color w:val="000000"/>
          <w:szCs w:val="20"/>
        </w:rPr>
        <w:t>“</w:t>
      </w:r>
      <w:r>
        <w:rPr>
          <w:rFonts w:hint="eastAsia" w:ascii="宋体"/>
          <w:b/>
          <w:bCs/>
          <w:color w:val="000000"/>
          <w:szCs w:val="20"/>
        </w:rPr>
        <w:t>▲</w:t>
      </w:r>
      <w:r>
        <w:rPr>
          <w:rFonts w:ascii="宋体"/>
          <w:b/>
          <w:bCs/>
          <w:color w:val="000000"/>
          <w:szCs w:val="20"/>
        </w:rPr>
        <w:t>”</w:t>
      </w:r>
      <w:r>
        <w:rPr>
          <w:rFonts w:hint="eastAsia" w:ascii="宋体"/>
          <w:b/>
          <w:bCs/>
          <w:color w:val="000000"/>
          <w:szCs w:val="20"/>
        </w:rPr>
        <w:t>号条款为重要技术参数，</w:t>
      </w:r>
      <w:r>
        <w:rPr>
          <w:rFonts w:hint="eastAsia" w:ascii="宋体"/>
          <w:b/>
          <w:bCs/>
          <w:color w:val="000000"/>
          <w:szCs w:val="20"/>
          <w:lang w:eastAsia="zh-CN"/>
        </w:rPr>
        <w:t>供应商</w:t>
      </w:r>
      <w:r>
        <w:rPr>
          <w:rFonts w:hint="eastAsia" w:ascii="宋体"/>
          <w:b/>
          <w:bCs/>
          <w:color w:val="000000"/>
          <w:szCs w:val="20"/>
        </w:rPr>
        <w:t>若有部分“▲”条款未响应或不满足，将导致其响应性评审加重扣分，但不作为</w:t>
      </w:r>
      <w:r>
        <w:rPr>
          <w:rFonts w:hint="eastAsia" w:ascii="宋体"/>
          <w:b/>
          <w:bCs/>
          <w:color w:val="000000"/>
          <w:szCs w:val="20"/>
          <w:lang w:eastAsia="zh-CN"/>
        </w:rPr>
        <w:t>无效响应</w:t>
      </w:r>
      <w:r>
        <w:rPr>
          <w:rFonts w:hint="eastAsia" w:ascii="宋体"/>
          <w:b/>
          <w:bCs/>
          <w:color w:val="000000"/>
          <w:szCs w:val="20"/>
        </w:rPr>
        <w:t>条款。</w:t>
      </w:r>
    </w:p>
    <w:p w14:paraId="59E2DA38">
      <w:pPr>
        <w:autoSpaceDE w:val="0"/>
        <w:autoSpaceDN w:val="0"/>
        <w:spacing w:line="360" w:lineRule="auto"/>
        <w:rPr>
          <w:rFonts w:hint="eastAsia" w:ascii="宋体" w:hAnsi="宋体" w:cs="宋体"/>
          <w:b/>
          <w:color w:val="000000"/>
          <w:szCs w:val="21"/>
        </w:rPr>
      </w:pPr>
    </w:p>
    <w:p w14:paraId="1577E870">
      <w:pPr>
        <w:keepNext w:val="0"/>
        <w:keepLines w:val="0"/>
        <w:pageBreakBefore w:val="0"/>
        <w:widowControl w:val="0"/>
        <w:numPr>
          <w:ilvl w:val="0"/>
          <w:numId w:val="2"/>
        </w:numPr>
        <w:kinsoku/>
        <w:wordWrap/>
        <w:overflowPunct/>
        <w:topLinePunct w:val="0"/>
        <w:autoSpaceDE/>
        <w:autoSpaceDN/>
        <w:bidi w:val="0"/>
        <w:adjustRightInd/>
        <w:snapToGrid/>
        <w:spacing w:line="360" w:lineRule="auto"/>
        <w:ind w:right="567" w:rightChars="270"/>
        <w:textAlignment w:val="auto"/>
        <w:rPr>
          <w:rFonts w:hint="eastAsia" w:ascii="宋体" w:hAnsi="宋体" w:eastAsia="宋体" w:cs="宋体"/>
          <w:b/>
          <w:bCs/>
          <w:color w:val="000000"/>
          <w:sz w:val="21"/>
          <w:szCs w:val="21"/>
          <w:highlight w:val="none"/>
        </w:rPr>
      </w:pPr>
      <w:bookmarkStart w:id="1" w:name="_Toc6389423"/>
      <w:bookmarkStart w:id="2" w:name="_Toc512434685"/>
      <w:bookmarkStart w:id="3" w:name="_Toc5608943"/>
      <w:bookmarkStart w:id="4" w:name="_Toc46132432"/>
      <w:bookmarkStart w:id="5" w:name="_Toc536724091"/>
      <w:bookmarkStart w:id="6" w:name="_Toc66376245"/>
      <w:bookmarkStart w:id="7" w:name="_Toc7718590"/>
      <w:bookmarkStart w:id="8" w:name="_Toc8832753"/>
      <w:r>
        <w:rPr>
          <w:rFonts w:hint="eastAsia" w:ascii="宋体" w:hAnsi="宋体" w:eastAsia="宋体" w:cs="宋体"/>
          <w:b/>
          <w:bCs/>
          <w:color w:val="000000"/>
          <w:sz w:val="21"/>
          <w:szCs w:val="21"/>
          <w:highlight w:val="none"/>
        </w:rPr>
        <w:t>项目范围</w:t>
      </w:r>
    </w:p>
    <w:p w14:paraId="334075C9">
      <w:pPr>
        <w:pStyle w:val="4"/>
        <w:numPr>
          <w:ilvl w:val="0"/>
          <w:numId w:val="0"/>
        </w:numPr>
        <w:rPr>
          <w:rFonts w:hint="eastAsia"/>
        </w:rPr>
      </w:pPr>
      <w:r>
        <w:rPr>
          <w:rFonts w:hint="eastAsia"/>
        </w:rPr>
        <w:t>朱执信先生立像一座，雕塑人像高3.5米。材质：黄铜，工艺：铸造。</w:t>
      </w:r>
    </w:p>
    <w:p w14:paraId="05BDBC95">
      <w:pPr>
        <w:pStyle w:val="4"/>
        <w:numPr>
          <w:ilvl w:val="0"/>
          <w:numId w:val="0"/>
        </w:numPr>
        <w:rPr>
          <w:rFonts w:hint="eastAsia"/>
        </w:rPr>
      </w:pPr>
    </w:p>
    <w:bookmarkEnd w:id="1"/>
    <w:bookmarkEnd w:id="2"/>
    <w:bookmarkEnd w:id="3"/>
    <w:bookmarkEnd w:id="4"/>
    <w:bookmarkEnd w:id="5"/>
    <w:bookmarkEnd w:id="6"/>
    <w:bookmarkEnd w:id="7"/>
    <w:bookmarkEnd w:id="8"/>
    <w:p w14:paraId="5A86E8A3">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rPr>
          <w:rFonts w:hint="eastAsia"/>
          <w:b/>
          <w:bCs/>
          <w:lang w:val="en-US" w:eastAsia="zh-CN"/>
        </w:rPr>
      </w:pPr>
      <w:r>
        <w:rPr>
          <w:rFonts w:hint="eastAsia"/>
          <w:b/>
          <w:bCs/>
          <w:lang w:val="en-US" w:eastAsia="zh-CN"/>
        </w:rPr>
        <w:t>项目要求</w:t>
      </w:r>
    </w:p>
    <w:p w14:paraId="1501875D">
      <w:pPr>
        <w:pStyle w:val="4"/>
        <w:rPr>
          <w:rFonts w:hint="eastAsia"/>
          <w:lang w:val="en-US" w:eastAsia="zh-CN"/>
        </w:rPr>
      </w:pPr>
      <w:r>
        <w:t>（一）总体要求</w:t>
      </w:r>
    </w:p>
    <w:p w14:paraId="34C1ED8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rPr>
      </w:pPr>
      <w:r>
        <w:rPr>
          <w:rFonts w:hint="eastAsia" w:ascii="宋体" w:hAnsi="宋体" w:eastAsia="宋体" w:cs="宋体"/>
          <w:kern w:val="2"/>
          <w:sz w:val="21"/>
          <w:szCs w:val="24"/>
          <w:lang w:val="en-US" w:eastAsia="zh-CN" w:bidi="ar-SA"/>
        </w:rPr>
        <w:t>1、</w:t>
      </w:r>
      <w:r>
        <w:rPr>
          <w:rFonts w:hint="eastAsia" w:ascii="宋体" w:hAnsi="宋体" w:eastAsia="宋体" w:cs="宋体"/>
        </w:rPr>
        <w:t>根据采购人的要求完成雕塑创作、深化设计、制作、现场安装。</w:t>
      </w:r>
    </w:p>
    <w:p w14:paraId="0445A5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kern w:val="2"/>
          <w:sz w:val="21"/>
          <w:szCs w:val="21"/>
          <w:lang w:val="en-US" w:eastAsia="zh-CN" w:bidi="ar-SA"/>
        </w:rPr>
        <w:t>2、</w:t>
      </w:r>
      <w:r>
        <w:rPr>
          <w:rFonts w:hint="eastAsia" w:ascii="宋体" w:hAnsi="宋体" w:eastAsia="宋体" w:cs="宋体"/>
        </w:rPr>
        <w:t>在不破坏原有基础及周边设施、装修前提下</w:t>
      </w:r>
      <w:r>
        <w:rPr>
          <w:rFonts w:hint="eastAsia" w:ascii="宋体" w:hAnsi="宋体" w:eastAsia="宋体" w:cs="宋体"/>
          <w:lang w:val="en-US" w:eastAsia="zh-CN"/>
        </w:rPr>
        <w:t>进行</w:t>
      </w:r>
      <w:r>
        <w:rPr>
          <w:rFonts w:hint="eastAsia" w:ascii="宋体" w:hAnsi="宋体" w:eastAsia="宋体" w:cs="宋体"/>
        </w:rPr>
        <w:t>。</w:t>
      </w:r>
    </w:p>
    <w:p w14:paraId="022CED3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kern w:val="2"/>
          <w:sz w:val="21"/>
          <w:szCs w:val="21"/>
          <w:lang w:val="en-US" w:eastAsia="zh-CN" w:bidi="ar-SA"/>
        </w:rPr>
        <w:t>3、</w:t>
      </w:r>
      <w:r>
        <w:rPr>
          <w:rFonts w:hint="eastAsia" w:ascii="宋体" w:hAnsi="宋体" w:eastAsia="宋体" w:cs="宋体"/>
        </w:rPr>
        <w:t>配合支持园建单位完成广场地面石材铺装、水池、景观照明的施工。</w:t>
      </w:r>
    </w:p>
    <w:p w14:paraId="1ACA830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ascii="宋体" w:hAnsi="宋体" w:eastAsia="宋体" w:cs="宋体"/>
          <w:color w:val="000000"/>
          <w:kern w:val="2"/>
          <w:sz w:val="21"/>
          <w:szCs w:val="21"/>
          <w:lang w:val="en-US" w:eastAsia="zh-CN" w:bidi="ar-SA"/>
        </w:rPr>
        <w:t>4、</w:t>
      </w:r>
      <w:r>
        <w:rPr>
          <w:rFonts w:hint="eastAsia" w:ascii="宋体" w:hAnsi="宋体" w:eastAsia="宋体" w:cs="宋体"/>
          <w:lang w:val="en-US" w:eastAsia="zh-CN"/>
        </w:rPr>
        <w:t>服</w:t>
      </w:r>
      <w:r>
        <w:rPr>
          <w:rFonts w:hint="eastAsia" w:eastAsia="宋体"/>
          <w:lang w:val="en-US" w:eastAsia="zh-CN"/>
        </w:rPr>
        <w:t>务期：</w:t>
      </w:r>
      <w:r>
        <w:rPr>
          <w:rFonts w:hint="eastAsia" w:eastAsia="宋体"/>
          <w:lang w:eastAsia="zh-CN"/>
        </w:rPr>
        <w:t>合同签订生效后10天内提供深化设计方案；在采购人确认深化方案后，60个日历日内完成</w:t>
      </w:r>
      <w:r>
        <w:t>。包括：根据采购人的要求完成</w:t>
      </w:r>
      <w:r>
        <w:rPr>
          <w:rFonts w:hint="eastAsia"/>
          <w:lang w:eastAsia="zh-CN"/>
        </w:rPr>
        <w:t>，</w:t>
      </w:r>
      <w:r>
        <w:t>在不破坏原有基础及周边设施、装修前提下</w:t>
      </w:r>
      <w:r>
        <w:rPr>
          <w:rFonts w:hint="eastAsia"/>
          <w:lang w:val="en-US" w:eastAsia="zh-CN"/>
        </w:rPr>
        <w:t>进行</w:t>
      </w:r>
      <w:r>
        <w:t>雕塑创作、深化设计、制作、现场安装，并通过验收。</w:t>
      </w:r>
    </w:p>
    <w:p w14:paraId="125868D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5、</w:t>
      </w:r>
      <w:r>
        <w:t>鉴于本项目自身特点，成交供应商如获成交资格，须承诺无条件根据采购人及相关部门的要求或意见进行雕塑设计方案的调整和补充，直至采购人最终确认后方可进行制作，并在采购人规定的时间内完成雕塑创作、深化设计、制作、现场安装并交付使用。</w:t>
      </w:r>
    </w:p>
    <w:p w14:paraId="49ABD6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6、</w:t>
      </w:r>
      <w:r>
        <w:t>内容含雕塑艺术造型设计</w:t>
      </w:r>
      <w:r>
        <w:rPr>
          <w:rFonts w:hint="eastAsia"/>
          <w:lang w:eastAsia="zh-CN"/>
        </w:rPr>
        <w:t>、</w:t>
      </w:r>
      <w:r>
        <w:rPr>
          <w:rFonts w:hint="eastAsia"/>
        </w:rPr>
        <w:t>泥稿</w:t>
      </w:r>
      <w:r>
        <w:t>小稿</w:t>
      </w:r>
      <w:r>
        <w:rPr>
          <w:rFonts w:hint="eastAsia"/>
          <w:lang w:val="en-US" w:eastAsia="zh-CN"/>
        </w:rPr>
        <w:t>制作</w:t>
      </w:r>
      <w:r>
        <w:rPr>
          <w:rFonts w:hint="eastAsia"/>
          <w:lang w:eastAsia="zh-CN"/>
        </w:rPr>
        <w:t>、等大泥稿搭架上泥（材料人工）、泥稿塑造</w:t>
      </w:r>
      <w:r>
        <w:t>、</w:t>
      </w:r>
      <w:r>
        <w:rPr>
          <w:rFonts w:hint="eastAsia"/>
        </w:rPr>
        <w:t>石膏模型翻制（材料人工机械等）</w:t>
      </w:r>
      <w:r>
        <w:rPr>
          <w:rFonts w:hint="eastAsia"/>
          <w:lang w:eastAsia="zh-CN"/>
        </w:rPr>
        <w:t>、铸造（铸铜）、蜡模修整（雕塑家完成）、蜡模制作（材料人工机械等）</w:t>
      </w:r>
      <w:r>
        <w:t>、</w:t>
      </w:r>
      <w:r>
        <w:rPr>
          <w:rFonts w:hint="eastAsia"/>
        </w:rPr>
        <w:t>浇铸成型（含拼装打磨修型）</w:t>
      </w:r>
      <w:r>
        <w:rPr>
          <w:rFonts w:hint="eastAsia"/>
          <w:lang w:eastAsia="zh-CN"/>
        </w:rPr>
        <w:t>、表面效果处理、运输吊装调试、</w:t>
      </w:r>
      <w:r>
        <w:rPr>
          <w:rFonts w:hint="eastAsia"/>
          <w:lang w:val="en-US" w:eastAsia="zh-CN"/>
        </w:rPr>
        <w:t>税费</w:t>
      </w:r>
      <w:r>
        <w:t>等。</w:t>
      </w:r>
    </w:p>
    <w:p w14:paraId="1BBEEC9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7、</w:t>
      </w:r>
      <w:r>
        <w:t>雕塑材质、规格、尺寸严格按采购人确定的最终设计图纸制作、安装。</w:t>
      </w:r>
    </w:p>
    <w:p w14:paraId="3350AD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8、</w:t>
      </w:r>
      <w:r>
        <w:t>地点：采购人指定地点。</w:t>
      </w:r>
    </w:p>
    <w:p w14:paraId="254C6C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9、</w:t>
      </w:r>
      <w:r>
        <w:t>艺术造型需结合材料突显主题，</w:t>
      </w:r>
      <w:r>
        <w:rPr>
          <w:rFonts w:hint="eastAsia"/>
        </w:rPr>
        <w:t>雕塑人像高3.5米</w:t>
      </w:r>
      <w:r>
        <w:t>。雕塑作品摆放位置：户外。</w:t>
      </w:r>
    </w:p>
    <w:p w14:paraId="5A7B39E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10、</w:t>
      </w:r>
      <w:r>
        <w:t>成交供应商须严格按照采购人的要求及相关标准进行设计、制作及安装。严格把控制作流程中的各个环节，并由专业人员对雕塑成品的包装、运输、后期安装与护理等方面进行监管，确保雕塑的艺术性和质量保障的统一。在确保雕塑质量同时，充分体现作品的艺术性，使雕塑融入环境。</w:t>
      </w:r>
    </w:p>
    <w:p w14:paraId="3AFDCA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pPr>
      <w:r>
        <w:rPr>
          <w:rFonts w:hint="eastAsia" w:eastAsia="宋体"/>
          <w:lang w:val="en-US" w:eastAsia="zh-CN"/>
        </w:rPr>
        <w:t>11、</w:t>
      </w:r>
      <w:r>
        <w:t>成交供应商在完成雕塑作品的安装摆放工作后，须同时完成项目现场的清理，一切与项目无关的机具材料必须拆离项目现场。</w:t>
      </w:r>
    </w:p>
    <w:p w14:paraId="773AC1A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二</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设计方案要求</w:t>
      </w:r>
    </w:p>
    <w:p w14:paraId="688A99EF">
      <w:pPr>
        <w:pStyle w:val="4"/>
        <w:keepNext w:val="0"/>
        <w:keepLines w:val="0"/>
        <w:pageBreakBefore w:val="0"/>
        <w:widowControl w:val="0"/>
        <w:kinsoku/>
        <w:wordWrap/>
        <w:overflowPunct/>
        <w:topLinePunct w:val="0"/>
        <w:autoSpaceDE/>
        <w:autoSpaceDN/>
        <w:bidi w:val="0"/>
        <w:adjustRightInd/>
        <w:snapToGrid/>
        <w:spacing w:line="360" w:lineRule="auto"/>
        <w:textAlignment w:val="auto"/>
      </w:pPr>
      <w:r>
        <w:rPr>
          <w:rFonts w:hint="eastAsia" w:ascii="宋体" w:hAnsi="宋体" w:eastAsia="宋体" w:cs="宋体"/>
          <w:color w:val="000000"/>
          <w:sz w:val="21"/>
          <w:szCs w:val="21"/>
          <w:highlight w:val="none"/>
          <w:lang w:val="en-US" w:eastAsia="zh-CN"/>
        </w:rPr>
        <w:t>1、</w:t>
      </w:r>
      <w:r>
        <w:t>雕塑设计方案提交应包含但不限于以下内容：</w:t>
      </w:r>
    </w:p>
    <w:p w14:paraId="11B23074">
      <w:pPr>
        <w:keepNext w:val="0"/>
        <w:keepLines w:val="0"/>
        <w:pageBreakBefore w:val="0"/>
        <w:widowControl w:val="0"/>
        <w:kinsoku/>
        <w:wordWrap/>
        <w:overflowPunct/>
        <w:topLinePunct w:val="0"/>
        <w:autoSpaceDE/>
        <w:autoSpaceDN/>
        <w:bidi w:val="0"/>
        <w:adjustRightInd/>
        <w:snapToGrid/>
        <w:spacing w:line="360" w:lineRule="auto"/>
        <w:textAlignment w:val="auto"/>
      </w:pPr>
      <w:r>
        <w:t>雕塑设计方案图册：应包含a.设计方案主题设想或创作意向;b.雕塑作品的摆设方案;c.雕塑和相关环境总平面图、主要角度效果图；d.雕塑作品具体尺寸图：e.雕塑材质说明等（按照A3尺寸打印装订成图册4套），页数及装订方式不限；</w:t>
      </w:r>
    </w:p>
    <w:p w14:paraId="409EA5FC">
      <w:pPr>
        <w:pStyle w:val="4"/>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default"/>
          <w:lang w:val="en-US" w:eastAsia="zh-CN"/>
        </w:rPr>
      </w:pPr>
      <w:r>
        <w:t>雕塑设计方案电子文件一套（以光盘形式），随标书一起交付， PDF或JPG格式</w:t>
      </w:r>
      <w:r>
        <w:rPr>
          <w:rFonts w:hint="eastAsia"/>
          <w:lang w:eastAsia="zh-CN"/>
        </w:rPr>
        <w:t>。</w:t>
      </w:r>
    </w:p>
    <w:p w14:paraId="060D3A86">
      <w:pPr>
        <w:rPr>
          <w:rFonts w:hint="default"/>
          <w:lang w:val="en-US" w:eastAsia="zh-CN"/>
        </w:rPr>
      </w:pPr>
    </w:p>
    <w:p w14:paraId="33FEF73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b/>
          <w:bCs/>
        </w:rPr>
      </w:pPr>
      <w:r>
        <w:rPr>
          <w:rFonts w:hint="eastAsia"/>
          <w:b/>
          <w:bCs/>
          <w:lang w:val="en-US" w:eastAsia="zh-CN"/>
        </w:rPr>
        <w:t>三、</w:t>
      </w:r>
      <w:r>
        <w:rPr>
          <w:b/>
          <w:bCs/>
        </w:rPr>
        <w:t>包装、保险及保管要求</w:t>
      </w:r>
    </w:p>
    <w:p w14:paraId="6EA1F8E4">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pPr>
      <w:r>
        <w:t>雕塑作品包装均应有良好的防湿、防锈、防潮、防雨、防腐及防碰撞的措施。凡由于包装不良造成的损失和由此产生的费用均由成交供应商承担。</w:t>
      </w:r>
    </w:p>
    <w:p w14:paraId="61469FFB">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default"/>
          <w:lang w:val="en-US" w:eastAsia="zh-CN"/>
        </w:rPr>
      </w:pPr>
      <w:r>
        <w:rPr>
          <w:rFonts w:hint="default"/>
          <w:lang w:val="en-US" w:eastAsia="zh-CN"/>
        </w:rPr>
        <w:t>雕塑作品应在采购人指定地点存放，在项目验收前，所有雕塑作品在项目现场的保管由成交供应商负责，直至项目验收完毕。</w:t>
      </w:r>
    </w:p>
    <w:p w14:paraId="433DFC3D">
      <w:pPr>
        <w:pStyle w:val="4"/>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textAlignment w:val="auto"/>
      </w:pPr>
      <w:r>
        <w:t>成交供应商负责其派出的现场服务人员人身意外保险。</w:t>
      </w:r>
    </w:p>
    <w:p w14:paraId="27DCF389">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textAlignment w:val="auto"/>
        <w:rPr>
          <w:rFonts w:hint="default"/>
          <w:lang w:val="en-US" w:eastAsia="zh-CN"/>
        </w:rPr>
      </w:pPr>
      <w:r>
        <w:rPr>
          <w:rFonts w:hint="default"/>
          <w:lang w:val="en-US" w:eastAsia="zh-CN"/>
        </w:rPr>
        <w:t>所有雕塑作品至采购人指定的现场的包装、保险、发运、现场保管等环节和由此产生的一切费用均由成交供应商负责。</w:t>
      </w:r>
    </w:p>
    <w:p w14:paraId="55F7C2A0">
      <w:pPr>
        <w:pStyle w:val="4"/>
        <w:rPr>
          <w:rFonts w:hint="default"/>
          <w:lang w:val="en-US" w:eastAsia="zh-CN"/>
        </w:rPr>
      </w:pPr>
    </w:p>
    <w:p w14:paraId="30DD3FCF">
      <w:pPr>
        <w:pStyle w:val="4"/>
        <w:numPr>
          <w:ilvl w:val="0"/>
          <w:numId w:val="0"/>
        </w:numPr>
        <w:ind w:leftChars="0"/>
        <w:rPr>
          <w:b/>
          <w:bCs/>
        </w:rPr>
      </w:pPr>
      <w:r>
        <w:rPr>
          <w:rFonts w:hint="eastAsia"/>
          <w:b/>
          <w:bCs/>
          <w:lang w:val="en-US" w:eastAsia="zh-CN"/>
        </w:rPr>
        <w:t>四、</w:t>
      </w:r>
      <w:r>
        <w:rPr>
          <w:b/>
          <w:bCs/>
        </w:rPr>
        <w:t>运输、安装要求</w:t>
      </w:r>
    </w:p>
    <w:p w14:paraId="06C0E79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1、 成交供应商负责货到现场过程中的全部运输，包括装卸车、货物现场的搬运。</w:t>
      </w:r>
    </w:p>
    <w:p w14:paraId="0E91F2F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2、 成交供应商须保证雕塑作品在运输过程中安全无损伤。</w:t>
      </w:r>
    </w:p>
    <w:p w14:paraId="798006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3、 运输、安装过程中不得损坏项目现场内的其他设施和绿化。</w:t>
      </w:r>
    </w:p>
    <w:p w14:paraId="5D4D8F2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4、 运输、安装过程中的安全及各类手续办理由成交供应商自行负责。</w:t>
      </w:r>
    </w:p>
    <w:p w14:paraId="33E422E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5、 安装时，脚手架安全范围内须有明确标示。</w:t>
      </w:r>
    </w:p>
    <w:p w14:paraId="0EB18B1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lang w:val="en-US" w:eastAsia="zh-CN"/>
        </w:rPr>
      </w:pPr>
      <w:r>
        <w:rPr>
          <w:rFonts w:hint="eastAsia" w:ascii="宋体" w:hAnsi="宋体" w:eastAsia="宋体" w:cs="宋体"/>
          <w:lang w:val="en-US" w:eastAsia="zh-CN"/>
        </w:rPr>
        <w:t>6、 雕塑作品的吊装由成交供应商完成，吊装方案按相关规定通过专项方案审查。</w:t>
      </w:r>
    </w:p>
    <w:p w14:paraId="7B22F1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p>
    <w:p w14:paraId="78E454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b/>
          <w:bCs/>
          <w:color w:val="000000"/>
          <w:sz w:val="21"/>
          <w:szCs w:val="21"/>
          <w:highlight w:val="none"/>
          <w:lang w:val="en-US" w:eastAsia="zh-CN"/>
        </w:rPr>
      </w:pPr>
      <w:r>
        <w:rPr>
          <w:rFonts w:hint="eastAsia" w:ascii="宋体" w:hAnsi="宋体" w:eastAsia="宋体" w:cs="宋体"/>
          <w:b/>
          <w:bCs/>
          <w:color w:val="000000"/>
          <w:kern w:val="2"/>
          <w:sz w:val="21"/>
          <w:szCs w:val="21"/>
          <w:lang w:val="en-US" w:eastAsia="zh-CN" w:bidi="ar-SA"/>
        </w:rPr>
        <w:t>五、</w:t>
      </w:r>
      <w:r>
        <w:rPr>
          <w:rFonts w:hint="eastAsia" w:ascii="宋体" w:hAnsi="宋体" w:eastAsia="宋体" w:cs="宋体"/>
          <w:b/>
          <w:bCs/>
          <w:color w:val="000000"/>
          <w:sz w:val="21"/>
          <w:szCs w:val="21"/>
          <w:highlight w:val="none"/>
          <w:lang w:val="en-US" w:eastAsia="zh-CN"/>
        </w:rPr>
        <w:t>知识产权</w:t>
      </w:r>
    </w:p>
    <w:p w14:paraId="781D6A1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1、 成交供应商须确保在没有触犯任何第三方知识产权问题的前提下，方可在磋商方案及项目实施过程中使用第三方素材，否则，成交供应商须承担对第三方知识产权的侵权责任及因此而发生的所有费用。</w:t>
      </w:r>
    </w:p>
    <w:p w14:paraId="05A4355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2、 本项目采购范围内的所有雕塑的所有权归采购人所有，采购人有发表权、展览权、摄制权、信息网络传播权。</w:t>
      </w:r>
    </w:p>
    <w:p w14:paraId="3FB59B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color w:val="000000"/>
          <w:sz w:val="21"/>
          <w:szCs w:val="21"/>
          <w:highlight w:val="none"/>
          <w:lang w:eastAsia="zh-CN"/>
        </w:rPr>
      </w:pPr>
    </w:p>
    <w:p w14:paraId="2B97675D">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b/>
          <w:bCs/>
          <w:color w:val="000000"/>
          <w:sz w:val="21"/>
          <w:szCs w:val="21"/>
          <w:highlight w:val="none"/>
          <w:lang w:val="en-US" w:eastAsia="zh-CN"/>
        </w:rPr>
      </w:pPr>
      <w:r>
        <w:rPr>
          <w:rFonts w:hint="eastAsia" w:ascii="宋体" w:hAnsi="宋体" w:eastAsia="宋体" w:cs="宋体"/>
          <w:b/>
          <w:bCs/>
          <w:color w:val="000000"/>
          <w:sz w:val="21"/>
          <w:szCs w:val="21"/>
          <w:highlight w:val="none"/>
          <w:lang w:val="en-US" w:eastAsia="zh-CN"/>
        </w:rPr>
        <w:t>报价要求</w:t>
      </w:r>
    </w:p>
    <w:p w14:paraId="49273C96">
      <w:pPr>
        <w:keepNext w:val="0"/>
        <w:keepLines w:val="0"/>
        <w:pageBreakBefore w:val="0"/>
        <w:widowControl w:val="0"/>
        <w:numPr>
          <w:ilvl w:val="0"/>
          <w:numId w:val="6"/>
        </w:numPr>
        <w:kinsoku/>
        <w:wordWrap/>
        <w:overflowPunct/>
        <w:topLinePunct w:val="0"/>
        <w:autoSpaceDE/>
        <w:autoSpaceDN/>
        <w:bidi w:val="0"/>
        <w:adjustRightInd/>
        <w:snapToGrid/>
        <w:spacing w:line="360" w:lineRule="auto"/>
        <w:textAlignment w:val="auto"/>
      </w:pPr>
      <w:r>
        <w:t>成交供应商的报价应包含但不限于全部前期投入运作；在不破坏原有基础及周边设施、装修前提下</w:t>
      </w:r>
      <w:r>
        <w:rPr>
          <w:rFonts w:hint="eastAsia"/>
          <w:lang w:val="en-US" w:eastAsia="zh-CN"/>
        </w:rPr>
        <w:t>进行</w:t>
      </w:r>
      <w:r>
        <w:t>、雕塑的创意设计费（含深化设计及修订）；雕塑设计图纸的制作费用；技术方案论证费用；小样制作费用；制作效果论证、专家评审等论证费用；雕塑底座设计及安装；所有雕塑运至交货地的货物及材料的包装、运输、机械设备、装卸、保险、质量、工期、税费、安全、现场监督监理、售后服务资料移交（归档）、通过验收及整理验收资料、售后服务等一切费用以及完成本项目必要的其他货物、材料与服务。报价人应根据项目现场实际情况，自行增加项目正常、合法、安全运行及使用所必需但采购文件没有列明或包含的内容及费用，并在响应文件中加以详细说明，上述费用如涉及到多次需求，所有费用都包含在内，如成交供应商在中标并签署合同后，在项目实施过程中出现任何遗漏，均由成交供应商负责，采购人不再支付任何费用。</w:t>
      </w:r>
      <w:r>
        <w:br w:type="textWrapping"/>
      </w:r>
      <w:r>
        <w:t xml:space="preserve"> ★2、本项目采用合同总价包干的计价方式，供应商应对所有的采购内容进行总价报价，不允许只对部分内容进行报价。</w:t>
      </w:r>
    </w:p>
    <w:p w14:paraId="5D59608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1"/>
          <w:szCs w:val="21"/>
          <w:highlight w:val="none"/>
          <w:lang w:val="en-US" w:eastAsia="zh-CN"/>
        </w:rPr>
      </w:pPr>
    </w:p>
    <w:p w14:paraId="3E5443F6">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lang w:val="en-US" w:eastAsia="zh-CN"/>
        </w:rPr>
      </w:pPr>
      <w:r>
        <w:rPr>
          <w:rFonts w:hint="eastAsia" w:ascii="宋体" w:hAnsi="宋体" w:eastAsia="宋体" w:cs="宋体"/>
          <w:b/>
          <w:bCs/>
          <w:color w:val="000000"/>
          <w:sz w:val="21"/>
          <w:szCs w:val="21"/>
          <w:highlight w:val="none"/>
          <w:lang w:val="en-US" w:eastAsia="zh-CN"/>
        </w:rPr>
        <w:t>售后服务要求</w:t>
      </w:r>
    </w:p>
    <w:p w14:paraId="01CE7E2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pPr>
      <w:r>
        <w:t>2年。售后服务期自验收合格，成交供应商与采购人双方均在验收报告上签字之日起计算。售后服务期内，在非人为的破损的情况下，成交供应商应无条件进行现场修补，一切维护费用均由成交供应商负责。</w:t>
      </w:r>
    </w:p>
    <w:p w14:paraId="7B3C4E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pPr>
    </w:p>
    <w:p w14:paraId="7FFDCF5A">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lang w:val="en-US" w:eastAsia="zh-CN"/>
        </w:rPr>
      </w:pPr>
      <w:r>
        <w:rPr>
          <w:rFonts w:hint="eastAsia" w:ascii="宋体" w:hAnsi="宋体" w:eastAsia="宋体" w:cs="宋体"/>
          <w:b/>
          <w:bCs/>
          <w:color w:val="000000"/>
          <w:sz w:val="21"/>
          <w:szCs w:val="21"/>
          <w:highlight w:val="none"/>
          <w:lang w:val="en-US" w:eastAsia="zh-CN"/>
        </w:rPr>
        <w:t>验收方式</w:t>
      </w:r>
    </w:p>
    <w:p w14:paraId="42D21288">
      <w:pPr>
        <w:pStyle w:val="7"/>
        <w:spacing w:line="360" w:lineRule="auto"/>
        <w:ind w:firstLine="420"/>
        <w:rPr>
          <w:rFonts w:hint="default"/>
          <w:color w:val="auto"/>
          <w:sz w:val="21"/>
          <w:szCs w:val="21"/>
          <w:highlight w:val="none"/>
        </w:rPr>
      </w:pPr>
      <w:r>
        <w:rPr>
          <w:rFonts w:hint="default"/>
          <w:color w:val="auto"/>
          <w:sz w:val="21"/>
          <w:szCs w:val="21"/>
          <w:highlight w:val="none"/>
        </w:rPr>
        <w:t>项目验收要求依据采购人相关验收程序制订验收标准，包括但不限于履约情况和评价情况。</w:t>
      </w:r>
    </w:p>
    <w:p w14:paraId="181A2128">
      <w:pPr>
        <w:pStyle w:val="7"/>
        <w:spacing w:line="360" w:lineRule="auto"/>
        <w:ind w:firstLine="420"/>
        <w:rPr>
          <w:rFonts w:hint="default"/>
          <w:color w:val="auto"/>
          <w:sz w:val="21"/>
          <w:szCs w:val="21"/>
          <w:highlight w:val="none"/>
        </w:rPr>
      </w:pPr>
      <w:r>
        <w:rPr>
          <w:rFonts w:hint="default"/>
          <w:color w:val="auto"/>
          <w:sz w:val="21"/>
          <w:szCs w:val="21"/>
          <w:highlight w:val="none"/>
        </w:rPr>
        <w:t>（一）验收内容：</w:t>
      </w:r>
    </w:p>
    <w:p w14:paraId="7839ABBC">
      <w:pPr>
        <w:pStyle w:val="7"/>
        <w:spacing w:line="360" w:lineRule="auto"/>
        <w:ind w:firstLine="420"/>
        <w:rPr>
          <w:rFonts w:hint="default"/>
          <w:color w:val="auto"/>
          <w:sz w:val="21"/>
          <w:szCs w:val="21"/>
          <w:highlight w:val="none"/>
        </w:rPr>
      </w:pPr>
      <w:r>
        <w:rPr>
          <w:rFonts w:hint="default"/>
          <w:color w:val="auto"/>
          <w:sz w:val="21"/>
          <w:szCs w:val="21"/>
          <w:highlight w:val="none"/>
        </w:rPr>
        <w:t>1.项目服务质量情况。根据采购文件和合同规定，</w:t>
      </w:r>
      <w:r>
        <w:rPr>
          <w:rFonts w:hint="eastAsia"/>
          <w:color w:val="auto"/>
          <w:sz w:val="21"/>
          <w:szCs w:val="21"/>
          <w:highlight w:val="none"/>
          <w:lang w:val="en-US" w:eastAsia="zh-CN"/>
        </w:rPr>
        <w:t>成交供应商</w:t>
      </w:r>
      <w:r>
        <w:rPr>
          <w:rFonts w:hint="default"/>
          <w:color w:val="auto"/>
          <w:sz w:val="21"/>
          <w:szCs w:val="21"/>
          <w:highlight w:val="none"/>
        </w:rPr>
        <w:t>应该完成的工作质量，实际完成的工作质量。</w:t>
      </w:r>
    </w:p>
    <w:p w14:paraId="5C9976C1">
      <w:pPr>
        <w:pStyle w:val="7"/>
        <w:spacing w:line="360" w:lineRule="auto"/>
        <w:ind w:firstLine="420"/>
        <w:rPr>
          <w:rFonts w:hint="default"/>
          <w:color w:val="auto"/>
          <w:sz w:val="21"/>
          <w:szCs w:val="21"/>
          <w:highlight w:val="none"/>
        </w:rPr>
      </w:pPr>
      <w:r>
        <w:rPr>
          <w:rFonts w:hint="default"/>
          <w:color w:val="auto"/>
          <w:sz w:val="21"/>
          <w:szCs w:val="21"/>
          <w:highlight w:val="none"/>
        </w:rPr>
        <w:t>2.工作效率履约情况。在规定时间内的完成情况，有无任务拖延滞后情况。</w:t>
      </w:r>
    </w:p>
    <w:p w14:paraId="502ECACB">
      <w:pPr>
        <w:pStyle w:val="7"/>
        <w:spacing w:line="360" w:lineRule="auto"/>
        <w:ind w:firstLine="420"/>
        <w:rPr>
          <w:rFonts w:hint="default"/>
          <w:color w:val="auto"/>
          <w:sz w:val="21"/>
          <w:szCs w:val="21"/>
          <w:highlight w:val="none"/>
        </w:rPr>
      </w:pPr>
      <w:r>
        <w:rPr>
          <w:rFonts w:hint="default"/>
          <w:color w:val="auto"/>
          <w:sz w:val="21"/>
          <w:szCs w:val="21"/>
          <w:highlight w:val="none"/>
        </w:rPr>
        <w:t>3.项目经费结算情况。按照合同约定应当结算的数额和实际结算是否一致，结算数据是否真实、准确，有无虚报、错报和多报情况。</w:t>
      </w:r>
    </w:p>
    <w:p w14:paraId="50C29B2B">
      <w:pPr>
        <w:pStyle w:val="7"/>
        <w:spacing w:line="360" w:lineRule="auto"/>
        <w:ind w:firstLine="420"/>
        <w:rPr>
          <w:rFonts w:hint="default"/>
          <w:color w:val="auto"/>
          <w:sz w:val="21"/>
          <w:szCs w:val="21"/>
          <w:highlight w:val="none"/>
        </w:rPr>
      </w:pPr>
      <w:r>
        <w:rPr>
          <w:rFonts w:hint="default"/>
          <w:color w:val="auto"/>
          <w:sz w:val="21"/>
          <w:szCs w:val="21"/>
          <w:highlight w:val="none"/>
        </w:rPr>
        <w:t>（二）履约验收程序</w:t>
      </w:r>
    </w:p>
    <w:p w14:paraId="52550417">
      <w:pPr>
        <w:pStyle w:val="7"/>
        <w:spacing w:line="360" w:lineRule="auto"/>
        <w:ind w:firstLine="420"/>
        <w:rPr>
          <w:rFonts w:hint="default"/>
          <w:color w:val="auto"/>
          <w:sz w:val="21"/>
          <w:szCs w:val="21"/>
          <w:highlight w:val="none"/>
        </w:rPr>
      </w:pPr>
      <w:r>
        <w:rPr>
          <w:rFonts w:hint="default"/>
          <w:color w:val="auto"/>
          <w:sz w:val="21"/>
          <w:szCs w:val="21"/>
          <w:highlight w:val="none"/>
        </w:rPr>
        <w:t>结算时，</w:t>
      </w:r>
      <w:r>
        <w:rPr>
          <w:rFonts w:hint="eastAsia"/>
          <w:color w:val="auto"/>
          <w:sz w:val="21"/>
          <w:szCs w:val="21"/>
          <w:highlight w:val="none"/>
          <w:lang w:val="en-US" w:eastAsia="zh-CN"/>
        </w:rPr>
        <w:t>成交供应商</w:t>
      </w:r>
      <w:r>
        <w:rPr>
          <w:rFonts w:hint="default"/>
          <w:color w:val="auto"/>
          <w:sz w:val="21"/>
          <w:szCs w:val="21"/>
          <w:highlight w:val="none"/>
        </w:rPr>
        <w:t>按照采购文件中的采购需求及合同约定，向采购人提供验收材料，采购人根据验收材料对服务项目进行履约验收。</w:t>
      </w:r>
    </w:p>
    <w:p w14:paraId="6B069ECD">
      <w:pPr>
        <w:pStyle w:val="7"/>
        <w:spacing w:line="360" w:lineRule="auto"/>
        <w:ind w:firstLine="420"/>
        <w:rPr>
          <w:rFonts w:hint="default"/>
          <w:color w:val="auto"/>
          <w:sz w:val="21"/>
          <w:szCs w:val="21"/>
          <w:highlight w:val="none"/>
        </w:rPr>
      </w:pPr>
      <w:r>
        <w:rPr>
          <w:rFonts w:hint="default"/>
          <w:color w:val="auto"/>
          <w:sz w:val="21"/>
          <w:szCs w:val="21"/>
          <w:highlight w:val="none"/>
        </w:rPr>
        <w:t>（三）验收后续工作</w:t>
      </w:r>
    </w:p>
    <w:p w14:paraId="51585E35">
      <w:pPr>
        <w:keepNext w:val="0"/>
        <w:keepLines w:val="0"/>
        <w:pageBreakBefore w:val="0"/>
        <w:widowControl w:val="0"/>
        <w:numPr>
          <w:ilvl w:val="0"/>
          <w:numId w:val="0"/>
        </w:numPr>
        <w:kinsoku/>
        <w:wordWrap/>
        <w:overflowPunct/>
        <w:topLinePunct w:val="0"/>
        <w:autoSpaceDE w:val="0"/>
        <w:autoSpaceDN w:val="0"/>
        <w:bidi w:val="0"/>
        <w:adjustRightInd/>
        <w:snapToGrid/>
        <w:spacing w:line="360" w:lineRule="auto"/>
        <w:ind w:leftChars="0" w:firstLine="420" w:firstLineChars="200"/>
        <w:textAlignment w:val="auto"/>
        <w:outlineLvl w:val="9"/>
        <w:rPr>
          <w:rFonts w:hint="default"/>
          <w:color w:val="auto"/>
          <w:sz w:val="21"/>
          <w:szCs w:val="21"/>
          <w:highlight w:val="none"/>
        </w:rPr>
      </w:pPr>
      <w:r>
        <w:rPr>
          <w:rFonts w:hint="eastAsia"/>
          <w:color w:val="auto"/>
          <w:sz w:val="21"/>
          <w:szCs w:val="21"/>
          <w:highlight w:val="none"/>
          <w:lang w:val="en-US" w:eastAsia="zh-CN"/>
        </w:rPr>
        <w:t>成交供应商</w:t>
      </w:r>
      <w:r>
        <w:rPr>
          <w:rFonts w:hint="default"/>
          <w:color w:val="auto"/>
          <w:sz w:val="21"/>
          <w:szCs w:val="21"/>
          <w:highlight w:val="none"/>
        </w:rPr>
        <w:t>根据采购人验收意见办理结算手续。验收意见明确要求整改的，由</w:t>
      </w:r>
      <w:r>
        <w:rPr>
          <w:rFonts w:hint="eastAsia"/>
          <w:color w:val="auto"/>
          <w:sz w:val="21"/>
          <w:szCs w:val="21"/>
          <w:highlight w:val="none"/>
          <w:lang w:val="en-US" w:eastAsia="zh-CN"/>
        </w:rPr>
        <w:t>成交供应商</w:t>
      </w:r>
      <w:r>
        <w:rPr>
          <w:rFonts w:hint="default"/>
          <w:color w:val="auto"/>
          <w:sz w:val="21"/>
          <w:szCs w:val="21"/>
          <w:highlight w:val="none"/>
        </w:rPr>
        <w:t>整改并经审核通过后，再办理结算手续。</w:t>
      </w:r>
    </w:p>
    <w:p w14:paraId="5463360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pPr>
      <w:bookmarkStart w:id="9" w:name="_GoBack"/>
      <w:bookmarkEnd w:id="9"/>
    </w:p>
    <w:p w14:paraId="0E3AB16F">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19B034"/>
    <w:multiLevelType w:val="singleLevel"/>
    <w:tmpl w:val="A719B034"/>
    <w:lvl w:ilvl="0" w:tentative="0">
      <w:start w:val="6"/>
      <w:numFmt w:val="chineseCounting"/>
      <w:suff w:val="nothing"/>
      <w:lvlText w:val="%1、"/>
      <w:lvlJc w:val="left"/>
      <w:rPr>
        <w:rFonts w:hint="eastAsia"/>
      </w:rPr>
    </w:lvl>
  </w:abstractNum>
  <w:abstractNum w:abstractNumId="1">
    <w:nsid w:val="B3D9C090"/>
    <w:multiLevelType w:val="singleLevel"/>
    <w:tmpl w:val="B3D9C090"/>
    <w:lvl w:ilvl="0" w:tentative="0">
      <w:start w:val="1"/>
      <w:numFmt w:val="decimal"/>
      <w:suff w:val="nothing"/>
      <w:lvlText w:val="%1、"/>
      <w:lvlJc w:val="left"/>
    </w:lvl>
  </w:abstractNum>
  <w:abstractNum w:abstractNumId="2">
    <w:nsid w:val="C1C39D64"/>
    <w:multiLevelType w:val="singleLevel"/>
    <w:tmpl w:val="C1C39D64"/>
    <w:lvl w:ilvl="0" w:tentative="0">
      <w:start w:val="1"/>
      <w:numFmt w:val="chineseCounting"/>
      <w:suff w:val="nothing"/>
      <w:lvlText w:val="%1、"/>
      <w:lvlJc w:val="left"/>
      <w:rPr>
        <w:rFonts w:hint="eastAsia"/>
      </w:rPr>
    </w:lvl>
  </w:abstractNum>
  <w:abstractNum w:abstractNumId="3">
    <w:nsid w:val="CCD19EBE"/>
    <w:multiLevelType w:val="singleLevel"/>
    <w:tmpl w:val="CCD19EBE"/>
    <w:lvl w:ilvl="0" w:tentative="0">
      <w:start w:val="2"/>
      <w:numFmt w:val="decimal"/>
      <w:suff w:val="nothing"/>
      <w:lvlText w:val="%1、"/>
      <w:lvlJc w:val="left"/>
    </w:lvl>
  </w:abstractNum>
  <w:abstractNum w:abstractNumId="4">
    <w:nsid w:val="30AB6E99"/>
    <w:multiLevelType w:val="singleLevel"/>
    <w:tmpl w:val="30AB6E99"/>
    <w:lvl w:ilvl="0" w:tentative="0">
      <w:start w:val="1"/>
      <w:numFmt w:val="decimal"/>
      <w:suff w:val="space"/>
      <w:lvlText w:val="%1、"/>
      <w:lvlJc w:val="left"/>
    </w:lvl>
  </w:abstractNum>
  <w:abstractNum w:abstractNumId="5">
    <w:nsid w:val="4501719F"/>
    <w:multiLevelType w:val="multilevel"/>
    <w:tmpl w:val="4501719F"/>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5"/>
  </w:num>
  <w:num w:numId="2">
    <w:abstractNumId w:val="2"/>
  </w:num>
  <w:num w:numId="3">
    <w:abstractNumId w:val="3"/>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3347F7"/>
    <w:rsid w:val="0B3347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after="330" w:afterLines="0" w:line="578" w:lineRule="auto"/>
      <w:outlineLvl w:val="0"/>
    </w:pPr>
    <w:rPr>
      <w:b/>
      <w:bCs/>
      <w:kern w:val="44"/>
      <w:sz w:val="44"/>
      <w:szCs w:val="44"/>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annotation text"/>
    <w:basedOn w:val="1"/>
    <w:uiPriority w:val="0"/>
    <w:pPr>
      <w:jc w:val="left"/>
    </w:pPr>
  </w:style>
  <w:style w:type="paragraph" w:styleId="4">
    <w:name w:val="Body Text"/>
    <w:basedOn w:val="1"/>
    <w:uiPriority w:val="0"/>
    <w:pPr>
      <w:spacing w:line="360" w:lineRule="auto"/>
    </w:pPr>
    <w:rPr>
      <w:szCs w:val="20"/>
    </w:rPr>
  </w:style>
  <w:style w:type="paragraph" w:customStyle="1" w:styleId="7">
    <w:name w:val="_Style 5"/>
    <w:basedOn w:val="1"/>
    <w:qFormat/>
    <w:uiPriority w:val="0"/>
    <w:pPr>
      <w:spacing w:line="240" w:lineRule="auto"/>
      <w:ind w:firstLine="200" w:firstLineChars="200"/>
    </w:pPr>
    <w:rPr>
      <w:rFonts w:hint="eastAsia" w:ascii="Times New Roman" w:hAnsi="Times New Roman" w:eastAsia="宋体" w:cs="Times New Roman"/>
      <w:sz w:val="24"/>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2025-01-06T04:12:00Z</dcterms:created>
  <dc:creator>谢</dc:creator>
  <cp:lastModifiedBy>谢</cp:lastModifiedBy>
  <dcterms:modified xsi:type="dcterms:W3CDTF">2025-01-06T04:13:19Z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5BDF225DD7044C408314ECCA95616F77_11</vt:lpwstr>
  </property>
  <property fmtid="{D5CDD505-2E9C-101B-9397-08002B2CF9AE}" pid="4" name="KSOTemplateDocerSaveRecord">
    <vt:lpwstr>eyJoZGlkIjoiOTJkYTZjM2ZjZjcxNmU2OTA5N2UxOWYwNmRmMmViMTMiLCJ1c2VySWQiOiIzMTM5NjgyNjkifQ==</vt:lpwstr>
  </property>
</Properties>
</file>