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888C98E">
      <w:pPr>
        <w:pStyle w:val="8"/>
        <w:jc w:val="center"/>
        <w:outlineLvl w:val="1"/>
        <w:rPr>
          <w:rFonts w:hint="default"/>
        </w:rPr>
      </w:pPr>
      <w:bookmarkStart w:id="30" w:name="_GoBack"/>
      <w:bookmarkEnd w:id="30"/>
      <w:r>
        <w:rPr>
          <w:b/>
          <w:sz w:val="36"/>
        </w:rPr>
        <w:t>第二章 采购需求</w:t>
      </w:r>
    </w:p>
    <w:p w14:paraId="02A9010A">
      <w:pPr>
        <w:pStyle w:val="8"/>
        <w:outlineLvl w:val="2"/>
        <w:rPr>
          <w:rFonts w:hint="default"/>
        </w:rPr>
      </w:pPr>
      <w:r>
        <w:rPr>
          <w:b/>
          <w:sz w:val="28"/>
        </w:rPr>
        <w:t>一、项目概况：</w:t>
      </w:r>
    </w:p>
    <w:p w14:paraId="7062E402">
      <w:pPr>
        <w:tabs>
          <w:tab w:val="left" w:pos="8364"/>
        </w:tabs>
        <w:snapToGrid w:val="0"/>
        <w:spacing w:line="360" w:lineRule="auto"/>
        <w:rPr>
          <w:rFonts w:ascii="宋体" w:hAnsi="宋体" w:cs="宋体"/>
          <w:b/>
          <w:bCs/>
          <w:szCs w:val="21"/>
        </w:rPr>
      </w:pPr>
      <w:r>
        <w:rPr>
          <w:rFonts w:hint="eastAsia" w:ascii="宋体" w:hAnsi="宋体" w:cs="宋体"/>
          <w:b/>
          <w:bCs/>
          <w:szCs w:val="21"/>
        </w:rPr>
        <w:t>说明：</w:t>
      </w:r>
      <w:r>
        <w:rPr>
          <w:rFonts w:hint="eastAsia" w:ascii="宋体" w:hAnsi="宋体" w:cs="宋体"/>
          <w:b/>
          <w:bCs/>
          <w:szCs w:val="21"/>
        </w:rPr>
        <w:tab/>
      </w:r>
    </w:p>
    <w:p w14:paraId="1CD22055">
      <w:pPr>
        <w:pStyle w:val="9"/>
        <w:ind w:firstLine="200" w:firstLineChars="0"/>
        <w:rPr>
          <w:rFonts w:ascii="宋体" w:hAnsi="宋体" w:cs="宋体"/>
          <w:spacing w:val="-4"/>
          <w:szCs w:val="21"/>
        </w:rPr>
      </w:pPr>
      <w:bookmarkStart w:id="0" w:name="_Toc518983899"/>
      <w:bookmarkStart w:id="1" w:name="_Toc519078363"/>
      <w:r>
        <w:rPr>
          <w:rFonts w:hint="eastAsia" w:ascii="宋体" w:hAnsi="宋体" w:cs="宋体"/>
          <w:spacing w:val="-6"/>
          <w:szCs w:val="21"/>
        </w:rPr>
        <w:t>1、采购文件中打“★”号条款为实质性条款，投标人如有任何一条不响应则导致投标无效</w:t>
      </w:r>
      <w:r>
        <w:rPr>
          <w:rFonts w:hint="eastAsia" w:ascii="宋体" w:hAnsi="宋体" w:cs="宋体"/>
          <w:spacing w:val="-4"/>
          <w:szCs w:val="21"/>
        </w:rPr>
        <w:t>。</w:t>
      </w:r>
      <w:bookmarkEnd w:id="0"/>
      <w:bookmarkEnd w:id="1"/>
    </w:p>
    <w:p w14:paraId="442F1D3E">
      <w:pPr>
        <w:pStyle w:val="9"/>
        <w:ind w:firstLine="200" w:firstLineChars="0"/>
        <w:rPr>
          <w:rFonts w:ascii="宋体" w:hAnsi="宋体" w:cs="宋体"/>
          <w:szCs w:val="21"/>
        </w:rPr>
      </w:pPr>
      <w:r>
        <w:rPr>
          <w:rFonts w:hint="eastAsia" w:ascii="宋体" w:hAnsi="宋体" w:cs="宋体"/>
          <w:szCs w:val="21"/>
        </w:rPr>
        <w:t>2、本次采购产品为本国产品（本国产品是指不需要通过中国海关报关验放已在中国境内且产自关境内的产品）。</w:t>
      </w:r>
    </w:p>
    <w:p w14:paraId="5E81AE7C">
      <w:pPr>
        <w:pStyle w:val="9"/>
        <w:ind w:firstLine="200" w:firstLineChars="0"/>
        <w:rPr>
          <w:rFonts w:ascii="宋体" w:hAnsi="宋体" w:cs="宋体"/>
          <w:spacing w:val="-4"/>
          <w:szCs w:val="21"/>
        </w:rPr>
      </w:pPr>
      <w:bookmarkStart w:id="2" w:name="_Toc518983901"/>
      <w:bookmarkStart w:id="3" w:name="_Toc519078365"/>
      <w:r>
        <w:rPr>
          <w:rFonts w:hint="eastAsia" w:ascii="宋体" w:hAnsi="宋体" w:cs="宋体"/>
          <w:spacing w:val="-4"/>
          <w:szCs w:val="21"/>
        </w:rPr>
        <w:t>3、采购文件中打“▲”号条款为重要技术参数，如有未响应或负偏离的将被严重扣分，但不作为无效投标条款。</w:t>
      </w:r>
      <w:bookmarkEnd w:id="2"/>
      <w:bookmarkEnd w:id="3"/>
    </w:p>
    <w:p w14:paraId="300FB885">
      <w:pPr>
        <w:pStyle w:val="9"/>
        <w:ind w:firstLine="200" w:firstLineChars="0"/>
        <w:rPr>
          <w:rFonts w:ascii="宋体" w:hAnsi="宋体" w:cs="宋体"/>
          <w:spacing w:val="-6"/>
          <w:szCs w:val="21"/>
        </w:rPr>
      </w:pPr>
      <w:bookmarkStart w:id="4" w:name="_Toc519078366"/>
      <w:bookmarkStart w:id="5" w:name="_Toc518983902"/>
      <w:r>
        <w:rPr>
          <w:rFonts w:hint="eastAsia" w:ascii="宋体" w:hAnsi="宋体" w:cs="宋体"/>
          <w:spacing w:val="-6"/>
          <w:szCs w:val="21"/>
        </w:rPr>
        <w:t>4、投标人须对本项目进行整体投标，不允许只对其中一部分内容进行选择性投标，否则被视为无效投标。</w:t>
      </w:r>
      <w:bookmarkEnd w:id="4"/>
      <w:bookmarkEnd w:id="5"/>
    </w:p>
    <w:p w14:paraId="66268840">
      <w:pPr>
        <w:pStyle w:val="9"/>
        <w:ind w:firstLine="200" w:firstLineChars="0"/>
        <w:rPr>
          <w:rFonts w:ascii="宋体" w:hAnsi="宋体" w:cs="宋体"/>
          <w:spacing w:val="-4"/>
          <w:szCs w:val="21"/>
        </w:rPr>
      </w:pPr>
      <w:bookmarkStart w:id="6" w:name="_Toc518983903"/>
      <w:bookmarkStart w:id="7" w:name="_Toc519078367"/>
      <w:r>
        <w:rPr>
          <w:rFonts w:hint="eastAsia" w:ascii="宋体" w:hAnsi="宋体" w:cs="宋体"/>
          <w:spacing w:val="-4"/>
          <w:szCs w:val="21"/>
        </w:rPr>
        <w:t>5、本需求中提出的技术方案仅为参考，投标人可以进行优化，提供满足用户实际需要的更优（或者性能实质上不低于的）技术方案或者设备配置。本需求未列出参数偏差范围值的，范围值则按照行业标准。</w:t>
      </w:r>
      <w:bookmarkEnd w:id="6"/>
      <w:bookmarkEnd w:id="7"/>
    </w:p>
    <w:p w14:paraId="0657C666">
      <w:pPr>
        <w:widowControl/>
        <w:spacing w:line="360" w:lineRule="auto"/>
        <w:ind w:firstLine="420" w:firstLineChars="200"/>
        <w:jc w:val="left"/>
        <w:rPr>
          <w:rFonts w:asciiTheme="minorEastAsia" w:hAnsiTheme="minorEastAsia"/>
        </w:rPr>
      </w:pPr>
    </w:p>
    <w:p w14:paraId="20AF85D1">
      <w:pPr>
        <w:widowControl/>
        <w:spacing w:line="360" w:lineRule="auto"/>
        <w:ind w:firstLine="420" w:firstLineChars="200"/>
        <w:jc w:val="left"/>
        <w:rPr>
          <w:rFonts w:asciiTheme="minorEastAsia" w:hAnsiTheme="minorEastAsia"/>
        </w:rPr>
      </w:pPr>
      <w:r>
        <w:rPr>
          <w:rFonts w:hint="eastAsia" w:asciiTheme="minorEastAsia" w:hAnsiTheme="minorEastAsia"/>
        </w:rPr>
        <w:t>按照《广州市2025年生活垃圾分类处理工作要点》的工作要求，结合黄埔区实际情况，在全区有关镇街和社区，采购人指定的建设标准较低、投放点品质较差、占地面积适合的地点进行升级改造。提高投放点品质，提升垃圾分类水平。现拟对本项目采用公开招标方式确定一家中标供应商，开展2025年垃圾分类投放点新增及改造项目工作。</w:t>
      </w:r>
    </w:p>
    <w:p w14:paraId="7D41E0DE">
      <w:pPr>
        <w:tabs>
          <w:tab w:val="left" w:pos="709"/>
        </w:tabs>
        <w:adjustRightInd w:val="0"/>
        <w:snapToGrid w:val="0"/>
        <w:spacing w:line="360" w:lineRule="auto"/>
        <w:rPr>
          <w:rFonts w:ascii="宋体" w:hAnsi="宋体" w:cs="宋体"/>
          <w:b/>
          <w:sz w:val="24"/>
        </w:rPr>
      </w:pPr>
    </w:p>
    <w:p w14:paraId="05AEBB3E">
      <w:pPr>
        <w:tabs>
          <w:tab w:val="left" w:pos="709"/>
        </w:tabs>
        <w:adjustRightInd w:val="0"/>
        <w:snapToGrid w:val="0"/>
        <w:spacing w:line="360" w:lineRule="auto"/>
        <w:rPr>
          <w:rFonts w:ascii="宋体" w:hAnsi="宋体" w:cs="宋体"/>
          <w:b/>
          <w:sz w:val="24"/>
        </w:rPr>
      </w:pPr>
      <w:r>
        <w:rPr>
          <w:rFonts w:hint="eastAsia" w:ascii="宋体" w:hAnsi="宋体" w:cs="宋体"/>
          <w:b/>
          <w:sz w:val="24"/>
        </w:rPr>
        <w:t>二、采购内容</w:t>
      </w:r>
    </w:p>
    <w:tbl>
      <w:tblPr>
        <w:tblStyle w:val="5"/>
        <w:tblW w:w="5000"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0" w:type="dxa"/>
          <w:bottom w:w="0" w:type="dxa"/>
          <w:right w:w="0" w:type="dxa"/>
        </w:tblCellMar>
      </w:tblPr>
      <w:tblGrid>
        <w:gridCol w:w="1644"/>
        <w:gridCol w:w="885"/>
        <w:gridCol w:w="1553"/>
        <w:gridCol w:w="1413"/>
        <w:gridCol w:w="1413"/>
        <w:gridCol w:w="1414"/>
      </w:tblGrid>
      <w:tr w14:paraId="6A8D22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62" w:hRule="atLeast"/>
          <w:jc w:val="center"/>
        </w:trPr>
        <w:tc>
          <w:tcPr>
            <w:tcW w:w="988" w:type="pct"/>
            <w:tcBorders>
              <w:top w:val="single" w:color="000000" w:sz="6" w:space="0"/>
              <w:left w:val="single" w:color="000000" w:sz="6" w:space="0"/>
              <w:bottom w:val="single" w:color="000000" w:sz="6" w:space="0"/>
              <w:right w:val="single" w:color="000000" w:sz="6" w:space="0"/>
            </w:tcBorders>
            <w:shd w:val="clear" w:color="auto" w:fill="F4F4F4"/>
            <w:vAlign w:val="center"/>
          </w:tcPr>
          <w:p w14:paraId="302EF3FC">
            <w:pPr>
              <w:pStyle w:val="11"/>
              <w:adjustRightInd w:val="0"/>
              <w:snapToGrid w:val="0"/>
              <w:jc w:val="center"/>
              <w:rPr>
                <w:b/>
                <w:sz w:val="21"/>
                <w:szCs w:val="21"/>
              </w:rPr>
            </w:pPr>
            <w:bookmarkStart w:id="8" w:name="_Hlk146210020"/>
            <w:r>
              <w:rPr>
                <w:rFonts w:hint="eastAsia"/>
                <w:b/>
                <w:sz w:val="21"/>
                <w:szCs w:val="21"/>
              </w:rPr>
              <w:t>产品名称</w:t>
            </w:r>
          </w:p>
        </w:tc>
        <w:tc>
          <w:tcPr>
            <w:tcW w:w="532" w:type="pct"/>
            <w:tcBorders>
              <w:top w:val="single" w:color="000000" w:sz="6" w:space="0"/>
              <w:left w:val="single" w:color="000000" w:sz="6" w:space="0"/>
              <w:bottom w:val="single" w:color="000000" w:sz="6" w:space="0"/>
              <w:right w:val="single" w:color="000000" w:sz="6" w:space="0"/>
            </w:tcBorders>
            <w:shd w:val="clear" w:color="auto" w:fill="F4F4F4"/>
            <w:vAlign w:val="center"/>
          </w:tcPr>
          <w:p w14:paraId="1452D9C0">
            <w:pPr>
              <w:pStyle w:val="11"/>
              <w:adjustRightInd w:val="0"/>
              <w:snapToGrid w:val="0"/>
              <w:jc w:val="center"/>
              <w:rPr>
                <w:b/>
                <w:sz w:val="21"/>
                <w:szCs w:val="21"/>
              </w:rPr>
            </w:pPr>
            <w:r>
              <w:rPr>
                <w:rFonts w:hint="eastAsia"/>
                <w:b/>
                <w:sz w:val="21"/>
                <w:szCs w:val="21"/>
              </w:rPr>
              <w:t>类型</w:t>
            </w:r>
          </w:p>
        </w:tc>
        <w:tc>
          <w:tcPr>
            <w:tcW w:w="933" w:type="pct"/>
            <w:tcBorders>
              <w:top w:val="single" w:color="000000" w:sz="6" w:space="0"/>
              <w:left w:val="single" w:color="000000" w:sz="6" w:space="0"/>
              <w:bottom w:val="single" w:color="000000" w:sz="6" w:space="0"/>
              <w:right w:val="single" w:color="000000" w:sz="6" w:space="0"/>
            </w:tcBorders>
            <w:shd w:val="clear" w:color="auto" w:fill="F4F4F4"/>
            <w:vAlign w:val="center"/>
          </w:tcPr>
          <w:p w14:paraId="27553922">
            <w:pPr>
              <w:pStyle w:val="11"/>
              <w:adjustRightInd w:val="0"/>
              <w:snapToGrid w:val="0"/>
              <w:jc w:val="center"/>
              <w:rPr>
                <w:b/>
                <w:sz w:val="21"/>
                <w:szCs w:val="21"/>
              </w:rPr>
            </w:pPr>
            <w:r>
              <w:rPr>
                <w:rFonts w:hint="eastAsia"/>
                <w:b/>
                <w:sz w:val="21"/>
                <w:szCs w:val="21"/>
              </w:rPr>
              <w:t>投放</w:t>
            </w:r>
            <w:r>
              <w:rPr>
                <w:b/>
                <w:sz w:val="21"/>
                <w:szCs w:val="21"/>
              </w:rPr>
              <w:t>数量</w:t>
            </w:r>
          </w:p>
        </w:tc>
        <w:tc>
          <w:tcPr>
            <w:tcW w:w="849" w:type="pct"/>
            <w:tcBorders>
              <w:top w:val="single" w:color="000000" w:sz="6" w:space="0"/>
              <w:left w:val="single" w:color="000000" w:sz="6" w:space="0"/>
              <w:bottom w:val="single" w:color="000000" w:sz="6" w:space="0"/>
              <w:right w:val="single" w:color="000000" w:sz="6" w:space="0"/>
            </w:tcBorders>
            <w:shd w:val="clear" w:color="auto" w:fill="F4F4F4"/>
            <w:vAlign w:val="center"/>
          </w:tcPr>
          <w:p w14:paraId="31170AC9">
            <w:pPr>
              <w:pStyle w:val="11"/>
              <w:adjustRightInd w:val="0"/>
              <w:snapToGrid w:val="0"/>
              <w:jc w:val="center"/>
              <w:rPr>
                <w:b/>
                <w:sz w:val="21"/>
                <w:szCs w:val="21"/>
              </w:rPr>
            </w:pPr>
            <w:r>
              <w:rPr>
                <w:rFonts w:hint="eastAsia"/>
                <w:b/>
                <w:sz w:val="21"/>
                <w:szCs w:val="21"/>
              </w:rPr>
              <w:t>投放</w:t>
            </w:r>
            <w:r>
              <w:rPr>
                <w:b/>
                <w:sz w:val="21"/>
                <w:szCs w:val="21"/>
              </w:rPr>
              <w:t>面积</w:t>
            </w:r>
          </w:p>
        </w:tc>
        <w:tc>
          <w:tcPr>
            <w:tcW w:w="849" w:type="pct"/>
            <w:tcBorders>
              <w:top w:val="single" w:color="000000" w:sz="6" w:space="0"/>
              <w:left w:val="single" w:color="000000" w:sz="6" w:space="0"/>
              <w:bottom w:val="single" w:color="000000" w:sz="6" w:space="0"/>
              <w:right w:val="single" w:color="000000" w:sz="6" w:space="0"/>
            </w:tcBorders>
            <w:shd w:val="clear" w:color="auto" w:fill="F4F4F4"/>
            <w:vAlign w:val="center"/>
          </w:tcPr>
          <w:p w14:paraId="5A86234D">
            <w:pPr>
              <w:pStyle w:val="11"/>
              <w:adjustRightInd w:val="0"/>
              <w:snapToGrid w:val="0"/>
              <w:jc w:val="center"/>
              <w:rPr>
                <w:b/>
                <w:sz w:val="21"/>
                <w:szCs w:val="21"/>
              </w:rPr>
            </w:pPr>
            <w:r>
              <w:rPr>
                <w:rFonts w:hint="eastAsia"/>
                <w:b/>
                <w:sz w:val="21"/>
                <w:szCs w:val="21"/>
              </w:rPr>
              <w:t>单价限价（元/平方米）</w:t>
            </w:r>
          </w:p>
        </w:tc>
        <w:tc>
          <w:tcPr>
            <w:tcW w:w="849" w:type="pct"/>
            <w:tcBorders>
              <w:top w:val="single" w:color="000000" w:sz="6" w:space="0"/>
              <w:left w:val="single" w:color="000000" w:sz="6" w:space="0"/>
              <w:bottom w:val="single" w:color="000000" w:sz="6" w:space="0"/>
              <w:right w:val="single" w:color="000000" w:sz="6" w:space="0"/>
            </w:tcBorders>
            <w:shd w:val="clear" w:color="auto" w:fill="F4F4F4"/>
            <w:vAlign w:val="center"/>
          </w:tcPr>
          <w:p w14:paraId="072F7EFD">
            <w:pPr>
              <w:pStyle w:val="11"/>
              <w:adjustRightInd w:val="0"/>
              <w:snapToGrid w:val="0"/>
              <w:jc w:val="center"/>
              <w:rPr>
                <w:b/>
                <w:sz w:val="21"/>
                <w:szCs w:val="21"/>
              </w:rPr>
            </w:pPr>
            <w:r>
              <w:rPr>
                <w:rFonts w:hint="eastAsia"/>
                <w:b/>
                <w:sz w:val="21"/>
                <w:szCs w:val="21"/>
              </w:rPr>
              <w:t>预算金额</w:t>
            </w:r>
            <w:r>
              <w:rPr>
                <w:b/>
                <w:sz w:val="21"/>
                <w:szCs w:val="21"/>
              </w:rPr>
              <w:t>（元）</w:t>
            </w:r>
          </w:p>
        </w:tc>
      </w:tr>
      <w:tr w14:paraId="27847F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46" w:hRule="atLeast"/>
          <w:jc w:val="center"/>
        </w:trPr>
        <w:tc>
          <w:tcPr>
            <w:tcW w:w="988" w:type="pct"/>
            <w:tcBorders>
              <w:top w:val="single" w:color="000000" w:sz="6" w:space="0"/>
              <w:left w:val="single" w:color="000000" w:sz="6" w:space="0"/>
              <w:bottom w:val="single" w:color="000000" w:sz="6" w:space="0"/>
              <w:right w:val="single" w:color="000000" w:sz="6" w:space="0"/>
            </w:tcBorders>
            <w:vAlign w:val="center"/>
          </w:tcPr>
          <w:p w14:paraId="47682FFB">
            <w:pPr>
              <w:pStyle w:val="11"/>
              <w:adjustRightInd w:val="0"/>
              <w:snapToGrid w:val="0"/>
              <w:jc w:val="center"/>
              <w:rPr>
                <w:rFonts w:asciiTheme="minorEastAsia" w:hAnsiTheme="minorEastAsia"/>
                <w:sz w:val="21"/>
                <w:szCs w:val="21"/>
              </w:rPr>
            </w:pPr>
            <w:r>
              <w:rPr>
                <w:rFonts w:hint="eastAsia" w:asciiTheme="minorEastAsia" w:hAnsiTheme="minorEastAsia"/>
                <w:sz w:val="21"/>
                <w:szCs w:val="21"/>
                <w:lang w:val="en-US"/>
              </w:rPr>
              <w:t>垃圾分类投放点</w:t>
            </w:r>
          </w:p>
        </w:tc>
        <w:tc>
          <w:tcPr>
            <w:tcW w:w="532" w:type="pct"/>
            <w:tcBorders>
              <w:top w:val="single" w:color="000000" w:sz="6" w:space="0"/>
              <w:left w:val="single" w:color="000000" w:sz="6" w:space="0"/>
              <w:bottom w:val="single" w:color="000000" w:sz="6" w:space="0"/>
              <w:right w:val="single" w:color="000000" w:sz="6" w:space="0"/>
            </w:tcBorders>
            <w:vAlign w:val="center"/>
          </w:tcPr>
          <w:p w14:paraId="03058B73">
            <w:pPr>
              <w:pStyle w:val="11"/>
              <w:adjustRightInd w:val="0"/>
              <w:snapToGrid w:val="0"/>
              <w:jc w:val="center"/>
              <w:rPr>
                <w:rFonts w:asciiTheme="minorEastAsia" w:hAnsiTheme="minorEastAsia"/>
                <w:sz w:val="21"/>
                <w:szCs w:val="21"/>
              </w:rPr>
            </w:pPr>
            <w:r>
              <w:rPr>
                <w:rFonts w:hint="eastAsia" w:asciiTheme="minorEastAsia" w:hAnsiTheme="minorEastAsia"/>
                <w:sz w:val="21"/>
                <w:szCs w:val="21"/>
              </w:rPr>
              <w:t>装配式</w:t>
            </w:r>
          </w:p>
        </w:tc>
        <w:tc>
          <w:tcPr>
            <w:tcW w:w="933" w:type="pct"/>
            <w:tcBorders>
              <w:top w:val="single" w:color="000000" w:sz="6" w:space="0"/>
              <w:left w:val="single" w:color="000000" w:sz="6" w:space="0"/>
              <w:bottom w:val="single" w:color="000000" w:sz="6" w:space="0"/>
              <w:right w:val="single" w:color="000000" w:sz="6" w:space="0"/>
            </w:tcBorders>
            <w:vAlign w:val="center"/>
          </w:tcPr>
          <w:p w14:paraId="13C83583">
            <w:pPr>
              <w:pStyle w:val="11"/>
              <w:adjustRightInd w:val="0"/>
              <w:snapToGrid w:val="0"/>
              <w:jc w:val="center"/>
              <w:rPr>
                <w:rFonts w:asciiTheme="minorEastAsia" w:hAnsiTheme="minorEastAsia"/>
                <w:bCs/>
                <w:sz w:val="21"/>
                <w:szCs w:val="21"/>
              </w:rPr>
            </w:pPr>
            <w:r>
              <w:rPr>
                <w:sz w:val="21"/>
                <w:szCs w:val="21"/>
                <w:shd w:val="clear" w:color="auto" w:fill="FFFFFF"/>
              </w:rPr>
              <w:t>不少于69</w:t>
            </w:r>
            <w:r>
              <w:rPr>
                <w:rFonts w:hint="eastAsia"/>
                <w:sz w:val="21"/>
                <w:szCs w:val="21"/>
                <w:shd w:val="clear" w:color="auto" w:fill="FFFFFF"/>
              </w:rPr>
              <w:t>套</w:t>
            </w:r>
          </w:p>
        </w:tc>
        <w:tc>
          <w:tcPr>
            <w:tcW w:w="849" w:type="pct"/>
            <w:tcBorders>
              <w:top w:val="single" w:color="000000" w:sz="6" w:space="0"/>
              <w:left w:val="single" w:color="000000" w:sz="6" w:space="0"/>
              <w:bottom w:val="single" w:color="000000" w:sz="6" w:space="0"/>
              <w:right w:val="single" w:color="000000" w:sz="6" w:space="0"/>
            </w:tcBorders>
            <w:vAlign w:val="center"/>
          </w:tcPr>
          <w:p w14:paraId="5CAB6BC2">
            <w:pPr>
              <w:pStyle w:val="11"/>
              <w:adjustRightInd w:val="0"/>
              <w:snapToGrid w:val="0"/>
              <w:jc w:val="center"/>
              <w:rPr>
                <w:rFonts w:asciiTheme="minorEastAsia" w:hAnsiTheme="minorEastAsia"/>
                <w:sz w:val="21"/>
                <w:szCs w:val="21"/>
                <w:lang w:val="en-US"/>
              </w:rPr>
            </w:pPr>
            <w:r>
              <w:rPr>
                <w:sz w:val="21"/>
                <w:szCs w:val="21"/>
              </w:rPr>
              <w:t>不少于1380</w:t>
            </w:r>
            <w:r>
              <w:rPr>
                <w:rFonts w:hint="eastAsia"/>
                <w:sz w:val="21"/>
                <w:szCs w:val="21"/>
              </w:rPr>
              <w:t>平方米</w:t>
            </w:r>
          </w:p>
        </w:tc>
        <w:tc>
          <w:tcPr>
            <w:tcW w:w="849" w:type="pct"/>
            <w:tcBorders>
              <w:top w:val="single" w:color="000000" w:sz="6" w:space="0"/>
              <w:left w:val="single" w:color="000000" w:sz="6" w:space="0"/>
              <w:bottom w:val="single" w:color="000000" w:sz="6" w:space="0"/>
              <w:right w:val="single" w:color="000000" w:sz="6" w:space="0"/>
            </w:tcBorders>
            <w:vAlign w:val="center"/>
          </w:tcPr>
          <w:p w14:paraId="4BD0D8FD">
            <w:pPr>
              <w:pStyle w:val="11"/>
              <w:adjustRightInd w:val="0"/>
              <w:snapToGrid w:val="0"/>
              <w:jc w:val="center"/>
              <w:rPr>
                <w:rFonts w:asciiTheme="minorEastAsia" w:hAnsiTheme="minorEastAsia"/>
                <w:sz w:val="21"/>
                <w:szCs w:val="21"/>
                <w:lang w:val="en-US"/>
              </w:rPr>
            </w:pPr>
            <w:r>
              <w:rPr>
                <w:rFonts w:hint="eastAsia" w:asciiTheme="minorEastAsia" w:hAnsiTheme="minorEastAsia"/>
                <w:sz w:val="21"/>
                <w:szCs w:val="21"/>
                <w:lang w:val="en-US"/>
              </w:rPr>
              <w:t>6</w:t>
            </w:r>
            <w:r>
              <w:rPr>
                <w:rFonts w:asciiTheme="minorEastAsia" w:hAnsiTheme="minorEastAsia"/>
                <w:sz w:val="21"/>
                <w:szCs w:val="21"/>
                <w:lang w:val="en-US"/>
              </w:rPr>
              <w:t>,</w:t>
            </w:r>
            <w:r>
              <w:rPr>
                <w:rFonts w:hint="eastAsia" w:asciiTheme="minorEastAsia" w:hAnsiTheme="minorEastAsia"/>
                <w:sz w:val="21"/>
                <w:szCs w:val="21"/>
                <w:lang w:val="en-US"/>
              </w:rPr>
              <w:t>000</w:t>
            </w:r>
            <w:r>
              <w:rPr>
                <w:rFonts w:asciiTheme="minorEastAsia" w:hAnsiTheme="minorEastAsia"/>
                <w:sz w:val="21"/>
                <w:szCs w:val="21"/>
                <w:lang w:val="en-US"/>
              </w:rPr>
              <w:t>.00</w:t>
            </w:r>
          </w:p>
        </w:tc>
        <w:tc>
          <w:tcPr>
            <w:tcW w:w="849" w:type="pct"/>
            <w:tcBorders>
              <w:top w:val="single" w:color="000000" w:sz="6" w:space="0"/>
              <w:left w:val="single" w:color="000000" w:sz="6" w:space="0"/>
              <w:bottom w:val="single" w:color="000000" w:sz="6" w:space="0"/>
              <w:right w:val="single" w:color="000000" w:sz="6" w:space="0"/>
            </w:tcBorders>
            <w:vAlign w:val="center"/>
          </w:tcPr>
          <w:p w14:paraId="34BDEE6A">
            <w:pPr>
              <w:pStyle w:val="11"/>
              <w:adjustRightInd w:val="0"/>
              <w:snapToGrid w:val="0"/>
              <w:jc w:val="center"/>
              <w:rPr>
                <w:rFonts w:asciiTheme="minorEastAsia" w:hAnsiTheme="minorEastAsia"/>
                <w:sz w:val="21"/>
                <w:szCs w:val="21"/>
                <w:lang w:val="en-US"/>
              </w:rPr>
            </w:pPr>
            <w:r>
              <w:rPr>
                <w:rFonts w:asciiTheme="minorEastAsia" w:hAnsiTheme="minorEastAsia"/>
                <w:sz w:val="21"/>
                <w:szCs w:val="21"/>
                <w:lang w:val="en-US"/>
              </w:rPr>
              <w:t>8,280,000.00</w:t>
            </w:r>
          </w:p>
        </w:tc>
      </w:tr>
      <w:bookmarkEnd w:id="8"/>
    </w:tbl>
    <w:p w14:paraId="20656870">
      <w:pPr>
        <w:tabs>
          <w:tab w:val="left" w:pos="709"/>
        </w:tabs>
        <w:adjustRightInd w:val="0"/>
        <w:snapToGrid w:val="0"/>
        <w:spacing w:line="360" w:lineRule="auto"/>
        <w:rPr>
          <w:rFonts w:ascii="宋体" w:hAnsi="宋体" w:cs="宋体"/>
          <w:b/>
          <w:szCs w:val="21"/>
        </w:rPr>
      </w:pPr>
    </w:p>
    <w:p w14:paraId="5865108E">
      <w:pPr>
        <w:tabs>
          <w:tab w:val="left" w:pos="709"/>
        </w:tabs>
        <w:adjustRightInd w:val="0"/>
        <w:snapToGrid w:val="0"/>
        <w:spacing w:line="360" w:lineRule="auto"/>
        <w:rPr>
          <w:rFonts w:ascii="宋体" w:hAnsi="宋体" w:cs="宋体"/>
          <w:b/>
          <w:szCs w:val="21"/>
        </w:rPr>
      </w:pPr>
      <w:r>
        <w:rPr>
          <w:rFonts w:hint="eastAsia" w:ascii="宋体" w:hAnsi="宋体" w:cs="宋体"/>
          <w:b/>
          <w:szCs w:val="21"/>
        </w:rPr>
        <w:t>说明</w:t>
      </w:r>
      <w:r>
        <w:rPr>
          <w:rFonts w:ascii="宋体" w:hAnsi="宋体" w:cs="宋体"/>
          <w:b/>
          <w:szCs w:val="21"/>
        </w:rPr>
        <w:t>：</w:t>
      </w:r>
    </w:p>
    <w:p w14:paraId="2939972B">
      <w:pPr>
        <w:tabs>
          <w:tab w:val="left" w:pos="709"/>
        </w:tabs>
        <w:adjustRightInd w:val="0"/>
        <w:snapToGrid w:val="0"/>
        <w:spacing w:line="360" w:lineRule="auto"/>
        <w:rPr>
          <w:rFonts w:ascii="宋体" w:hAnsi="宋体" w:cs="宋体"/>
          <w:szCs w:val="21"/>
        </w:rPr>
      </w:pPr>
      <w:r>
        <w:rPr>
          <w:rFonts w:ascii="宋体" w:hAnsi="宋体" w:cs="宋体"/>
          <w:szCs w:val="21"/>
        </w:rPr>
        <w:t>1</w:t>
      </w:r>
      <w:r>
        <w:rPr>
          <w:rFonts w:hint="eastAsia" w:ascii="宋体" w:hAnsi="宋体" w:cs="宋体"/>
          <w:szCs w:val="21"/>
        </w:rPr>
        <w:t>、未经得采购人书面同意，中标供应商不得再以任何方式转包或分包本项目。</w:t>
      </w:r>
    </w:p>
    <w:p w14:paraId="766C654D">
      <w:pPr>
        <w:tabs>
          <w:tab w:val="left" w:pos="709"/>
        </w:tabs>
        <w:adjustRightInd w:val="0"/>
        <w:snapToGrid w:val="0"/>
        <w:spacing w:line="360" w:lineRule="auto"/>
        <w:rPr>
          <w:rFonts w:ascii="宋体" w:hAnsi="宋体" w:cs="宋体"/>
          <w:szCs w:val="21"/>
        </w:rPr>
      </w:pPr>
      <w:r>
        <w:rPr>
          <w:rFonts w:hint="eastAsia" w:ascii="宋体" w:hAnsi="宋体" w:cs="宋体"/>
          <w:szCs w:val="21"/>
        </w:rPr>
        <w:t>2、本项目单价限价为：</w:t>
      </w:r>
      <w:r>
        <w:rPr>
          <w:rFonts w:ascii="宋体" w:hAnsi="宋体" w:cs="宋体"/>
          <w:szCs w:val="21"/>
        </w:rPr>
        <w:t>6,000.00</w:t>
      </w:r>
      <w:r>
        <w:rPr>
          <w:rFonts w:hint="eastAsia" w:ascii="宋体" w:hAnsi="宋体" w:cs="宋体"/>
          <w:szCs w:val="21"/>
        </w:rPr>
        <w:t>元/平方米。投标单价如超出单价限价的投标，将导致投标无效。投标单价包括设计方案、货款、运输、随机零配件、标配工具、安装调试、设计、制作、验收、培训、质保期服务、各项保险、税费以及合同实施过程中可能出现的一切费用，采购人不再另行支付任何费用。</w:t>
      </w:r>
    </w:p>
    <w:p w14:paraId="4E3A7B0E">
      <w:pPr>
        <w:tabs>
          <w:tab w:val="left" w:pos="709"/>
        </w:tabs>
        <w:adjustRightInd w:val="0"/>
        <w:snapToGrid w:val="0"/>
        <w:spacing w:line="360" w:lineRule="auto"/>
        <w:rPr>
          <w:rFonts w:ascii="宋体" w:hAnsi="宋体" w:cs="宋体"/>
          <w:szCs w:val="21"/>
        </w:rPr>
      </w:pPr>
      <w:r>
        <w:rPr>
          <w:rFonts w:hint="eastAsia" w:ascii="宋体" w:hAnsi="宋体" w:cs="宋体"/>
          <w:bCs/>
          <w:sz w:val="24"/>
        </w:rPr>
        <w:t>3、</w:t>
      </w:r>
      <w:r>
        <w:rPr>
          <w:rFonts w:hint="eastAsia" w:asciiTheme="minorEastAsia" w:hAnsiTheme="minorEastAsia"/>
          <w:bCs/>
          <w:szCs w:val="21"/>
        </w:rPr>
        <w:t>报价要求：投标人的投标总价=投标</w:t>
      </w:r>
      <w:r>
        <w:rPr>
          <w:rFonts w:hint="eastAsia"/>
          <w:bCs/>
          <w:szCs w:val="21"/>
        </w:rPr>
        <w:t>单价（元/平方米）X投放面积，其中</w:t>
      </w:r>
      <w:r>
        <w:rPr>
          <w:rFonts w:hint="eastAsia" w:asciiTheme="minorEastAsia" w:hAnsiTheme="minorEastAsia"/>
          <w:bCs/>
          <w:szCs w:val="21"/>
        </w:rPr>
        <w:t>投标</w:t>
      </w:r>
      <w:r>
        <w:rPr>
          <w:rFonts w:hint="eastAsia"/>
          <w:bCs/>
          <w:szCs w:val="21"/>
        </w:rPr>
        <w:t>单价限价为</w:t>
      </w:r>
      <w:r>
        <w:rPr>
          <w:rFonts w:hint="eastAsia" w:asciiTheme="minorEastAsia" w:hAnsiTheme="minorEastAsia"/>
          <w:szCs w:val="21"/>
        </w:rPr>
        <w:t>6</w:t>
      </w:r>
      <w:r>
        <w:rPr>
          <w:rFonts w:asciiTheme="minorEastAsia" w:hAnsiTheme="minorEastAsia"/>
          <w:szCs w:val="21"/>
        </w:rPr>
        <w:t>,</w:t>
      </w:r>
      <w:r>
        <w:rPr>
          <w:rFonts w:hint="eastAsia" w:asciiTheme="minorEastAsia" w:hAnsiTheme="minorEastAsia"/>
          <w:szCs w:val="21"/>
        </w:rPr>
        <w:t>000</w:t>
      </w:r>
      <w:r>
        <w:rPr>
          <w:rFonts w:asciiTheme="minorEastAsia" w:hAnsiTheme="minorEastAsia"/>
          <w:szCs w:val="21"/>
        </w:rPr>
        <w:t>.00</w:t>
      </w:r>
      <w:r>
        <w:rPr>
          <w:rFonts w:hint="eastAsia" w:asciiTheme="minorEastAsia" w:hAnsiTheme="minorEastAsia"/>
          <w:szCs w:val="21"/>
        </w:rPr>
        <w:t>元</w:t>
      </w:r>
      <w:r>
        <w:rPr>
          <w:rFonts w:hint="eastAsia"/>
          <w:bCs/>
          <w:szCs w:val="21"/>
        </w:rPr>
        <w:t>/平方米，投放面积不小于1380平方米。投标总价不超过预算金额</w:t>
      </w:r>
      <w:r>
        <w:rPr>
          <w:rFonts w:asciiTheme="minorEastAsia" w:hAnsiTheme="minorEastAsia"/>
          <w:szCs w:val="21"/>
        </w:rPr>
        <w:t>8,280,000.00</w:t>
      </w:r>
      <w:r>
        <w:rPr>
          <w:rFonts w:hint="eastAsia" w:asciiTheme="minorEastAsia" w:hAnsiTheme="minorEastAsia"/>
          <w:szCs w:val="21"/>
        </w:rPr>
        <w:t>元。</w:t>
      </w:r>
    </w:p>
    <w:p w14:paraId="3C33F505">
      <w:pPr>
        <w:rPr>
          <w:rFonts w:ascii="宋体" w:hAnsi="宋体" w:cs="宋体"/>
          <w:b/>
          <w:sz w:val="24"/>
        </w:rPr>
      </w:pPr>
      <w:r>
        <w:rPr>
          <w:rFonts w:hint="eastAsia" w:ascii="宋体" w:hAnsi="宋体" w:cs="宋体"/>
          <w:b/>
          <w:sz w:val="24"/>
        </w:rPr>
        <w:br w:type="page"/>
      </w:r>
    </w:p>
    <w:tbl>
      <w:tblPr>
        <w:tblStyle w:val="5"/>
        <w:tblW w:w="0" w:type="auto"/>
        <w:tblInd w:w="0" w:type="dxa"/>
        <w:tblLayout w:type="autofit"/>
        <w:tblCellMar>
          <w:top w:w="0" w:type="dxa"/>
          <w:left w:w="108" w:type="dxa"/>
          <w:bottom w:w="0" w:type="dxa"/>
          <w:right w:w="108" w:type="dxa"/>
        </w:tblCellMar>
      </w:tblPr>
      <w:tblGrid>
        <w:gridCol w:w="635"/>
        <w:gridCol w:w="891"/>
        <w:gridCol w:w="1134"/>
        <w:gridCol w:w="1134"/>
        <w:gridCol w:w="1276"/>
        <w:gridCol w:w="1508"/>
        <w:gridCol w:w="1944"/>
      </w:tblGrid>
      <w:tr w14:paraId="03361EC3">
        <w:tblPrEx>
          <w:tblCellMar>
            <w:top w:w="0" w:type="dxa"/>
            <w:left w:w="108" w:type="dxa"/>
            <w:bottom w:w="0" w:type="dxa"/>
            <w:right w:w="108" w:type="dxa"/>
          </w:tblCellMar>
        </w:tblPrEx>
        <w:trPr>
          <w:trHeight w:val="780" w:hRule="atLeast"/>
        </w:trPr>
        <w:tc>
          <w:tcPr>
            <w:tcW w:w="0" w:type="auto"/>
            <w:gridSpan w:val="7"/>
            <w:tcBorders>
              <w:top w:val="single" w:color="000000" w:sz="4" w:space="0"/>
              <w:left w:val="single" w:color="000000" w:sz="4" w:space="0"/>
              <w:bottom w:val="single" w:color="000000" w:sz="4" w:space="0"/>
              <w:right w:val="single" w:color="auto" w:sz="4" w:space="0"/>
            </w:tcBorders>
            <w:shd w:val="clear" w:color="auto" w:fill="auto"/>
            <w:noWrap/>
            <w:vAlign w:val="center"/>
          </w:tcPr>
          <w:p w14:paraId="6E471434">
            <w:pPr>
              <w:widowControl/>
              <w:jc w:val="center"/>
              <w:textAlignment w:val="center"/>
              <w:rPr>
                <w:rFonts w:cs="宋体" w:asciiTheme="minorEastAsia" w:hAnsiTheme="minorEastAsia"/>
                <w:b/>
                <w:bCs/>
                <w:color w:val="000000"/>
                <w:kern w:val="0"/>
                <w:szCs w:val="21"/>
                <w:lang w:bidi="ar"/>
              </w:rPr>
            </w:pPr>
            <w:r>
              <w:rPr>
                <w:rFonts w:hint="eastAsia" w:cs="宋体" w:asciiTheme="minorEastAsia" w:hAnsiTheme="minorEastAsia"/>
                <w:b/>
                <w:bCs/>
                <w:color w:val="000000"/>
                <w:kern w:val="0"/>
                <w:szCs w:val="21"/>
                <w:lang w:bidi="ar"/>
              </w:rPr>
              <w:t>2025年垃圾分类投放点新增及改造项目</w:t>
            </w:r>
          </w:p>
          <w:p w14:paraId="37DF0E58">
            <w:pPr>
              <w:widowControl/>
              <w:jc w:val="center"/>
              <w:textAlignment w:val="center"/>
              <w:rPr>
                <w:rFonts w:cs="宋体" w:asciiTheme="minorEastAsia" w:hAnsiTheme="minorEastAsia"/>
                <w:b/>
                <w:bCs/>
                <w:color w:val="000000"/>
                <w:szCs w:val="21"/>
              </w:rPr>
            </w:pPr>
            <w:r>
              <w:rPr>
                <w:rFonts w:hint="eastAsia" w:cs="宋体" w:asciiTheme="minorEastAsia" w:hAnsiTheme="minorEastAsia"/>
                <w:b/>
                <w:bCs/>
                <w:color w:val="000000"/>
                <w:kern w:val="0"/>
                <w:szCs w:val="21"/>
                <w:lang w:bidi="ar"/>
              </w:rPr>
              <w:t>申报点位统计表</w:t>
            </w:r>
          </w:p>
        </w:tc>
      </w:tr>
      <w:tr w14:paraId="4F8E2C6A">
        <w:tblPrEx>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46DBAE">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序号</w:t>
            </w:r>
          </w:p>
        </w:tc>
        <w:tc>
          <w:tcPr>
            <w:tcW w:w="8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668EF0">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行政区</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8646CE">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镇街</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5740D2">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社区</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5EBF63">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小区（片区）</w:t>
            </w:r>
          </w:p>
        </w:tc>
        <w:tc>
          <w:tcPr>
            <w:tcW w:w="15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E0FFA0">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点位名称</w:t>
            </w:r>
          </w:p>
        </w:tc>
        <w:tc>
          <w:tcPr>
            <w:tcW w:w="19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BB5B9E">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具体地址</w:t>
            </w:r>
          </w:p>
        </w:tc>
      </w:tr>
      <w:tr w14:paraId="4D9AC5D5">
        <w:tblPrEx>
          <w:tblCellMar>
            <w:top w:w="0" w:type="dxa"/>
            <w:left w:w="108" w:type="dxa"/>
            <w:bottom w:w="0" w:type="dxa"/>
            <w:right w:w="108" w:type="dxa"/>
          </w:tblCellMar>
        </w:tblPrEx>
        <w:trPr>
          <w:trHeight w:val="5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C4ABDAB">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1</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5B16D2">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黄埔区</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875DFE">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黄埔街道</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2D9BBC">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机关村社区</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BC598F">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港前路531号大院</w:t>
            </w:r>
          </w:p>
        </w:tc>
        <w:tc>
          <w:tcPr>
            <w:tcW w:w="15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C489C1">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误时投放点2号</w:t>
            </w:r>
          </w:p>
        </w:tc>
        <w:tc>
          <w:tcPr>
            <w:tcW w:w="19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E5A3E6">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港湾机关村社区港前路531号大院7号楼附近机关村误时</w:t>
            </w:r>
          </w:p>
        </w:tc>
      </w:tr>
      <w:tr w14:paraId="0AEB63C7">
        <w:tblPrEx>
          <w:tblCellMar>
            <w:top w:w="0" w:type="dxa"/>
            <w:left w:w="108" w:type="dxa"/>
            <w:bottom w:w="0" w:type="dxa"/>
            <w:right w:w="108" w:type="dxa"/>
          </w:tblCellMar>
        </w:tblPrEx>
        <w:trPr>
          <w:trHeight w:val="5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5A45B8A">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2</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588AD5">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黄埔区</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D2F514">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黄埔街道</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10E917">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金港华园社区</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CAF59E">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金港华园</w:t>
            </w:r>
          </w:p>
        </w:tc>
        <w:tc>
          <w:tcPr>
            <w:tcW w:w="15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3D7534">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金堂楼误时投放点</w:t>
            </w:r>
          </w:p>
        </w:tc>
        <w:tc>
          <w:tcPr>
            <w:tcW w:w="19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C63EAF">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荔香路38号大院21号西侧金港华园金堂金满</w:t>
            </w:r>
          </w:p>
        </w:tc>
      </w:tr>
      <w:tr w14:paraId="5F011E61">
        <w:tblPrEx>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35F7F3F">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3</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A13EFA">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黄埔区</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F99AF2">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黄埔街道</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B9EA23">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怡园社区</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583D36">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怡园西街30号</w:t>
            </w:r>
          </w:p>
        </w:tc>
        <w:tc>
          <w:tcPr>
            <w:tcW w:w="15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30FF7B">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定时投放点1号</w:t>
            </w:r>
          </w:p>
        </w:tc>
        <w:tc>
          <w:tcPr>
            <w:tcW w:w="19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C5FABB">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怡园社区怡园西街30号对出电房旁</w:t>
            </w:r>
          </w:p>
        </w:tc>
      </w:tr>
      <w:tr w14:paraId="654116F7">
        <w:tblPrEx>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8F74901">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4</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B87611">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黄埔区</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9647B0">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红山街道</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48F8CA">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双沙转制社区</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7D2CA8">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翁裕苑小区</w:t>
            </w:r>
          </w:p>
        </w:tc>
        <w:tc>
          <w:tcPr>
            <w:tcW w:w="15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27099C">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误时投放点1号</w:t>
            </w:r>
          </w:p>
        </w:tc>
        <w:tc>
          <w:tcPr>
            <w:tcW w:w="19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A8AB0C">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翁裕苑小区门岗旁</w:t>
            </w:r>
          </w:p>
        </w:tc>
      </w:tr>
      <w:tr w14:paraId="522E6C23">
        <w:tblPrEx>
          <w:tblCellMar>
            <w:top w:w="0" w:type="dxa"/>
            <w:left w:w="108" w:type="dxa"/>
            <w:bottom w:w="0" w:type="dxa"/>
            <w:right w:w="108" w:type="dxa"/>
          </w:tblCellMar>
        </w:tblPrEx>
        <w:trPr>
          <w:trHeight w:val="5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D1AE709">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5</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1E0DEC">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黄埔区</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0905C8">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夏港街道</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2F8479">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丽江社区</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FA065B">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金友街21号</w:t>
            </w:r>
          </w:p>
        </w:tc>
        <w:tc>
          <w:tcPr>
            <w:tcW w:w="15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D26FDB">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尚品华庭小区误时投放点2号</w:t>
            </w:r>
          </w:p>
        </w:tc>
        <w:tc>
          <w:tcPr>
            <w:tcW w:w="19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19F123">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广州市黄埔区夏港街道丽江社区金友街21号</w:t>
            </w:r>
          </w:p>
        </w:tc>
      </w:tr>
      <w:tr w14:paraId="3441C1A5">
        <w:tblPrEx>
          <w:tblCellMar>
            <w:top w:w="0" w:type="dxa"/>
            <w:left w:w="108" w:type="dxa"/>
            <w:bottom w:w="0" w:type="dxa"/>
            <w:right w:w="108" w:type="dxa"/>
          </w:tblCellMar>
        </w:tblPrEx>
        <w:trPr>
          <w:trHeight w:val="5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9F7500F">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6</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C72504">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黄埔区</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E3F4EE">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夏港街道</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380648">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丽江社区</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55DE5C">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金友街10号</w:t>
            </w:r>
          </w:p>
        </w:tc>
        <w:tc>
          <w:tcPr>
            <w:tcW w:w="15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403FF8">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丽江花苑小区误时投放点1号</w:t>
            </w:r>
          </w:p>
        </w:tc>
        <w:tc>
          <w:tcPr>
            <w:tcW w:w="19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E2F10D">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广州市黄埔区夏港街道丽江社区金友街10号</w:t>
            </w:r>
          </w:p>
        </w:tc>
      </w:tr>
      <w:tr w14:paraId="59D85163">
        <w:tblPrEx>
          <w:tblCellMar>
            <w:top w:w="0" w:type="dxa"/>
            <w:left w:w="108" w:type="dxa"/>
            <w:bottom w:w="0" w:type="dxa"/>
            <w:right w:w="108" w:type="dxa"/>
          </w:tblCellMar>
        </w:tblPrEx>
        <w:trPr>
          <w:trHeight w:val="5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9AEAAA3">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7</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D504EF">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黄埔区</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2B16DF">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夏港街道</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193EE2">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普晖社区</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8E1DB9">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普晖大街153号</w:t>
            </w:r>
          </w:p>
        </w:tc>
        <w:tc>
          <w:tcPr>
            <w:tcW w:w="15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170FD5">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普晖小区误时投放点4号</w:t>
            </w:r>
          </w:p>
        </w:tc>
        <w:tc>
          <w:tcPr>
            <w:tcW w:w="19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C73F1D">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广州市黄埔区夏港街普晖社区普晖大街153号</w:t>
            </w:r>
          </w:p>
        </w:tc>
      </w:tr>
      <w:tr w14:paraId="1B65F1B5">
        <w:tblPrEx>
          <w:tblCellMar>
            <w:top w:w="0" w:type="dxa"/>
            <w:left w:w="108" w:type="dxa"/>
            <w:bottom w:w="0" w:type="dxa"/>
            <w:right w:w="108" w:type="dxa"/>
          </w:tblCellMar>
        </w:tblPrEx>
        <w:trPr>
          <w:trHeight w:val="5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AB7324F">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8</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11D764">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黄埔区</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80F73C">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夏港街道</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99A5D1">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普晖社区</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7B27C8">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开发大道40号</w:t>
            </w:r>
          </w:p>
        </w:tc>
        <w:tc>
          <w:tcPr>
            <w:tcW w:w="15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B1E9DD">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普晖小区误时投放点5号</w:t>
            </w:r>
          </w:p>
        </w:tc>
        <w:tc>
          <w:tcPr>
            <w:tcW w:w="19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65A4B1">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广州市黄埔区夏港街普晖社区开发大道40号</w:t>
            </w:r>
          </w:p>
        </w:tc>
      </w:tr>
      <w:tr w14:paraId="31579DBF">
        <w:tblPrEx>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0F66E18">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9</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EA512D">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黄埔区</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392FF8">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大沙街道</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F22A6A">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横沙社区</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51FEDF">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珺合府珺合街</w:t>
            </w:r>
          </w:p>
        </w:tc>
        <w:tc>
          <w:tcPr>
            <w:tcW w:w="15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AB8D1A">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珺合府珺合街小区南门旁—误时投放点</w:t>
            </w:r>
          </w:p>
        </w:tc>
        <w:tc>
          <w:tcPr>
            <w:tcW w:w="19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50DAFD">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大沙街道珺合府珺合街</w:t>
            </w:r>
          </w:p>
        </w:tc>
      </w:tr>
      <w:tr w14:paraId="00B15DC1">
        <w:tblPrEx>
          <w:tblCellMar>
            <w:top w:w="0" w:type="dxa"/>
            <w:left w:w="108" w:type="dxa"/>
            <w:bottom w:w="0" w:type="dxa"/>
            <w:right w:w="108" w:type="dxa"/>
          </w:tblCellMar>
        </w:tblPrEx>
        <w:trPr>
          <w:trHeight w:val="5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94B7006">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10</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153C2B">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黄埔区</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B21AFA">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文冲街道</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C1F575">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石化社区</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F28776">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石化大院</w:t>
            </w:r>
          </w:p>
        </w:tc>
        <w:tc>
          <w:tcPr>
            <w:tcW w:w="15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437A61">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误时投放点1号</w:t>
            </w:r>
          </w:p>
        </w:tc>
        <w:tc>
          <w:tcPr>
            <w:tcW w:w="19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BAC423">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广州市黄埔区石化路166号大院石化大院3栋</w:t>
            </w:r>
          </w:p>
        </w:tc>
      </w:tr>
      <w:tr w14:paraId="7A0C7B2E">
        <w:tblPrEx>
          <w:tblCellMar>
            <w:top w:w="0" w:type="dxa"/>
            <w:left w:w="108" w:type="dxa"/>
            <w:bottom w:w="0" w:type="dxa"/>
            <w:right w:w="108" w:type="dxa"/>
          </w:tblCellMar>
        </w:tblPrEx>
        <w:trPr>
          <w:trHeight w:val="5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F666033">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11</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854904">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黄埔区</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4EDE2D">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文冲街道</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AE63FE">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石化社区</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3EB7D4">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石化大院</w:t>
            </w:r>
          </w:p>
        </w:tc>
        <w:tc>
          <w:tcPr>
            <w:tcW w:w="15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1F0E77">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定时投放点1号</w:t>
            </w:r>
          </w:p>
        </w:tc>
        <w:tc>
          <w:tcPr>
            <w:tcW w:w="19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7ACBE4">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广州市黄埔区石化路166号大院石化大院9栋</w:t>
            </w:r>
          </w:p>
        </w:tc>
      </w:tr>
      <w:tr w14:paraId="34FF1259">
        <w:tblPrEx>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BDE9F74">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12</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97F5D7">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黄埔区</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BF04A1">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南岗街道</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21984B">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南岗圩社区</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DC15D8">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未来城</w:t>
            </w:r>
          </w:p>
        </w:tc>
        <w:tc>
          <w:tcPr>
            <w:tcW w:w="15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3EB379">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新建点位</w:t>
            </w:r>
          </w:p>
        </w:tc>
        <w:tc>
          <w:tcPr>
            <w:tcW w:w="19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77EA2D">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未来城收集点旁</w:t>
            </w:r>
          </w:p>
        </w:tc>
      </w:tr>
      <w:tr w14:paraId="3ECAD35B">
        <w:tblPrEx>
          <w:tblCellMar>
            <w:top w:w="0" w:type="dxa"/>
            <w:left w:w="108" w:type="dxa"/>
            <w:bottom w:w="0" w:type="dxa"/>
            <w:right w:w="108" w:type="dxa"/>
          </w:tblCellMar>
        </w:tblPrEx>
        <w:trPr>
          <w:trHeight w:val="5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86FBF1E">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13</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03B31F">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黄埔区</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FB8234">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永和街道</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BEEBD8">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青藤花园</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6A86F9">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青藤花园</w:t>
            </w:r>
          </w:p>
        </w:tc>
        <w:tc>
          <w:tcPr>
            <w:tcW w:w="15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C8DF91">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定时投放点1号</w:t>
            </w:r>
          </w:p>
        </w:tc>
        <w:tc>
          <w:tcPr>
            <w:tcW w:w="19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3580BC">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广州市黄埔区永和街道青藤花园九岭路30号1栋无障碍电梯旁围墙</w:t>
            </w:r>
          </w:p>
        </w:tc>
      </w:tr>
      <w:tr w14:paraId="52D73B03">
        <w:tblPrEx>
          <w:tblCellMar>
            <w:top w:w="0" w:type="dxa"/>
            <w:left w:w="108" w:type="dxa"/>
            <w:bottom w:w="0" w:type="dxa"/>
            <w:right w:w="108" w:type="dxa"/>
          </w:tblCellMar>
        </w:tblPrEx>
        <w:trPr>
          <w:trHeight w:val="5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61B10F2">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14</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65C0F2">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黄埔区</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A7E41E">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永和街道</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E75BCB">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蓝藤社区</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B94F30">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锦藤花园</w:t>
            </w:r>
          </w:p>
        </w:tc>
        <w:tc>
          <w:tcPr>
            <w:tcW w:w="15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1FD97A">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误时投放点2号</w:t>
            </w:r>
          </w:p>
        </w:tc>
        <w:tc>
          <w:tcPr>
            <w:tcW w:w="19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E6ECAC">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广州市黄埔区永和街道蓝藤社区锦藤花园红旗路与禾丰二路交叉口南220米</w:t>
            </w:r>
          </w:p>
        </w:tc>
      </w:tr>
      <w:tr w14:paraId="543A7DCA">
        <w:tblPrEx>
          <w:tblCellMar>
            <w:top w:w="0" w:type="dxa"/>
            <w:left w:w="108" w:type="dxa"/>
            <w:bottom w:w="0" w:type="dxa"/>
            <w:right w:w="108" w:type="dxa"/>
          </w:tblCellMar>
        </w:tblPrEx>
        <w:trPr>
          <w:trHeight w:val="81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5FFCE83">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15</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A24B0F">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黄埔区</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2665A1">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永和街道</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158989">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里享家社区</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4A2184">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里享蔚来</w:t>
            </w:r>
          </w:p>
        </w:tc>
        <w:tc>
          <w:tcPr>
            <w:tcW w:w="15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F48924">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定时投放点1号</w:t>
            </w:r>
          </w:p>
        </w:tc>
        <w:tc>
          <w:tcPr>
            <w:tcW w:w="19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3DE8CB">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广州市黄埔区永和街道新业路34号(里享家北面停车场正北方向170米里享蔚来小区-里享蔚来T15栋对面）</w:t>
            </w:r>
          </w:p>
        </w:tc>
      </w:tr>
      <w:tr w14:paraId="02CA3620">
        <w:tblPrEx>
          <w:tblCellMar>
            <w:top w:w="0" w:type="dxa"/>
            <w:left w:w="108" w:type="dxa"/>
            <w:bottom w:w="0" w:type="dxa"/>
            <w:right w:w="108" w:type="dxa"/>
          </w:tblCellMar>
        </w:tblPrEx>
        <w:trPr>
          <w:trHeight w:val="5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2F882FA">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16</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C58D6E">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黄埔区</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CFA249">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长岭街道</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917E97">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和苑南社区</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B27047">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萝穗南二街</w:t>
            </w:r>
          </w:p>
        </w:tc>
        <w:tc>
          <w:tcPr>
            <w:tcW w:w="15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8A0C5D">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误时投放点1号</w:t>
            </w:r>
          </w:p>
        </w:tc>
        <w:tc>
          <w:tcPr>
            <w:tcW w:w="19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092AF1">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广州市黄埔区长岭街道和苑南社区萝穗南二街1号</w:t>
            </w:r>
          </w:p>
        </w:tc>
      </w:tr>
      <w:tr w14:paraId="4A6579E3">
        <w:tblPrEx>
          <w:tblCellMar>
            <w:top w:w="0" w:type="dxa"/>
            <w:left w:w="108" w:type="dxa"/>
            <w:bottom w:w="0" w:type="dxa"/>
            <w:right w:w="108" w:type="dxa"/>
          </w:tblCellMar>
        </w:tblPrEx>
        <w:trPr>
          <w:trHeight w:val="5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28B2186">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17</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91D87D">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黄埔区</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2B16D7">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长岭街道</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18115F">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和苑南社区</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5F2621">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萝穗南三街</w:t>
            </w:r>
          </w:p>
        </w:tc>
        <w:tc>
          <w:tcPr>
            <w:tcW w:w="15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4697CF">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误时投放点2号</w:t>
            </w:r>
          </w:p>
        </w:tc>
        <w:tc>
          <w:tcPr>
            <w:tcW w:w="19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3A8F2E">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广州市黄埔区长岭街道和苑南社区萝穗南三街7号旁</w:t>
            </w:r>
          </w:p>
        </w:tc>
      </w:tr>
      <w:tr w14:paraId="37FD9C35">
        <w:tblPrEx>
          <w:tblCellMar>
            <w:top w:w="0" w:type="dxa"/>
            <w:left w:w="108" w:type="dxa"/>
            <w:bottom w:w="0" w:type="dxa"/>
            <w:right w:w="108" w:type="dxa"/>
          </w:tblCellMar>
        </w:tblPrEx>
        <w:trPr>
          <w:trHeight w:val="5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201DFAB">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18</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EE73AC">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黄埔区</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D84B14">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长岭街道</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C4FD95">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和苑南社区</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410343">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萝穗南三街</w:t>
            </w:r>
          </w:p>
        </w:tc>
        <w:tc>
          <w:tcPr>
            <w:tcW w:w="15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26FBC8">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误时投放点3号</w:t>
            </w:r>
          </w:p>
        </w:tc>
        <w:tc>
          <w:tcPr>
            <w:tcW w:w="19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95E459">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广州市黄埔区长岭街道和苑南社区萝穗南三街17号</w:t>
            </w:r>
          </w:p>
        </w:tc>
      </w:tr>
      <w:tr w14:paraId="41A48F55">
        <w:tblPrEx>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75E5DD8">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19</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42F0FA">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黄埔区</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236191">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长岭街道</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62BABE">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 xml:space="preserve">长岭社区 </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A2ADF1">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岭南林语</w:t>
            </w:r>
          </w:p>
        </w:tc>
        <w:tc>
          <w:tcPr>
            <w:tcW w:w="15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F7C2C1">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新建点位</w:t>
            </w:r>
          </w:p>
        </w:tc>
        <w:tc>
          <w:tcPr>
            <w:tcW w:w="19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F7358A">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岭南林语侧门与别墅区之间</w:t>
            </w:r>
          </w:p>
        </w:tc>
      </w:tr>
      <w:tr w14:paraId="1CEAFC3F">
        <w:tblPrEx>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11B805A">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20</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17D9AE">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黄埔区</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06D202">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长岭街道</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B382D9">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 xml:space="preserve">长岭社区 </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AF9CCC">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岭南林语</w:t>
            </w:r>
          </w:p>
        </w:tc>
        <w:tc>
          <w:tcPr>
            <w:tcW w:w="15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1EE90A">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误时投放点2号</w:t>
            </w:r>
          </w:p>
        </w:tc>
        <w:tc>
          <w:tcPr>
            <w:tcW w:w="19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DF27E9">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岭南林语南门</w:t>
            </w:r>
          </w:p>
        </w:tc>
      </w:tr>
      <w:tr w14:paraId="58D67CEB">
        <w:tblPrEx>
          <w:tblCellMar>
            <w:top w:w="0" w:type="dxa"/>
            <w:left w:w="108" w:type="dxa"/>
            <w:bottom w:w="0" w:type="dxa"/>
            <w:right w:w="108" w:type="dxa"/>
          </w:tblCellMar>
        </w:tblPrEx>
        <w:trPr>
          <w:trHeight w:val="5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DDBB947">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21</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5FD073">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黄埔区</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CCCF21">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云埔街道</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32E87F">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新东社区</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0E433A">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宏康东筑</w:t>
            </w:r>
          </w:p>
        </w:tc>
        <w:tc>
          <w:tcPr>
            <w:tcW w:w="15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35E1E9">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误时投放点1号</w:t>
            </w:r>
          </w:p>
        </w:tc>
        <w:tc>
          <w:tcPr>
            <w:tcW w:w="19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287951">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黄埔区新东社区春晖六街251号宏康东筑小区大门口左侧</w:t>
            </w:r>
          </w:p>
        </w:tc>
      </w:tr>
      <w:tr w14:paraId="6F147A8E">
        <w:tblPrEx>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78335B6">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22</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B06800">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黄埔区</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929C84">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云埔街道</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8B6FF6">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云绿社区</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52FB84">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云峰原著</w:t>
            </w:r>
          </w:p>
        </w:tc>
        <w:tc>
          <w:tcPr>
            <w:tcW w:w="15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87FE47">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误时投放点</w:t>
            </w:r>
          </w:p>
        </w:tc>
        <w:tc>
          <w:tcPr>
            <w:tcW w:w="19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329F10">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黄埔区云绿社区云峰原著1栋泳池边</w:t>
            </w:r>
          </w:p>
        </w:tc>
      </w:tr>
      <w:tr w14:paraId="1B5C2812">
        <w:tblPrEx>
          <w:tblCellMar>
            <w:top w:w="0" w:type="dxa"/>
            <w:left w:w="108" w:type="dxa"/>
            <w:bottom w:w="0" w:type="dxa"/>
            <w:right w:w="108" w:type="dxa"/>
          </w:tblCellMar>
        </w:tblPrEx>
        <w:trPr>
          <w:trHeight w:val="5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FAE92AB">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23</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3D9857">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黄埔区</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0A22F0">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云埔街道</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EB2927">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爱特城社区</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96A073">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保利爱特城</w:t>
            </w:r>
          </w:p>
        </w:tc>
        <w:tc>
          <w:tcPr>
            <w:tcW w:w="15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96291B">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误时投放点1号</w:t>
            </w:r>
          </w:p>
        </w:tc>
        <w:tc>
          <w:tcPr>
            <w:tcW w:w="19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B3B5AB">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黄埔区爱特城社区保利爱特城北区1栋点位</w:t>
            </w:r>
          </w:p>
        </w:tc>
      </w:tr>
      <w:tr w14:paraId="5CD34E66">
        <w:tblPrEx>
          <w:tblCellMar>
            <w:top w:w="0" w:type="dxa"/>
            <w:left w:w="108" w:type="dxa"/>
            <w:bottom w:w="0" w:type="dxa"/>
            <w:right w:w="108" w:type="dxa"/>
          </w:tblCellMar>
        </w:tblPrEx>
        <w:trPr>
          <w:trHeight w:val="5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979FAE7">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24</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9B4AE2">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黄埔区</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948736">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云埔街道</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13E48E">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笔岗社区</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33EF6F">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笔村复建三期</w:t>
            </w:r>
          </w:p>
        </w:tc>
        <w:tc>
          <w:tcPr>
            <w:tcW w:w="15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75329E">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新建点位</w:t>
            </w:r>
          </w:p>
        </w:tc>
        <w:tc>
          <w:tcPr>
            <w:tcW w:w="19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23A133">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黄埔区云埔街笔岗社区笔村复建三期正大门对面空地（临时投放点原址）</w:t>
            </w:r>
          </w:p>
        </w:tc>
      </w:tr>
      <w:tr w14:paraId="101129E5">
        <w:tblPrEx>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1738389">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25</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89E880">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黄埔区</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A94626">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龙湖街道</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F4FCDE">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959B0E">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汤村南安置区</w:t>
            </w:r>
          </w:p>
        </w:tc>
        <w:tc>
          <w:tcPr>
            <w:tcW w:w="15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6A29B9">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新建点位</w:t>
            </w:r>
          </w:p>
        </w:tc>
        <w:tc>
          <w:tcPr>
            <w:tcW w:w="19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CF7C8A">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汤村南安置区B5栋旁误时点</w:t>
            </w:r>
          </w:p>
        </w:tc>
      </w:tr>
      <w:tr w14:paraId="47AEEFDD">
        <w:tblPrEx>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D80EED5">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26</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576DDE">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黄埔区</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1ECDAA">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龙湖街道</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C4E1CC">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1756CE">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汤村南安置区</w:t>
            </w:r>
          </w:p>
        </w:tc>
        <w:tc>
          <w:tcPr>
            <w:tcW w:w="15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69F4E0">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新建点位</w:t>
            </w:r>
          </w:p>
        </w:tc>
        <w:tc>
          <w:tcPr>
            <w:tcW w:w="19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E41F9F">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汤村南安置区A16栋旁误时点</w:t>
            </w:r>
          </w:p>
        </w:tc>
      </w:tr>
      <w:tr w14:paraId="208B017C">
        <w:tblPrEx>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D34B9D1">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27</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C95A2D">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黄埔区</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951C41">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龙湖街道</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69D464">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05AD96">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汤村南安置区</w:t>
            </w:r>
          </w:p>
        </w:tc>
        <w:tc>
          <w:tcPr>
            <w:tcW w:w="15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E1223F">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新建点位</w:t>
            </w:r>
          </w:p>
        </w:tc>
        <w:tc>
          <w:tcPr>
            <w:tcW w:w="19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EB7AB0">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汤村南安置区B7栋旁误时点</w:t>
            </w:r>
          </w:p>
        </w:tc>
      </w:tr>
      <w:tr w14:paraId="1D361AD5">
        <w:tblPrEx>
          <w:tblCellMar>
            <w:top w:w="0" w:type="dxa"/>
            <w:left w:w="108" w:type="dxa"/>
            <w:bottom w:w="0" w:type="dxa"/>
            <w:right w:w="108" w:type="dxa"/>
          </w:tblCellMar>
        </w:tblPrEx>
        <w:trPr>
          <w:trHeight w:val="5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FC4AA8C">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28</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CF6EB1">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黄埔区</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D627C2">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黄埔街道</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C024CD">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东苑社区</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50B8D1">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东苑小区</w:t>
            </w:r>
          </w:p>
        </w:tc>
        <w:tc>
          <w:tcPr>
            <w:tcW w:w="15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CF1CCA">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2号定时点</w:t>
            </w:r>
          </w:p>
        </w:tc>
        <w:tc>
          <w:tcPr>
            <w:tcW w:w="19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905CAD">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东苑小区东苑小区中街6号东苑定时2号</w:t>
            </w:r>
          </w:p>
        </w:tc>
      </w:tr>
      <w:tr w14:paraId="2E21EAEE">
        <w:tblPrEx>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FB0161A">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29</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4CAA2D">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黄埔区</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296C2B">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红山街道</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279613">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双沙转制社区</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B51252">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悦辉花园</w:t>
            </w:r>
          </w:p>
        </w:tc>
        <w:tc>
          <w:tcPr>
            <w:tcW w:w="15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8CAF33">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误时投放点1号</w:t>
            </w:r>
          </w:p>
        </w:tc>
        <w:tc>
          <w:tcPr>
            <w:tcW w:w="19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2A2871">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悦辉花园点1栋旁</w:t>
            </w:r>
          </w:p>
        </w:tc>
      </w:tr>
      <w:tr w14:paraId="7638760C">
        <w:tblPrEx>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63E7C08">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30</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293B5E">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黄埔区</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D72D4F">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红山街道</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F21753">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双沙转制社区</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75AD15">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悦辉花园</w:t>
            </w:r>
          </w:p>
        </w:tc>
        <w:tc>
          <w:tcPr>
            <w:tcW w:w="15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7DE7FB">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误时投放点2号</w:t>
            </w:r>
          </w:p>
        </w:tc>
        <w:tc>
          <w:tcPr>
            <w:tcW w:w="19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394A7F">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悦辉花园点8栋旁</w:t>
            </w:r>
          </w:p>
        </w:tc>
      </w:tr>
      <w:tr w14:paraId="539C3C7F">
        <w:tblPrEx>
          <w:tblCellMar>
            <w:top w:w="0" w:type="dxa"/>
            <w:left w:w="108" w:type="dxa"/>
            <w:bottom w:w="0" w:type="dxa"/>
            <w:right w:w="108" w:type="dxa"/>
          </w:tblCellMar>
        </w:tblPrEx>
        <w:trPr>
          <w:trHeight w:val="5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F1595E1">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31</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23CBC1">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黄埔区</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4C7E0F">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大沙街道</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8CE236">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横沙社区</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CF0682">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豫章苑</w:t>
            </w:r>
          </w:p>
        </w:tc>
        <w:tc>
          <w:tcPr>
            <w:tcW w:w="15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39A1B7">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新建点位</w:t>
            </w:r>
          </w:p>
        </w:tc>
        <w:tc>
          <w:tcPr>
            <w:tcW w:w="19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FD9FF5">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大沙街道豫章三街旁（豫章苑回迁房还未验收入住）</w:t>
            </w:r>
          </w:p>
        </w:tc>
      </w:tr>
      <w:tr w14:paraId="1F7DF6B1">
        <w:tblPrEx>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BC9AC7B">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32</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EAA413">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黄埔区</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A5725A">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南岗街道</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20AD81">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尚城社区</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ACFA4B">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尚城御府</w:t>
            </w:r>
          </w:p>
        </w:tc>
        <w:tc>
          <w:tcPr>
            <w:tcW w:w="15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0ACD37">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尚城1号误时点</w:t>
            </w:r>
          </w:p>
        </w:tc>
        <w:tc>
          <w:tcPr>
            <w:tcW w:w="19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6F72C6">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翠宇七街一号c2栋对面</w:t>
            </w:r>
          </w:p>
        </w:tc>
      </w:tr>
      <w:tr w14:paraId="3BE4B1FE">
        <w:tblPrEx>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E6DA99C">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33</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10A030">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黄埔区</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DE1518">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南岗街道</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DC3ABF">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南岗圩社区</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C682FB">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未来城</w:t>
            </w:r>
          </w:p>
        </w:tc>
        <w:tc>
          <w:tcPr>
            <w:tcW w:w="15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9BCFF8">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未来城4号误时点</w:t>
            </w:r>
          </w:p>
        </w:tc>
        <w:tc>
          <w:tcPr>
            <w:tcW w:w="19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862F71">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未来城8号楼楼下</w:t>
            </w:r>
          </w:p>
        </w:tc>
      </w:tr>
      <w:tr w14:paraId="1072885B">
        <w:tblPrEx>
          <w:tblCellMar>
            <w:top w:w="0" w:type="dxa"/>
            <w:left w:w="108" w:type="dxa"/>
            <w:bottom w:w="0" w:type="dxa"/>
            <w:right w:w="108" w:type="dxa"/>
          </w:tblCellMar>
        </w:tblPrEx>
        <w:trPr>
          <w:trHeight w:val="5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F8D2FEB">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34</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74319F">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黄埔区</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A08623">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穗东街道</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46E3C7">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南石市社区</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9D14D3">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臻珑府</w:t>
            </w:r>
          </w:p>
        </w:tc>
        <w:tc>
          <w:tcPr>
            <w:tcW w:w="15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3499B9">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新建点位</w:t>
            </w:r>
          </w:p>
        </w:tc>
        <w:tc>
          <w:tcPr>
            <w:tcW w:w="19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FA3B74">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广东省广州市黄埔区龙头路27号臻珑府小区</w:t>
            </w:r>
          </w:p>
        </w:tc>
      </w:tr>
      <w:tr w14:paraId="4D3F3357">
        <w:tblPrEx>
          <w:tblCellMar>
            <w:top w:w="0" w:type="dxa"/>
            <w:left w:w="108" w:type="dxa"/>
            <w:bottom w:w="0" w:type="dxa"/>
            <w:right w:w="108" w:type="dxa"/>
          </w:tblCellMar>
        </w:tblPrEx>
        <w:trPr>
          <w:trHeight w:val="5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4E5B924">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35</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FC68C1">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黄埔区</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4B8350">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联和街道</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F96DAD">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开泰社区</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F168FB">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大壮名成</w:t>
            </w:r>
          </w:p>
        </w:tc>
        <w:tc>
          <w:tcPr>
            <w:tcW w:w="15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552492">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大壮名成1号定时投放点</w:t>
            </w:r>
          </w:p>
        </w:tc>
        <w:tc>
          <w:tcPr>
            <w:tcW w:w="19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68E880">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联和街道开泰大道23号大壮名成小区A2栋旁</w:t>
            </w:r>
          </w:p>
        </w:tc>
      </w:tr>
      <w:tr w14:paraId="1148706B">
        <w:tblPrEx>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CA17397">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36</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DC194F">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黄埔区</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C3C10B">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联和街道</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D19890">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金峰园社区</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D6B6C9">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万科新里程</w:t>
            </w:r>
          </w:p>
        </w:tc>
        <w:tc>
          <w:tcPr>
            <w:tcW w:w="15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2F1B21">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万科新里程生活垃圾5号误时投放点</w:t>
            </w:r>
          </w:p>
        </w:tc>
        <w:tc>
          <w:tcPr>
            <w:tcW w:w="19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30A039">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万科新里程商业街正门</w:t>
            </w:r>
          </w:p>
        </w:tc>
      </w:tr>
      <w:tr w14:paraId="5203C62F">
        <w:tblPrEx>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30D744B">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37</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33164B">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黄埔区</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EB2C2B">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联和街道</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0A16D5">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金峰园社区</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1ABF78">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万科新里程</w:t>
            </w:r>
          </w:p>
        </w:tc>
        <w:tc>
          <w:tcPr>
            <w:tcW w:w="15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305EF2">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万科新里程生活垃圾6号误时投放点</w:t>
            </w:r>
          </w:p>
        </w:tc>
        <w:tc>
          <w:tcPr>
            <w:tcW w:w="19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B74999">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万科新里程商业街后门（科景路）</w:t>
            </w:r>
          </w:p>
        </w:tc>
      </w:tr>
      <w:tr w14:paraId="72D9F5DF">
        <w:tblPrEx>
          <w:tblCellMar>
            <w:top w:w="0" w:type="dxa"/>
            <w:left w:w="108" w:type="dxa"/>
            <w:bottom w:w="0" w:type="dxa"/>
            <w:right w:w="108" w:type="dxa"/>
          </w:tblCellMar>
        </w:tblPrEx>
        <w:trPr>
          <w:trHeight w:val="5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5D6E50B">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38</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1DCD62">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黄埔区</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5D0225">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联和街道</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27FB3D">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开泰社区</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DE3D09">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大壮名成</w:t>
            </w:r>
          </w:p>
        </w:tc>
        <w:tc>
          <w:tcPr>
            <w:tcW w:w="15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D84EFE">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大壮名成3号误时投放点</w:t>
            </w:r>
          </w:p>
        </w:tc>
        <w:tc>
          <w:tcPr>
            <w:tcW w:w="19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5B667A">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联和街道开泰大道23号大壮名成小区A7栋误时点</w:t>
            </w:r>
          </w:p>
        </w:tc>
      </w:tr>
      <w:tr w14:paraId="581C5ACE">
        <w:tblPrEx>
          <w:tblCellMar>
            <w:top w:w="0" w:type="dxa"/>
            <w:left w:w="108" w:type="dxa"/>
            <w:bottom w:w="0" w:type="dxa"/>
            <w:right w:w="108" w:type="dxa"/>
          </w:tblCellMar>
        </w:tblPrEx>
        <w:trPr>
          <w:trHeight w:val="5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EBA5E94">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39</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CB2344">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黄埔区</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14B6D5">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联和街道</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B6B5A9">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开泰社区</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63FBA5">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大壮名成</w:t>
            </w:r>
          </w:p>
        </w:tc>
        <w:tc>
          <w:tcPr>
            <w:tcW w:w="15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B9CE52">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大壮名成2号定时投放点</w:t>
            </w:r>
          </w:p>
        </w:tc>
        <w:tc>
          <w:tcPr>
            <w:tcW w:w="19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2CF06A">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联和街道开泰大道23号大壮名成小区A11栋旁</w:t>
            </w:r>
          </w:p>
        </w:tc>
      </w:tr>
      <w:tr w14:paraId="416CD064">
        <w:tblPrEx>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2D467C0">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40</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9D2590">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黄埔区</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B6E5F8">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联和街道</w:t>
            </w:r>
          </w:p>
        </w:tc>
        <w:tc>
          <w:tcPr>
            <w:tcW w:w="1134" w:type="dxa"/>
            <w:tcBorders>
              <w:top w:val="single" w:color="000000" w:sz="4" w:space="0"/>
              <w:left w:val="single" w:color="000000" w:sz="4" w:space="0"/>
              <w:bottom w:val="nil"/>
              <w:right w:val="single" w:color="000000" w:sz="4" w:space="0"/>
            </w:tcBorders>
            <w:shd w:val="clear" w:color="auto" w:fill="auto"/>
            <w:vAlign w:val="center"/>
          </w:tcPr>
          <w:p w14:paraId="6FA14112">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联和社区</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4A318C">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天鹿花园</w:t>
            </w:r>
          </w:p>
        </w:tc>
        <w:tc>
          <w:tcPr>
            <w:tcW w:w="1508" w:type="dxa"/>
            <w:tcBorders>
              <w:top w:val="single" w:color="000000" w:sz="4" w:space="0"/>
              <w:left w:val="single" w:color="000000" w:sz="4" w:space="0"/>
              <w:bottom w:val="nil"/>
              <w:right w:val="single" w:color="000000" w:sz="4" w:space="0"/>
            </w:tcBorders>
            <w:shd w:val="clear" w:color="auto" w:fill="auto"/>
            <w:vAlign w:val="center"/>
          </w:tcPr>
          <w:p w14:paraId="715B91D0">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5号定时投放点</w:t>
            </w:r>
          </w:p>
        </w:tc>
        <w:tc>
          <w:tcPr>
            <w:tcW w:w="19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F5BD1D">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天鹿花园北区一街1号</w:t>
            </w:r>
          </w:p>
        </w:tc>
      </w:tr>
      <w:tr w14:paraId="64902874">
        <w:tblPrEx>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68353F7">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41</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38D0B7">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黄埔区</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AC0034">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联和街道</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90B152">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黄陂社区</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EF55E0">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宏裕花园</w:t>
            </w:r>
          </w:p>
        </w:tc>
        <w:tc>
          <w:tcPr>
            <w:tcW w:w="15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BE7054">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宏裕花园2号误时点</w:t>
            </w:r>
          </w:p>
        </w:tc>
        <w:tc>
          <w:tcPr>
            <w:tcW w:w="19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E82D52">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龙伏宏裕花园7栋前</w:t>
            </w:r>
          </w:p>
        </w:tc>
      </w:tr>
      <w:tr w14:paraId="4B87AE6D">
        <w:tblPrEx>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96CE0D5">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42</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F9F411">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黄埔区</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14FBDC">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联和街道</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0EC591">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黄陂社区</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BE30AF">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黄陂新村西区</w:t>
            </w:r>
          </w:p>
        </w:tc>
        <w:tc>
          <w:tcPr>
            <w:tcW w:w="15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5E64FE">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3号定时投放点</w:t>
            </w:r>
          </w:p>
        </w:tc>
        <w:tc>
          <w:tcPr>
            <w:tcW w:w="19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553FAF">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黄陂新村西区18栋左侧</w:t>
            </w:r>
          </w:p>
        </w:tc>
      </w:tr>
      <w:tr w14:paraId="3B83C094">
        <w:tblPrEx>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F3B5A20">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43</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FD3EE4">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黄埔区</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626C53">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联和街道</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E2682C">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黄陂社区</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C3266C">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黄陂新村西区</w:t>
            </w:r>
          </w:p>
        </w:tc>
        <w:tc>
          <w:tcPr>
            <w:tcW w:w="15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A5A6D1">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4号定时投放点</w:t>
            </w:r>
          </w:p>
        </w:tc>
        <w:tc>
          <w:tcPr>
            <w:tcW w:w="19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FD98DC">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黄陂新村西区22栋左侧</w:t>
            </w:r>
          </w:p>
        </w:tc>
      </w:tr>
      <w:tr w14:paraId="53D9C998">
        <w:tblPrEx>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87FB5D9">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44</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7015A1">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黄埔区</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FAAC7C">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联和街道</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B7F992">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黄陂社区</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EE3EDD">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黄陂新村东区</w:t>
            </w:r>
          </w:p>
        </w:tc>
        <w:tc>
          <w:tcPr>
            <w:tcW w:w="15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EE828B">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7号定时投放点</w:t>
            </w:r>
          </w:p>
        </w:tc>
        <w:tc>
          <w:tcPr>
            <w:tcW w:w="19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12FBAB">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黄陂新村东区25栋门前</w:t>
            </w:r>
          </w:p>
        </w:tc>
      </w:tr>
      <w:tr w14:paraId="3D8D2697">
        <w:tblPrEx>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517A442">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45</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056239">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黄埔区</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961447">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联和街道</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94AD08">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黄陂社区</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BEB917">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黄陂新村东区</w:t>
            </w:r>
          </w:p>
        </w:tc>
        <w:tc>
          <w:tcPr>
            <w:tcW w:w="1508" w:type="dxa"/>
            <w:tcBorders>
              <w:top w:val="single" w:color="000000" w:sz="4" w:space="0"/>
              <w:left w:val="single" w:color="000000" w:sz="4" w:space="0"/>
              <w:bottom w:val="nil"/>
              <w:right w:val="single" w:color="000000" w:sz="4" w:space="0"/>
            </w:tcBorders>
            <w:shd w:val="clear" w:color="auto" w:fill="auto"/>
            <w:vAlign w:val="center"/>
          </w:tcPr>
          <w:p w14:paraId="35CF6F23">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8号定时投放点</w:t>
            </w:r>
          </w:p>
        </w:tc>
        <w:tc>
          <w:tcPr>
            <w:tcW w:w="19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E76C00">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黄陂新村东区45栋右侧</w:t>
            </w:r>
          </w:p>
        </w:tc>
      </w:tr>
      <w:tr w14:paraId="06BD7974">
        <w:tblPrEx>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B0E4BD7">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46</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8060E8">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黄埔区</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126A0A">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联和街道</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7ADF97">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黄陂社区</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E09B83">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黄陂新村东区</w:t>
            </w:r>
          </w:p>
        </w:tc>
        <w:tc>
          <w:tcPr>
            <w:tcW w:w="15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BAF3DD">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9号定时投放点</w:t>
            </w:r>
          </w:p>
        </w:tc>
        <w:tc>
          <w:tcPr>
            <w:tcW w:w="19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2A481F">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黄陂新村东区49栋对面</w:t>
            </w:r>
          </w:p>
        </w:tc>
      </w:tr>
      <w:tr w14:paraId="4F82C505">
        <w:tblPrEx>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DE8FC4E">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47</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2419C5">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黄埔区</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FD87D0">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联和街道</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5009F4">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黄陂社区</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9ADC36">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宏裕花园</w:t>
            </w:r>
          </w:p>
        </w:tc>
        <w:tc>
          <w:tcPr>
            <w:tcW w:w="15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FEE626">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宏裕花园3号定时点</w:t>
            </w:r>
          </w:p>
        </w:tc>
        <w:tc>
          <w:tcPr>
            <w:tcW w:w="19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D0142D">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龙伏宏裕花园9栋与10栋之间</w:t>
            </w:r>
          </w:p>
        </w:tc>
      </w:tr>
      <w:tr w14:paraId="63F5CE47">
        <w:tblPrEx>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6CD3777">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48</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D5CA96">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黄埔区</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C9CE15">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联和街道</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F3E38E">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黄陂社区</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6D95F3">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宏裕花园</w:t>
            </w:r>
          </w:p>
        </w:tc>
        <w:tc>
          <w:tcPr>
            <w:tcW w:w="15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1E838A">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宏裕花园1号误时点</w:t>
            </w:r>
          </w:p>
        </w:tc>
        <w:tc>
          <w:tcPr>
            <w:tcW w:w="19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A90D24">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龙伏宏裕花园1栋</w:t>
            </w:r>
          </w:p>
        </w:tc>
      </w:tr>
      <w:tr w14:paraId="3851CEAE">
        <w:tblPrEx>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7F76D08">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49</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1EB3AF">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黄埔区</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E00A01">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联和街道</w:t>
            </w:r>
          </w:p>
        </w:tc>
        <w:tc>
          <w:tcPr>
            <w:tcW w:w="1134" w:type="dxa"/>
            <w:tcBorders>
              <w:top w:val="single" w:color="000000" w:sz="4" w:space="0"/>
              <w:left w:val="single" w:color="000000" w:sz="4" w:space="0"/>
              <w:bottom w:val="nil"/>
              <w:right w:val="single" w:color="000000" w:sz="4" w:space="0"/>
            </w:tcBorders>
            <w:shd w:val="clear" w:color="auto" w:fill="auto"/>
            <w:vAlign w:val="center"/>
          </w:tcPr>
          <w:p w14:paraId="7BECA280">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暹岗社区</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22F60C">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暹岗花园</w:t>
            </w:r>
          </w:p>
        </w:tc>
        <w:tc>
          <w:tcPr>
            <w:tcW w:w="1508" w:type="dxa"/>
            <w:tcBorders>
              <w:top w:val="single" w:color="000000" w:sz="4" w:space="0"/>
              <w:left w:val="single" w:color="000000" w:sz="4" w:space="0"/>
              <w:bottom w:val="nil"/>
              <w:right w:val="single" w:color="000000" w:sz="4" w:space="0"/>
            </w:tcBorders>
            <w:shd w:val="clear" w:color="auto" w:fill="auto"/>
            <w:vAlign w:val="center"/>
          </w:tcPr>
          <w:p w14:paraId="1845F36B">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暹岗花园4号点B8旁</w:t>
            </w:r>
          </w:p>
        </w:tc>
        <w:tc>
          <w:tcPr>
            <w:tcW w:w="19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98072B">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暹岗花园公寓4号点</w:t>
            </w:r>
          </w:p>
        </w:tc>
      </w:tr>
      <w:tr w14:paraId="2543BF05">
        <w:tblPrEx>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572C141">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50</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6C9E80">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黄埔区</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095DB4">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联和街道</w:t>
            </w:r>
          </w:p>
        </w:tc>
        <w:tc>
          <w:tcPr>
            <w:tcW w:w="1134" w:type="dxa"/>
            <w:tcBorders>
              <w:top w:val="single" w:color="000000" w:sz="4" w:space="0"/>
              <w:left w:val="single" w:color="000000" w:sz="4" w:space="0"/>
              <w:bottom w:val="nil"/>
              <w:right w:val="single" w:color="000000" w:sz="4" w:space="0"/>
            </w:tcBorders>
            <w:shd w:val="clear" w:color="auto" w:fill="auto"/>
            <w:vAlign w:val="center"/>
          </w:tcPr>
          <w:p w14:paraId="1A5CADFE">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暹岗社区</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8B9674">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暹岗花园</w:t>
            </w:r>
          </w:p>
        </w:tc>
        <w:tc>
          <w:tcPr>
            <w:tcW w:w="1508" w:type="dxa"/>
            <w:tcBorders>
              <w:top w:val="single" w:color="000000" w:sz="4" w:space="0"/>
              <w:left w:val="single" w:color="000000" w:sz="4" w:space="0"/>
              <w:bottom w:val="nil"/>
              <w:right w:val="single" w:color="000000" w:sz="4" w:space="0"/>
            </w:tcBorders>
            <w:shd w:val="clear" w:color="auto" w:fill="auto"/>
            <w:vAlign w:val="center"/>
          </w:tcPr>
          <w:p w14:paraId="3617CE49">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暹岗花园2号定时投放点</w:t>
            </w:r>
          </w:p>
        </w:tc>
        <w:tc>
          <w:tcPr>
            <w:tcW w:w="19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51A0F5">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暹岗花园B4对面</w:t>
            </w:r>
          </w:p>
        </w:tc>
      </w:tr>
      <w:tr w14:paraId="6DA6E9FC">
        <w:tblPrEx>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303F8C3">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51</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6B116E">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黄埔区</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887277">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联和街道</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9C2056">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富春社区</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916CAB">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富春山居</w:t>
            </w:r>
          </w:p>
        </w:tc>
        <w:tc>
          <w:tcPr>
            <w:tcW w:w="15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02A567">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富春山居1号误时投放点</w:t>
            </w:r>
          </w:p>
        </w:tc>
        <w:tc>
          <w:tcPr>
            <w:tcW w:w="19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902CA0">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富春山居公寓门口</w:t>
            </w:r>
          </w:p>
        </w:tc>
      </w:tr>
      <w:tr w14:paraId="4ADAF434">
        <w:tblPrEx>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76B4F6D">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52</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D2CB36">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黄埔区</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CA9C73">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联和街道</w:t>
            </w:r>
          </w:p>
        </w:tc>
        <w:tc>
          <w:tcPr>
            <w:tcW w:w="1134" w:type="dxa"/>
            <w:tcBorders>
              <w:top w:val="single" w:color="000000" w:sz="4" w:space="0"/>
              <w:left w:val="single" w:color="000000" w:sz="4" w:space="0"/>
              <w:bottom w:val="nil"/>
              <w:right w:val="single" w:color="000000" w:sz="4" w:space="0"/>
            </w:tcBorders>
            <w:shd w:val="clear" w:color="auto" w:fill="auto"/>
            <w:vAlign w:val="center"/>
          </w:tcPr>
          <w:p w14:paraId="3EE0CCB5">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龙华社区</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1A0901">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龙光峰景华庭</w:t>
            </w:r>
          </w:p>
        </w:tc>
        <w:tc>
          <w:tcPr>
            <w:tcW w:w="1508" w:type="dxa"/>
            <w:tcBorders>
              <w:top w:val="single" w:color="000000" w:sz="4" w:space="0"/>
              <w:left w:val="single" w:color="000000" w:sz="4" w:space="0"/>
              <w:bottom w:val="nil"/>
              <w:right w:val="single" w:color="000000" w:sz="4" w:space="0"/>
            </w:tcBorders>
            <w:shd w:val="clear" w:color="auto" w:fill="auto"/>
            <w:vAlign w:val="center"/>
          </w:tcPr>
          <w:p w14:paraId="6ED84F9D">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龙光峰景华庭商业街6号误时投放点</w:t>
            </w:r>
          </w:p>
        </w:tc>
        <w:tc>
          <w:tcPr>
            <w:tcW w:w="19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733B95">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龙光峰景华庭商业街富果佳对出</w:t>
            </w:r>
          </w:p>
        </w:tc>
      </w:tr>
      <w:tr w14:paraId="45D28765">
        <w:tblPrEx>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CD7443C">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53</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61875D">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黄埔区</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92E542">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联和街道</w:t>
            </w:r>
          </w:p>
        </w:tc>
        <w:tc>
          <w:tcPr>
            <w:tcW w:w="1134" w:type="dxa"/>
            <w:tcBorders>
              <w:top w:val="single" w:color="000000" w:sz="4" w:space="0"/>
              <w:left w:val="single" w:color="000000" w:sz="4" w:space="0"/>
              <w:bottom w:val="nil"/>
              <w:right w:val="single" w:color="000000" w:sz="4" w:space="0"/>
            </w:tcBorders>
            <w:shd w:val="clear" w:color="auto" w:fill="auto"/>
            <w:vAlign w:val="center"/>
          </w:tcPr>
          <w:p w14:paraId="7771F329">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龙华社区</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8A5218">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龙光峰景华庭</w:t>
            </w:r>
          </w:p>
        </w:tc>
        <w:tc>
          <w:tcPr>
            <w:tcW w:w="15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7C59A0">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龙光峰景华庭3号定时投放点</w:t>
            </w:r>
          </w:p>
        </w:tc>
        <w:tc>
          <w:tcPr>
            <w:tcW w:w="19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875972">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龙光峰景华庭8A和9A中间</w:t>
            </w:r>
          </w:p>
        </w:tc>
      </w:tr>
      <w:tr w14:paraId="5340FD50">
        <w:tblPrEx>
          <w:tblCellMar>
            <w:top w:w="0" w:type="dxa"/>
            <w:left w:w="108" w:type="dxa"/>
            <w:bottom w:w="0" w:type="dxa"/>
            <w:right w:w="108" w:type="dxa"/>
          </w:tblCellMar>
        </w:tblPrEx>
        <w:trPr>
          <w:trHeight w:val="5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8A1117F">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54</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290CE1">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黄埔区</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DFE21D">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永和街道</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F24C3A">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绿藤社区</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6310CF">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尚藤花园</w:t>
            </w:r>
          </w:p>
        </w:tc>
        <w:tc>
          <w:tcPr>
            <w:tcW w:w="15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889078">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误时投放点3号</w:t>
            </w:r>
          </w:p>
        </w:tc>
        <w:tc>
          <w:tcPr>
            <w:tcW w:w="19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1B1912">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广州市黄埔区华峰路尚藤花园东门外靠墙位置。</w:t>
            </w:r>
          </w:p>
        </w:tc>
      </w:tr>
      <w:tr w14:paraId="7DAF1A1F">
        <w:tblPrEx>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F42B76E">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55</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840134">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黄埔区</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2F06AE">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永和街道</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1FEC13">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里享家社区</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B0447B">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里享家</w:t>
            </w:r>
          </w:p>
        </w:tc>
        <w:tc>
          <w:tcPr>
            <w:tcW w:w="15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4009A3">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定时投放点5号</w:t>
            </w:r>
          </w:p>
        </w:tc>
        <w:tc>
          <w:tcPr>
            <w:tcW w:w="19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BE92CC">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里享家侧门</w:t>
            </w:r>
          </w:p>
        </w:tc>
      </w:tr>
      <w:tr w14:paraId="43008506">
        <w:tblPrEx>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18A0CF9">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56</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209415">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黄埔区</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DDCB7C">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永和街道</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D4366E">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里享家社区</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38E064">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里享家</w:t>
            </w:r>
          </w:p>
        </w:tc>
        <w:tc>
          <w:tcPr>
            <w:tcW w:w="15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0552A5">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误时投放点1号</w:t>
            </w:r>
          </w:p>
        </w:tc>
        <w:tc>
          <w:tcPr>
            <w:tcW w:w="19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403026">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里享家A区 1</w:t>
            </w:r>
          </w:p>
        </w:tc>
      </w:tr>
      <w:tr w14:paraId="2DCB2F64">
        <w:tblPrEx>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5FBFF44">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57</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7C7D24">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黄埔区</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D992B6">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永和街道</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DE38A5">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里享家社区</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2FD453">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里享家</w:t>
            </w:r>
          </w:p>
        </w:tc>
        <w:tc>
          <w:tcPr>
            <w:tcW w:w="15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F171CE">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定时投放点1号</w:t>
            </w:r>
          </w:p>
        </w:tc>
        <w:tc>
          <w:tcPr>
            <w:tcW w:w="19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A7DD20">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里享家A区 2</w:t>
            </w:r>
          </w:p>
        </w:tc>
      </w:tr>
      <w:tr w14:paraId="2204033B">
        <w:tblPrEx>
          <w:tblCellMar>
            <w:top w:w="0" w:type="dxa"/>
            <w:left w:w="108" w:type="dxa"/>
            <w:bottom w:w="0" w:type="dxa"/>
            <w:right w:w="108" w:type="dxa"/>
          </w:tblCellMar>
        </w:tblPrEx>
        <w:trPr>
          <w:trHeight w:val="5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6E5E831">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58</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0989FA">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黄埔区</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FEFE0F">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萝岗街道</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654ECD">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福成社区</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8D0802">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奥园广场</w:t>
            </w:r>
          </w:p>
        </w:tc>
        <w:tc>
          <w:tcPr>
            <w:tcW w:w="15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79002E">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误时投放点1号</w:t>
            </w:r>
          </w:p>
        </w:tc>
        <w:tc>
          <w:tcPr>
            <w:tcW w:w="19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08BB2E">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黄埔区萝岗街开创大道1950号奥园广场香雪公馆1栋旁</w:t>
            </w:r>
          </w:p>
        </w:tc>
      </w:tr>
      <w:tr w14:paraId="0914097C">
        <w:tblPrEx>
          <w:tblCellMar>
            <w:top w:w="0" w:type="dxa"/>
            <w:left w:w="108" w:type="dxa"/>
            <w:bottom w:w="0" w:type="dxa"/>
            <w:right w:w="108" w:type="dxa"/>
          </w:tblCellMar>
        </w:tblPrEx>
        <w:trPr>
          <w:trHeight w:val="5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EFCBF36">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59</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4026C1">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黄埔区</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1B6D10">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萝岗街道</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33EC6E">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福成社区</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022E33">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奥园广场</w:t>
            </w:r>
          </w:p>
        </w:tc>
        <w:tc>
          <w:tcPr>
            <w:tcW w:w="15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B32622">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误时投放点2号</w:t>
            </w:r>
          </w:p>
        </w:tc>
        <w:tc>
          <w:tcPr>
            <w:tcW w:w="19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CAA465">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黄埔区萝岗街开创大道1950号奥园华府2栋旁</w:t>
            </w:r>
          </w:p>
        </w:tc>
      </w:tr>
      <w:tr w14:paraId="35A78FF1">
        <w:tblPrEx>
          <w:tblCellMar>
            <w:top w:w="0" w:type="dxa"/>
            <w:left w:w="108" w:type="dxa"/>
            <w:bottom w:w="0" w:type="dxa"/>
            <w:right w:w="108" w:type="dxa"/>
          </w:tblCellMar>
        </w:tblPrEx>
        <w:trPr>
          <w:trHeight w:val="5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0BC8F8B">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60</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DBBBDC">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黄埔区</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C2C422">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萝岗街道</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EB24B1">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新福港社区</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EB7A10">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鼎峰花园</w:t>
            </w:r>
          </w:p>
        </w:tc>
        <w:tc>
          <w:tcPr>
            <w:tcW w:w="15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B67089">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误时投放点3号</w:t>
            </w:r>
          </w:p>
        </w:tc>
        <w:tc>
          <w:tcPr>
            <w:tcW w:w="19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07FE81">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黄埔区萝岗街香雪大道西283号鼎峰花园A13栋旁</w:t>
            </w:r>
          </w:p>
        </w:tc>
      </w:tr>
      <w:tr w14:paraId="2AC49A6A">
        <w:tblPrEx>
          <w:tblCellMar>
            <w:top w:w="0" w:type="dxa"/>
            <w:left w:w="108" w:type="dxa"/>
            <w:bottom w:w="0" w:type="dxa"/>
            <w:right w:w="108" w:type="dxa"/>
          </w:tblCellMar>
        </w:tblPrEx>
        <w:trPr>
          <w:trHeight w:val="5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849EBF6">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61</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EE2D49">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黄埔区</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4C192B">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萝岗街道</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6E63AF">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萝峰社区</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F2FAFA">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星河湾萝峰-盈明花园</w:t>
            </w:r>
          </w:p>
        </w:tc>
        <w:tc>
          <w:tcPr>
            <w:tcW w:w="15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9330D3">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误时投放点2号</w:t>
            </w:r>
          </w:p>
        </w:tc>
        <w:tc>
          <w:tcPr>
            <w:tcW w:w="19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C4C6A1">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黄埔区萝岗街启学路星河湾萝峰盈明花园3栋旁</w:t>
            </w:r>
          </w:p>
        </w:tc>
      </w:tr>
      <w:tr w14:paraId="0552198F">
        <w:tblPrEx>
          <w:tblCellMar>
            <w:top w:w="0" w:type="dxa"/>
            <w:left w:w="108" w:type="dxa"/>
            <w:bottom w:w="0" w:type="dxa"/>
            <w:right w:w="108" w:type="dxa"/>
          </w:tblCellMar>
        </w:tblPrEx>
        <w:trPr>
          <w:trHeight w:val="5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3648CC7">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62</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7997F1">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黄埔区</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C6D6BB">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萝岗街道</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28D080">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萝峰社区</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D38F0C">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星河湾萝峰-盈明花园</w:t>
            </w:r>
          </w:p>
        </w:tc>
        <w:tc>
          <w:tcPr>
            <w:tcW w:w="15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23A350">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误时投放点1号</w:t>
            </w:r>
          </w:p>
        </w:tc>
        <w:tc>
          <w:tcPr>
            <w:tcW w:w="19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3D19E4">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黄埔区萝岗街启学路星河湾萝峰盈明花园1栋旁</w:t>
            </w:r>
          </w:p>
        </w:tc>
      </w:tr>
      <w:tr w14:paraId="7B8202BD">
        <w:tblPrEx>
          <w:tblCellMar>
            <w:top w:w="0" w:type="dxa"/>
            <w:left w:w="108" w:type="dxa"/>
            <w:bottom w:w="0" w:type="dxa"/>
            <w:right w:w="108" w:type="dxa"/>
          </w:tblCellMar>
        </w:tblPrEx>
        <w:trPr>
          <w:trHeight w:val="5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9AB3454">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63</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0348E3">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黄埔区</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102C85">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萝岗街道</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88AE20">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萝峰社区</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8CEA3A">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星河湾萝峰-盈晖花园</w:t>
            </w:r>
          </w:p>
        </w:tc>
        <w:tc>
          <w:tcPr>
            <w:tcW w:w="15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027C6D">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误时投放点1号</w:t>
            </w:r>
          </w:p>
        </w:tc>
        <w:tc>
          <w:tcPr>
            <w:tcW w:w="19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6C34C5">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黄埔区萝岗街启学路星河湾萝峰盈晖花园3栋旁</w:t>
            </w:r>
          </w:p>
        </w:tc>
      </w:tr>
      <w:tr w14:paraId="7BD1AF5E">
        <w:tblPrEx>
          <w:tblCellMar>
            <w:top w:w="0" w:type="dxa"/>
            <w:left w:w="108" w:type="dxa"/>
            <w:bottom w:w="0" w:type="dxa"/>
            <w:right w:w="108" w:type="dxa"/>
          </w:tblCellMar>
        </w:tblPrEx>
        <w:trPr>
          <w:trHeight w:val="5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5B0054B">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64</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C7F92C">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黄埔区</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AEC82D">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萝岗街道</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425338">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萝峰社区</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7F6257">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星河湾萝峰-盈旺花园</w:t>
            </w:r>
          </w:p>
        </w:tc>
        <w:tc>
          <w:tcPr>
            <w:tcW w:w="15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EC52AA">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误时投放点1号</w:t>
            </w:r>
          </w:p>
        </w:tc>
        <w:tc>
          <w:tcPr>
            <w:tcW w:w="19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2BF9EE">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黄埔区萝岗街启学路星河湾萝峰盈旺花园1栋旁</w:t>
            </w:r>
          </w:p>
        </w:tc>
      </w:tr>
      <w:tr w14:paraId="08ED26DB">
        <w:tblPrEx>
          <w:tblCellMar>
            <w:top w:w="0" w:type="dxa"/>
            <w:left w:w="108" w:type="dxa"/>
            <w:bottom w:w="0" w:type="dxa"/>
            <w:right w:w="108" w:type="dxa"/>
          </w:tblCellMar>
        </w:tblPrEx>
        <w:trPr>
          <w:trHeight w:val="5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6419067">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65</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4D7E96">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黄埔区</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FDF8B1">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萝岗街道</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3A5A9F">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萝峰社区</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B341B5">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星河湾萝峰-盈旺花园</w:t>
            </w:r>
          </w:p>
        </w:tc>
        <w:tc>
          <w:tcPr>
            <w:tcW w:w="15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EC7C38">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定时投放点1号</w:t>
            </w:r>
          </w:p>
        </w:tc>
        <w:tc>
          <w:tcPr>
            <w:tcW w:w="19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664469">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黄埔区萝岗街启学路星河湾萝峰盈旺花园5栋旁</w:t>
            </w:r>
          </w:p>
        </w:tc>
      </w:tr>
      <w:tr w14:paraId="011977AE">
        <w:tblPrEx>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CF84A6C">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66</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4BC0D1">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黄埔区</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30D283">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长岭街道</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08DB74">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和苑北社区</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D7F8AF">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和苑北区</w:t>
            </w:r>
          </w:p>
        </w:tc>
        <w:tc>
          <w:tcPr>
            <w:tcW w:w="15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6C420A">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新建点位</w:t>
            </w:r>
          </w:p>
        </w:tc>
        <w:tc>
          <w:tcPr>
            <w:tcW w:w="19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2E6C20">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和苑北区幼儿园对出小草坪</w:t>
            </w:r>
          </w:p>
        </w:tc>
      </w:tr>
      <w:tr w14:paraId="1CDA3617">
        <w:tblPrEx>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910EBE2">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67</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36143F">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黄埔区</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B37D58">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长岭街道</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DC653E">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和苑东社区</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24F848">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敏捷广场</w:t>
            </w:r>
          </w:p>
        </w:tc>
        <w:tc>
          <w:tcPr>
            <w:tcW w:w="15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55A645">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敏捷广场中心投放点</w:t>
            </w:r>
          </w:p>
        </w:tc>
        <w:tc>
          <w:tcPr>
            <w:tcW w:w="19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D85CD0">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敏捷广场中心投放点</w:t>
            </w:r>
          </w:p>
        </w:tc>
      </w:tr>
      <w:tr w14:paraId="29C7ECEB">
        <w:tblPrEx>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A59CDFA">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68</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3FFB86">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黄埔区</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A1241D">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长岭街道</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F33D9B">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 xml:space="preserve">长岭社区 </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8F51AE">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岭南林语</w:t>
            </w:r>
          </w:p>
        </w:tc>
        <w:tc>
          <w:tcPr>
            <w:tcW w:w="15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3D491D">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岭南林语西门误时点</w:t>
            </w:r>
          </w:p>
        </w:tc>
        <w:tc>
          <w:tcPr>
            <w:tcW w:w="19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2AD39F">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岭南林语西门误时点</w:t>
            </w:r>
          </w:p>
        </w:tc>
      </w:tr>
      <w:tr w14:paraId="4FDDA725">
        <w:tblPrEx>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5D8CE2E">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69</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6AC09C">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黄埔区</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6BEAED">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长岭街道</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206029">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 xml:space="preserve">长岭社区 </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15EB79">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岭南林语</w:t>
            </w:r>
          </w:p>
        </w:tc>
        <w:tc>
          <w:tcPr>
            <w:tcW w:w="15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F74DFD">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新建点位</w:t>
            </w:r>
          </w:p>
        </w:tc>
        <w:tc>
          <w:tcPr>
            <w:tcW w:w="19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778BE5">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岭南林语11栋旁</w:t>
            </w:r>
          </w:p>
        </w:tc>
      </w:tr>
      <w:tr w14:paraId="36B11DCF">
        <w:tblPrEx>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56222DE">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70</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E04BC2">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黄埔区</w:t>
            </w:r>
          </w:p>
        </w:tc>
        <w:tc>
          <w:tcPr>
            <w:tcW w:w="1134" w:type="dxa"/>
            <w:tcBorders>
              <w:top w:val="single" w:color="000000" w:sz="4" w:space="0"/>
              <w:left w:val="single" w:color="000000" w:sz="4" w:space="0"/>
              <w:bottom w:val="nil"/>
              <w:right w:val="single" w:color="000000" w:sz="4" w:space="0"/>
            </w:tcBorders>
            <w:shd w:val="clear" w:color="auto" w:fill="auto"/>
            <w:noWrap/>
            <w:vAlign w:val="center"/>
          </w:tcPr>
          <w:p w14:paraId="57C7124A">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长岭街道</w:t>
            </w:r>
          </w:p>
        </w:tc>
        <w:tc>
          <w:tcPr>
            <w:tcW w:w="1134" w:type="dxa"/>
            <w:tcBorders>
              <w:top w:val="single" w:color="000000" w:sz="4" w:space="0"/>
              <w:left w:val="single" w:color="000000" w:sz="4" w:space="0"/>
              <w:bottom w:val="nil"/>
              <w:right w:val="single" w:color="000000" w:sz="4" w:space="0"/>
            </w:tcBorders>
            <w:shd w:val="clear" w:color="auto" w:fill="auto"/>
            <w:noWrap/>
            <w:vAlign w:val="center"/>
          </w:tcPr>
          <w:p w14:paraId="0B157F4C">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 xml:space="preserve">长岭社区 </w:t>
            </w:r>
          </w:p>
        </w:tc>
        <w:tc>
          <w:tcPr>
            <w:tcW w:w="1276" w:type="dxa"/>
            <w:tcBorders>
              <w:top w:val="single" w:color="000000" w:sz="4" w:space="0"/>
              <w:left w:val="single" w:color="000000" w:sz="4" w:space="0"/>
              <w:bottom w:val="nil"/>
              <w:right w:val="single" w:color="000000" w:sz="4" w:space="0"/>
            </w:tcBorders>
            <w:shd w:val="clear" w:color="auto" w:fill="auto"/>
            <w:noWrap/>
            <w:vAlign w:val="center"/>
          </w:tcPr>
          <w:p w14:paraId="52C134FD">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岭南林语</w:t>
            </w:r>
          </w:p>
        </w:tc>
        <w:tc>
          <w:tcPr>
            <w:tcW w:w="1508" w:type="dxa"/>
            <w:tcBorders>
              <w:top w:val="single" w:color="000000" w:sz="4" w:space="0"/>
              <w:left w:val="single" w:color="000000" w:sz="4" w:space="0"/>
              <w:bottom w:val="nil"/>
              <w:right w:val="single" w:color="000000" w:sz="4" w:space="0"/>
            </w:tcBorders>
            <w:shd w:val="clear" w:color="auto" w:fill="auto"/>
            <w:noWrap/>
            <w:vAlign w:val="center"/>
          </w:tcPr>
          <w:p w14:paraId="591AB875">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新建点位</w:t>
            </w:r>
          </w:p>
        </w:tc>
        <w:tc>
          <w:tcPr>
            <w:tcW w:w="1944" w:type="dxa"/>
            <w:tcBorders>
              <w:top w:val="single" w:color="000000" w:sz="4" w:space="0"/>
              <w:left w:val="single" w:color="000000" w:sz="4" w:space="0"/>
              <w:bottom w:val="nil"/>
              <w:right w:val="single" w:color="000000" w:sz="4" w:space="0"/>
            </w:tcBorders>
            <w:shd w:val="clear" w:color="auto" w:fill="auto"/>
            <w:vAlign w:val="center"/>
          </w:tcPr>
          <w:p w14:paraId="71234594">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岭南林语9栋旁</w:t>
            </w:r>
          </w:p>
        </w:tc>
      </w:tr>
      <w:tr w14:paraId="13D1707F">
        <w:tblPrEx>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3D169C3">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71</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D33654">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黄埔区</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D82235">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夏港街道</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A54876">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普晖社区</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D99E59">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普晖小区</w:t>
            </w:r>
          </w:p>
        </w:tc>
        <w:tc>
          <w:tcPr>
            <w:tcW w:w="15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9CA11D">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定时投放点2号</w:t>
            </w:r>
          </w:p>
        </w:tc>
        <w:tc>
          <w:tcPr>
            <w:tcW w:w="19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DD94C7">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普晖11街25号</w:t>
            </w:r>
          </w:p>
        </w:tc>
      </w:tr>
      <w:tr w14:paraId="36E6DA5E">
        <w:tblPrEx>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4D57414">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72</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D30917">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黄埔区</w:t>
            </w:r>
          </w:p>
        </w:tc>
        <w:tc>
          <w:tcPr>
            <w:tcW w:w="1134" w:type="dxa"/>
            <w:tcBorders>
              <w:top w:val="nil"/>
              <w:left w:val="nil"/>
              <w:bottom w:val="nil"/>
              <w:right w:val="nil"/>
            </w:tcBorders>
            <w:shd w:val="clear" w:color="auto" w:fill="auto"/>
            <w:noWrap/>
            <w:vAlign w:val="center"/>
          </w:tcPr>
          <w:p w14:paraId="1A10B1CA">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大沙街道</w:t>
            </w:r>
          </w:p>
        </w:tc>
        <w:tc>
          <w:tcPr>
            <w:tcW w:w="1134" w:type="dxa"/>
            <w:tcBorders>
              <w:top w:val="nil"/>
              <w:left w:val="nil"/>
              <w:bottom w:val="nil"/>
              <w:right w:val="nil"/>
            </w:tcBorders>
            <w:shd w:val="clear" w:color="auto" w:fill="auto"/>
            <w:noWrap/>
            <w:vAlign w:val="center"/>
          </w:tcPr>
          <w:p w14:paraId="0D8164BB">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泰景社区</w:t>
            </w:r>
          </w:p>
        </w:tc>
        <w:tc>
          <w:tcPr>
            <w:tcW w:w="1276" w:type="dxa"/>
            <w:tcBorders>
              <w:top w:val="nil"/>
              <w:left w:val="nil"/>
              <w:bottom w:val="nil"/>
              <w:right w:val="nil"/>
            </w:tcBorders>
            <w:shd w:val="clear" w:color="auto" w:fill="auto"/>
            <w:noWrap/>
            <w:vAlign w:val="center"/>
          </w:tcPr>
          <w:p w14:paraId="38022550">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泰景花园</w:t>
            </w:r>
          </w:p>
        </w:tc>
        <w:tc>
          <w:tcPr>
            <w:tcW w:w="15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5E3D90">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定时投放点</w:t>
            </w:r>
          </w:p>
        </w:tc>
        <w:tc>
          <w:tcPr>
            <w:tcW w:w="19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6C8C70">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泰景北路28号附近</w:t>
            </w:r>
          </w:p>
        </w:tc>
      </w:tr>
      <w:tr w14:paraId="42F1BAAB">
        <w:tblPrEx>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15418C5">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73</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47287E">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黄埔区</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E924F8">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文冲街道</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3C0499">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瑞东花园社区</w:t>
            </w:r>
          </w:p>
        </w:tc>
        <w:tc>
          <w:tcPr>
            <w:tcW w:w="1276" w:type="dxa"/>
            <w:tcBorders>
              <w:top w:val="single" w:color="000000" w:sz="4" w:space="0"/>
              <w:left w:val="single" w:color="000000" w:sz="4" w:space="0"/>
              <w:bottom w:val="single" w:color="000000" w:sz="4" w:space="0"/>
              <w:right w:val="nil"/>
            </w:tcBorders>
            <w:shd w:val="clear" w:color="auto" w:fill="auto"/>
            <w:noWrap/>
            <w:vAlign w:val="center"/>
          </w:tcPr>
          <w:p w14:paraId="26895EDD">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瑞东花园</w:t>
            </w:r>
          </w:p>
        </w:tc>
        <w:tc>
          <w:tcPr>
            <w:tcW w:w="15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0912BB">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并点</w:t>
            </w:r>
          </w:p>
        </w:tc>
        <w:tc>
          <w:tcPr>
            <w:tcW w:w="19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2096F5">
            <w:pPr>
              <w:widowControl/>
              <w:jc w:val="left"/>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护林路瑞东花园小区A6栋、A7栋</w:t>
            </w:r>
          </w:p>
        </w:tc>
      </w:tr>
      <w:tr w14:paraId="64DA5DBF">
        <w:tblPrEx>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E92FEFF">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74</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4D6469">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黄埔区</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11FFF0">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文冲街道</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947453">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瑞东花园社区</w:t>
            </w:r>
          </w:p>
        </w:tc>
        <w:tc>
          <w:tcPr>
            <w:tcW w:w="1276" w:type="dxa"/>
            <w:tcBorders>
              <w:top w:val="single" w:color="000000" w:sz="4" w:space="0"/>
              <w:left w:val="single" w:color="000000" w:sz="4" w:space="0"/>
              <w:bottom w:val="single" w:color="000000" w:sz="4" w:space="0"/>
              <w:right w:val="nil"/>
            </w:tcBorders>
            <w:shd w:val="clear" w:color="auto" w:fill="auto"/>
            <w:noWrap/>
            <w:vAlign w:val="center"/>
          </w:tcPr>
          <w:p w14:paraId="7F3F81B2">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瑞东花园</w:t>
            </w:r>
          </w:p>
        </w:tc>
        <w:tc>
          <w:tcPr>
            <w:tcW w:w="15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5F78EF">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并点</w:t>
            </w:r>
          </w:p>
        </w:tc>
        <w:tc>
          <w:tcPr>
            <w:tcW w:w="19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AF389F">
            <w:pPr>
              <w:widowControl/>
              <w:jc w:val="left"/>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护林路瑞东花园小区J1栋、J2栋</w:t>
            </w:r>
          </w:p>
        </w:tc>
      </w:tr>
      <w:tr w14:paraId="6E81E5E2">
        <w:tblPrEx>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84B660B">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75</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967EEC">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黄埔区</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901626">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文冲街道</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AE97BA">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瑞东花园社区</w:t>
            </w:r>
          </w:p>
        </w:tc>
        <w:tc>
          <w:tcPr>
            <w:tcW w:w="1276" w:type="dxa"/>
            <w:tcBorders>
              <w:top w:val="single" w:color="000000" w:sz="4" w:space="0"/>
              <w:left w:val="single" w:color="000000" w:sz="4" w:space="0"/>
              <w:bottom w:val="single" w:color="000000" w:sz="4" w:space="0"/>
              <w:right w:val="nil"/>
            </w:tcBorders>
            <w:shd w:val="clear" w:color="auto" w:fill="auto"/>
            <w:noWrap/>
            <w:vAlign w:val="center"/>
          </w:tcPr>
          <w:p w14:paraId="01FFB861">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瑞东花园</w:t>
            </w:r>
          </w:p>
        </w:tc>
        <w:tc>
          <w:tcPr>
            <w:tcW w:w="15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5113BD">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并点</w:t>
            </w:r>
          </w:p>
        </w:tc>
        <w:tc>
          <w:tcPr>
            <w:tcW w:w="19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6F23D7">
            <w:pPr>
              <w:widowControl/>
              <w:jc w:val="left"/>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护林路瑞东花园小区J3栋、J4栋</w:t>
            </w:r>
          </w:p>
        </w:tc>
      </w:tr>
      <w:tr w14:paraId="69AB1942">
        <w:tblPrEx>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85D0EA2">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76</w:t>
            </w:r>
          </w:p>
        </w:tc>
        <w:tc>
          <w:tcPr>
            <w:tcW w:w="891" w:type="dxa"/>
            <w:tcBorders>
              <w:top w:val="single" w:color="000000" w:sz="4" w:space="0"/>
              <w:left w:val="single" w:color="000000" w:sz="4" w:space="0"/>
              <w:bottom w:val="nil"/>
              <w:right w:val="single" w:color="000000" w:sz="4" w:space="0"/>
            </w:tcBorders>
            <w:shd w:val="clear" w:color="auto" w:fill="auto"/>
            <w:vAlign w:val="center"/>
          </w:tcPr>
          <w:p w14:paraId="75071652">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黄埔区</w:t>
            </w:r>
          </w:p>
        </w:tc>
        <w:tc>
          <w:tcPr>
            <w:tcW w:w="1134" w:type="dxa"/>
            <w:tcBorders>
              <w:top w:val="single" w:color="000000" w:sz="4" w:space="0"/>
              <w:left w:val="single" w:color="000000" w:sz="4" w:space="0"/>
              <w:bottom w:val="nil"/>
              <w:right w:val="single" w:color="000000" w:sz="4" w:space="0"/>
            </w:tcBorders>
            <w:shd w:val="clear" w:color="auto" w:fill="auto"/>
            <w:noWrap/>
            <w:vAlign w:val="center"/>
          </w:tcPr>
          <w:p w14:paraId="2BF02DD8">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文冲街道</w:t>
            </w:r>
          </w:p>
        </w:tc>
        <w:tc>
          <w:tcPr>
            <w:tcW w:w="1134" w:type="dxa"/>
            <w:tcBorders>
              <w:top w:val="single" w:color="000000" w:sz="4" w:space="0"/>
              <w:left w:val="single" w:color="000000" w:sz="4" w:space="0"/>
              <w:bottom w:val="nil"/>
              <w:right w:val="single" w:color="000000" w:sz="4" w:space="0"/>
            </w:tcBorders>
            <w:shd w:val="clear" w:color="auto" w:fill="auto"/>
            <w:noWrap/>
            <w:vAlign w:val="center"/>
          </w:tcPr>
          <w:p w14:paraId="381B7A3B">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瑞东花园社区</w:t>
            </w:r>
          </w:p>
        </w:tc>
        <w:tc>
          <w:tcPr>
            <w:tcW w:w="1276" w:type="dxa"/>
            <w:tcBorders>
              <w:top w:val="single" w:color="000000" w:sz="4" w:space="0"/>
              <w:left w:val="single" w:color="000000" w:sz="4" w:space="0"/>
              <w:bottom w:val="nil"/>
              <w:right w:val="nil"/>
            </w:tcBorders>
            <w:shd w:val="clear" w:color="auto" w:fill="auto"/>
            <w:noWrap/>
            <w:vAlign w:val="center"/>
          </w:tcPr>
          <w:p w14:paraId="112CFD35">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瑞东花园</w:t>
            </w:r>
          </w:p>
        </w:tc>
        <w:tc>
          <w:tcPr>
            <w:tcW w:w="1508" w:type="dxa"/>
            <w:tcBorders>
              <w:top w:val="single" w:color="000000" w:sz="4" w:space="0"/>
              <w:left w:val="single" w:color="000000" w:sz="4" w:space="0"/>
              <w:bottom w:val="nil"/>
              <w:right w:val="single" w:color="000000" w:sz="4" w:space="0"/>
            </w:tcBorders>
            <w:shd w:val="clear" w:color="auto" w:fill="auto"/>
            <w:noWrap/>
            <w:vAlign w:val="center"/>
          </w:tcPr>
          <w:p w14:paraId="05FA9095">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并点</w:t>
            </w:r>
          </w:p>
        </w:tc>
        <w:tc>
          <w:tcPr>
            <w:tcW w:w="1944" w:type="dxa"/>
            <w:tcBorders>
              <w:top w:val="single" w:color="000000" w:sz="4" w:space="0"/>
              <w:left w:val="single" w:color="000000" w:sz="4" w:space="0"/>
              <w:bottom w:val="nil"/>
              <w:right w:val="single" w:color="000000" w:sz="4" w:space="0"/>
            </w:tcBorders>
            <w:shd w:val="clear" w:color="auto" w:fill="auto"/>
            <w:noWrap/>
            <w:vAlign w:val="center"/>
          </w:tcPr>
          <w:p w14:paraId="78894BB0">
            <w:pPr>
              <w:widowControl/>
              <w:jc w:val="left"/>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护林路瑞东花园小区L1栋、L2栋</w:t>
            </w:r>
          </w:p>
        </w:tc>
      </w:tr>
      <w:tr w14:paraId="3DCBE234">
        <w:tblPrEx>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3F4D776">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77</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FAA594">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黄埔区</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AF0532">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长洲街道</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670E40">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深井社区</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9AAB35">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挞洲围安置房</w:t>
            </w:r>
          </w:p>
        </w:tc>
        <w:tc>
          <w:tcPr>
            <w:tcW w:w="15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A6D0B2">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新建点位</w:t>
            </w:r>
          </w:p>
        </w:tc>
        <w:tc>
          <w:tcPr>
            <w:tcW w:w="19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A0F83C">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挞洲围安置房</w:t>
            </w:r>
          </w:p>
        </w:tc>
      </w:tr>
      <w:tr w14:paraId="3F16C35D">
        <w:tblPrEx>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1B1B3F0">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78</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50F03B">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黄埔区</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1CCC72">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长洲街道</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DBF00D">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黄船社区</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951D3B">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黄船社区五区</w:t>
            </w:r>
          </w:p>
        </w:tc>
        <w:tc>
          <w:tcPr>
            <w:tcW w:w="15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8F3999">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误时投放点6号</w:t>
            </w:r>
          </w:p>
        </w:tc>
        <w:tc>
          <w:tcPr>
            <w:tcW w:w="19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A18243">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黄船社区五区七幢</w:t>
            </w:r>
          </w:p>
        </w:tc>
      </w:tr>
      <w:tr w14:paraId="4B5272E2">
        <w:tblPrEx>
          <w:tblCellMar>
            <w:top w:w="0" w:type="dxa"/>
            <w:left w:w="108" w:type="dxa"/>
            <w:bottom w:w="0" w:type="dxa"/>
            <w:right w:w="108" w:type="dxa"/>
          </w:tblCellMar>
        </w:tblPrEx>
        <w:trPr>
          <w:trHeight w:val="5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7518F9D">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79</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FF6927">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黄埔区</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71E551">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永和街道</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7740B3">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禾丰社区</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F9D88F">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禾丰新村</w:t>
            </w:r>
          </w:p>
        </w:tc>
        <w:tc>
          <w:tcPr>
            <w:tcW w:w="15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F5D55F">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定时投放点</w:t>
            </w:r>
          </w:p>
        </w:tc>
        <w:tc>
          <w:tcPr>
            <w:tcW w:w="19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0754CF">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禾丰新村西门出入口呐吉岛旁边，禾丰西一巷1号往上走100米左右</w:t>
            </w:r>
          </w:p>
        </w:tc>
      </w:tr>
      <w:tr w14:paraId="0CD2E757">
        <w:tblPrEx>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50E2012">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80</w:t>
            </w:r>
          </w:p>
        </w:tc>
        <w:tc>
          <w:tcPr>
            <w:tcW w:w="891" w:type="dxa"/>
            <w:tcBorders>
              <w:top w:val="nil"/>
              <w:left w:val="single" w:color="000000" w:sz="4" w:space="0"/>
              <w:bottom w:val="single" w:color="000000" w:sz="4" w:space="0"/>
              <w:right w:val="single" w:color="000000" w:sz="4" w:space="0"/>
            </w:tcBorders>
            <w:shd w:val="clear" w:color="auto" w:fill="auto"/>
            <w:vAlign w:val="center"/>
          </w:tcPr>
          <w:p w14:paraId="79F10F74">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黄埔区</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EAC8D5">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龙湖街道</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27583D">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腾飞社区</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70F33A">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合景天峻</w:t>
            </w:r>
          </w:p>
        </w:tc>
        <w:tc>
          <w:tcPr>
            <w:tcW w:w="15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2FD476">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误时投放点1号</w:t>
            </w:r>
          </w:p>
        </w:tc>
        <w:tc>
          <w:tcPr>
            <w:tcW w:w="1944" w:type="dxa"/>
            <w:tcBorders>
              <w:top w:val="single" w:color="000000" w:sz="4" w:space="0"/>
              <w:left w:val="nil"/>
              <w:bottom w:val="single" w:color="000000" w:sz="4" w:space="0"/>
              <w:right w:val="single" w:color="000000" w:sz="4" w:space="0"/>
            </w:tcBorders>
            <w:shd w:val="clear" w:color="auto" w:fill="auto"/>
            <w:vAlign w:val="center"/>
          </w:tcPr>
          <w:p w14:paraId="7EF664EA">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合景天峻F1栋旁</w:t>
            </w:r>
          </w:p>
        </w:tc>
      </w:tr>
      <w:tr w14:paraId="4FA99E59">
        <w:tblPrEx>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201B26D">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81</w:t>
            </w:r>
          </w:p>
        </w:tc>
        <w:tc>
          <w:tcPr>
            <w:tcW w:w="891" w:type="dxa"/>
            <w:tcBorders>
              <w:top w:val="nil"/>
              <w:left w:val="single" w:color="000000" w:sz="4" w:space="0"/>
              <w:bottom w:val="single" w:color="000000" w:sz="4" w:space="0"/>
              <w:right w:val="single" w:color="000000" w:sz="4" w:space="0"/>
            </w:tcBorders>
            <w:shd w:val="clear" w:color="auto" w:fill="auto"/>
            <w:vAlign w:val="center"/>
          </w:tcPr>
          <w:p w14:paraId="6626AD74">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黄埔区</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D91B45">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龙湖街道</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F827FE">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幸福悦社区</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2313EB">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万科幸福悦</w:t>
            </w:r>
          </w:p>
        </w:tc>
        <w:tc>
          <w:tcPr>
            <w:tcW w:w="15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BFCD46">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定时投放点8号</w:t>
            </w:r>
          </w:p>
        </w:tc>
        <w:tc>
          <w:tcPr>
            <w:tcW w:w="1944" w:type="dxa"/>
            <w:tcBorders>
              <w:top w:val="single" w:color="000000" w:sz="4" w:space="0"/>
              <w:left w:val="nil"/>
              <w:bottom w:val="single" w:color="000000" w:sz="4" w:space="0"/>
              <w:right w:val="single" w:color="000000" w:sz="4" w:space="0"/>
            </w:tcBorders>
            <w:shd w:val="clear" w:color="auto" w:fill="auto"/>
            <w:vAlign w:val="center"/>
          </w:tcPr>
          <w:p w14:paraId="0B32EB65">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万科幸福悦B9栋</w:t>
            </w:r>
          </w:p>
        </w:tc>
      </w:tr>
      <w:tr w14:paraId="12EE65C9">
        <w:tblPrEx>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92CA59B">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82</w:t>
            </w:r>
          </w:p>
        </w:tc>
        <w:tc>
          <w:tcPr>
            <w:tcW w:w="891" w:type="dxa"/>
            <w:tcBorders>
              <w:top w:val="nil"/>
              <w:left w:val="single" w:color="000000" w:sz="4" w:space="0"/>
              <w:bottom w:val="single" w:color="000000" w:sz="4" w:space="0"/>
              <w:right w:val="single" w:color="000000" w:sz="4" w:space="0"/>
            </w:tcBorders>
            <w:shd w:val="clear" w:color="auto" w:fill="auto"/>
            <w:vAlign w:val="center"/>
          </w:tcPr>
          <w:p w14:paraId="00DA0D05">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黄埔区</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3226E6">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龙湖街道</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0B143B">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龙湖社区</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13F61A">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双珑原著</w:t>
            </w:r>
          </w:p>
        </w:tc>
        <w:tc>
          <w:tcPr>
            <w:tcW w:w="1508" w:type="dxa"/>
            <w:tcBorders>
              <w:top w:val="single" w:color="000000" w:sz="4" w:space="0"/>
              <w:left w:val="nil"/>
              <w:bottom w:val="single" w:color="000000" w:sz="4" w:space="0"/>
              <w:right w:val="single" w:color="000000" w:sz="4" w:space="0"/>
            </w:tcBorders>
            <w:shd w:val="clear" w:color="auto" w:fill="auto"/>
            <w:vAlign w:val="center"/>
          </w:tcPr>
          <w:p w14:paraId="0BD4EEAF">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定时投放点</w:t>
            </w:r>
          </w:p>
        </w:tc>
        <w:tc>
          <w:tcPr>
            <w:tcW w:w="1944" w:type="dxa"/>
            <w:tcBorders>
              <w:top w:val="single" w:color="000000" w:sz="4" w:space="0"/>
              <w:left w:val="nil"/>
              <w:bottom w:val="single" w:color="000000" w:sz="4" w:space="0"/>
              <w:right w:val="single" w:color="000000" w:sz="4" w:space="0"/>
            </w:tcBorders>
            <w:shd w:val="clear" w:color="auto" w:fill="auto"/>
            <w:vAlign w:val="center"/>
          </w:tcPr>
          <w:p w14:paraId="02D55BA3">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双珑原著7栋</w:t>
            </w:r>
          </w:p>
        </w:tc>
      </w:tr>
      <w:tr w14:paraId="2F1B3997">
        <w:tblPrEx>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EC39613">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83</w:t>
            </w:r>
          </w:p>
        </w:tc>
        <w:tc>
          <w:tcPr>
            <w:tcW w:w="891" w:type="dxa"/>
            <w:tcBorders>
              <w:top w:val="nil"/>
              <w:left w:val="single" w:color="000000" w:sz="4" w:space="0"/>
              <w:bottom w:val="single" w:color="000000" w:sz="4" w:space="0"/>
              <w:right w:val="single" w:color="000000" w:sz="4" w:space="0"/>
            </w:tcBorders>
            <w:shd w:val="clear" w:color="auto" w:fill="auto"/>
            <w:vAlign w:val="center"/>
          </w:tcPr>
          <w:p w14:paraId="106150BD">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黄埔区</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63237A">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龙湖街道</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54B75D">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幸福誉社区</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0B65E5">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万科幸福誉</w:t>
            </w:r>
          </w:p>
        </w:tc>
        <w:tc>
          <w:tcPr>
            <w:tcW w:w="15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50D4D6">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定时投放点8号</w:t>
            </w:r>
          </w:p>
        </w:tc>
        <w:tc>
          <w:tcPr>
            <w:tcW w:w="1944" w:type="dxa"/>
            <w:tcBorders>
              <w:top w:val="single" w:color="000000" w:sz="4" w:space="0"/>
              <w:left w:val="nil"/>
              <w:bottom w:val="single" w:color="000000" w:sz="4" w:space="0"/>
              <w:right w:val="single" w:color="000000" w:sz="4" w:space="0"/>
            </w:tcBorders>
            <w:shd w:val="clear" w:color="auto" w:fill="auto"/>
            <w:vAlign w:val="center"/>
          </w:tcPr>
          <w:p w14:paraId="0B01FCFF">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万科幸福誉L7</w:t>
            </w:r>
          </w:p>
        </w:tc>
      </w:tr>
      <w:tr w14:paraId="0D6EED1B">
        <w:tblPrEx>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27D11CC">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84</w:t>
            </w:r>
          </w:p>
        </w:tc>
        <w:tc>
          <w:tcPr>
            <w:tcW w:w="891" w:type="dxa"/>
            <w:tcBorders>
              <w:top w:val="nil"/>
              <w:left w:val="single" w:color="000000" w:sz="4" w:space="0"/>
              <w:bottom w:val="single" w:color="000000" w:sz="4" w:space="0"/>
              <w:right w:val="single" w:color="000000" w:sz="4" w:space="0"/>
            </w:tcBorders>
            <w:shd w:val="clear" w:color="auto" w:fill="auto"/>
            <w:vAlign w:val="center"/>
          </w:tcPr>
          <w:p w14:paraId="5320A4F0">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黄埔区</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645F42">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龙湖街道</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A7392C">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九佛社区</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4930C9">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凤福花园</w:t>
            </w:r>
          </w:p>
        </w:tc>
        <w:tc>
          <w:tcPr>
            <w:tcW w:w="15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E18D20">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误时投放点1号</w:t>
            </w:r>
          </w:p>
        </w:tc>
        <w:tc>
          <w:tcPr>
            <w:tcW w:w="1944" w:type="dxa"/>
            <w:tcBorders>
              <w:top w:val="single" w:color="000000" w:sz="4" w:space="0"/>
              <w:left w:val="nil"/>
              <w:bottom w:val="single" w:color="000000" w:sz="4" w:space="0"/>
              <w:right w:val="single" w:color="000000" w:sz="4" w:space="0"/>
            </w:tcBorders>
            <w:shd w:val="clear" w:color="auto" w:fill="auto"/>
            <w:vAlign w:val="center"/>
          </w:tcPr>
          <w:p w14:paraId="2AEFD314">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凤福花园5栋旁误时投放点</w:t>
            </w:r>
          </w:p>
        </w:tc>
      </w:tr>
      <w:tr w14:paraId="67EB40CA">
        <w:tblPrEx>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38AEEC3">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85</w:t>
            </w:r>
          </w:p>
        </w:tc>
        <w:tc>
          <w:tcPr>
            <w:tcW w:w="891" w:type="dxa"/>
            <w:tcBorders>
              <w:top w:val="nil"/>
              <w:left w:val="single" w:color="000000" w:sz="4" w:space="0"/>
              <w:bottom w:val="single" w:color="000000" w:sz="4" w:space="0"/>
              <w:right w:val="single" w:color="000000" w:sz="4" w:space="0"/>
            </w:tcBorders>
            <w:shd w:val="clear" w:color="auto" w:fill="auto"/>
            <w:vAlign w:val="center"/>
          </w:tcPr>
          <w:p w14:paraId="33F69365">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黄埔区</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815A8B">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龙湖街道</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7B3999">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九佛社区</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5D77C6">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凤福花园</w:t>
            </w:r>
          </w:p>
        </w:tc>
        <w:tc>
          <w:tcPr>
            <w:tcW w:w="15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C8D4ED">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定时投放点1号</w:t>
            </w:r>
          </w:p>
        </w:tc>
        <w:tc>
          <w:tcPr>
            <w:tcW w:w="1944" w:type="dxa"/>
            <w:tcBorders>
              <w:top w:val="single" w:color="000000" w:sz="4" w:space="0"/>
              <w:left w:val="nil"/>
              <w:bottom w:val="single" w:color="000000" w:sz="4" w:space="0"/>
              <w:right w:val="single" w:color="000000" w:sz="4" w:space="0"/>
            </w:tcBorders>
            <w:shd w:val="clear" w:color="auto" w:fill="auto"/>
            <w:vAlign w:val="center"/>
          </w:tcPr>
          <w:p w14:paraId="179D5474">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凤福花园8栋旁定时投放点</w:t>
            </w:r>
          </w:p>
        </w:tc>
      </w:tr>
      <w:tr w14:paraId="287768E9">
        <w:tblPrEx>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7216537">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86</w:t>
            </w:r>
          </w:p>
        </w:tc>
        <w:tc>
          <w:tcPr>
            <w:tcW w:w="891" w:type="dxa"/>
            <w:tcBorders>
              <w:top w:val="nil"/>
              <w:left w:val="single" w:color="000000" w:sz="4" w:space="0"/>
              <w:bottom w:val="single" w:color="000000" w:sz="4" w:space="0"/>
              <w:right w:val="single" w:color="000000" w:sz="4" w:space="0"/>
            </w:tcBorders>
            <w:shd w:val="clear" w:color="auto" w:fill="auto"/>
            <w:vAlign w:val="center"/>
          </w:tcPr>
          <w:p w14:paraId="6734D508">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黄埔区</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DD7CE1">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龙湖街道</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0CAFEE">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天韵社区</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C648C2">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悦辰壹号</w:t>
            </w:r>
          </w:p>
        </w:tc>
        <w:tc>
          <w:tcPr>
            <w:tcW w:w="15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E1E15E">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误时投放点</w:t>
            </w:r>
          </w:p>
        </w:tc>
        <w:tc>
          <w:tcPr>
            <w:tcW w:w="1944" w:type="dxa"/>
            <w:tcBorders>
              <w:top w:val="single" w:color="000000" w:sz="4" w:space="0"/>
              <w:left w:val="nil"/>
              <w:bottom w:val="single" w:color="000000" w:sz="4" w:space="0"/>
              <w:right w:val="single" w:color="000000" w:sz="4" w:space="0"/>
            </w:tcBorders>
            <w:shd w:val="clear" w:color="auto" w:fill="auto"/>
            <w:vAlign w:val="center"/>
          </w:tcPr>
          <w:p w14:paraId="168F910B">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悦辰壹号A10</w:t>
            </w:r>
          </w:p>
        </w:tc>
      </w:tr>
      <w:tr w14:paraId="752D6ECB">
        <w:tblPrEx>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80087B1">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87</w:t>
            </w:r>
          </w:p>
        </w:tc>
        <w:tc>
          <w:tcPr>
            <w:tcW w:w="891" w:type="dxa"/>
            <w:tcBorders>
              <w:top w:val="nil"/>
              <w:left w:val="single" w:color="000000" w:sz="4" w:space="0"/>
              <w:bottom w:val="single" w:color="000000" w:sz="4" w:space="0"/>
              <w:right w:val="single" w:color="000000" w:sz="4" w:space="0"/>
            </w:tcBorders>
            <w:shd w:val="clear" w:color="auto" w:fill="auto"/>
            <w:vAlign w:val="center"/>
          </w:tcPr>
          <w:p w14:paraId="17624B00">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黄埔区</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E3ED3B">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龙湖街道</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10CD0C">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天韵社区</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970C51">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悦辰壹号</w:t>
            </w:r>
          </w:p>
        </w:tc>
        <w:tc>
          <w:tcPr>
            <w:tcW w:w="15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C059CB">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定时投放点</w:t>
            </w:r>
          </w:p>
        </w:tc>
        <w:tc>
          <w:tcPr>
            <w:tcW w:w="1944" w:type="dxa"/>
            <w:tcBorders>
              <w:top w:val="single" w:color="000000" w:sz="4" w:space="0"/>
              <w:left w:val="nil"/>
              <w:bottom w:val="single" w:color="000000" w:sz="4" w:space="0"/>
              <w:right w:val="single" w:color="000000" w:sz="4" w:space="0"/>
            </w:tcBorders>
            <w:shd w:val="clear" w:color="auto" w:fill="auto"/>
            <w:vAlign w:val="center"/>
          </w:tcPr>
          <w:p w14:paraId="6D417678">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悦辰壹号A6栋旁</w:t>
            </w:r>
          </w:p>
        </w:tc>
      </w:tr>
      <w:tr w14:paraId="1A8EEEE9">
        <w:tblPrEx>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B005D4D">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88</w:t>
            </w:r>
          </w:p>
        </w:tc>
        <w:tc>
          <w:tcPr>
            <w:tcW w:w="891" w:type="dxa"/>
            <w:tcBorders>
              <w:top w:val="nil"/>
              <w:left w:val="single" w:color="000000" w:sz="4" w:space="0"/>
              <w:bottom w:val="single" w:color="000000" w:sz="4" w:space="0"/>
              <w:right w:val="single" w:color="000000" w:sz="4" w:space="0"/>
            </w:tcBorders>
            <w:shd w:val="clear" w:color="auto" w:fill="auto"/>
            <w:vAlign w:val="center"/>
          </w:tcPr>
          <w:p w14:paraId="0808410C">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黄埔区</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B41664">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龙湖街道</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CBDA88">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天韵社区</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8B9C4C">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悦辰壹号</w:t>
            </w:r>
          </w:p>
        </w:tc>
        <w:tc>
          <w:tcPr>
            <w:tcW w:w="15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F80A6A">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定时投放点</w:t>
            </w:r>
          </w:p>
        </w:tc>
        <w:tc>
          <w:tcPr>
            <w:tcW w:w="1944" w:type="dxa"/>
            <w:tcBorders>
              <w:top w:val="single" w:color="000000" w:sz="4" w:space="0"/>
              <w:left w:val="nil"/>
              <w:bottom w:val="single" w:color="000000" w:sz="4" w:space="0"/>
              <w:right w:val="single" w:color="000000" w:sz="4" w:space="0"/>
            </w:tcBorders>
            <w:shd w:val="clear" w:color="auto" w:fill="auto"/>
            <w:vAlign w:val="center"/>
          </w:tcPr>
          <w:p w14:paraId="75B4799E">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悦辰壹号A3栋对面</w:t>
            </w:r>
          </w:p>
        </w:tc>
      </w:tr>
      <w:tr w14:paraId="57161859">
        <w:tblPrEx>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87018C3">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89</w:t>
            </w:r>
          </w:p>
        </w:tc>
        <w:tc>
          <w:tcPr>
            <w:tcW w:w="891" w:type="dxa"/>
            <w:tcBorders>
              <w:top w:val="nil"/>
              <w:left w:val="single" w:color="000000" w:sz="4" w:space="0"/>
              <w:bottom w:val="nil"/>
              <w:right w:val="single" w:color="000000" w:sz="4" w:space="0"/>
            </w:tcBorders>
            <w:shd w:val="clear" w:color="auto" w:fill="auto"/>
            <w:vAlign w:val="center"/>
          </w:tcPr>
          <w:p w14:paraId="7F72F2E9">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黄埔区</w:t>
            </w:r>
          </w:p>
        </w:tc>
        <w:tc>
          <w:tcPr>
            <w:tcW w:w="1134" w:type="dxa"/>
            <w:tcBorders>
              <w:top w:val="single" w:color="000000" w:sz="4" w:space="0"/>
              <w:left w:val="single" w:color="000000" w:sz="4" w:space="0"/>
              <w:bottom w:val="nil"/>
              <w:right w:val="single" w:color="000000" w:sz="4" w:space="0"/>
            </w:tcBorders>
            <w:shd w:val="clear" w:color="auto" w:fill="auto"/>
            <w:noWrap/>
            <w:vAlign w:val="center"/>
          </w:tcPr>
          <w:p w14:paraId="77DDE16F">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龙湖街道</w:t>
            </w:r>
          </w:p>
        </w:tc>
        <w:tc>
          <w:tcPr>
            <w:tcW w:w="1134" w:type="dxa"/>
            <w:tcBorders>
              <w:top w:val="single" w:color="000000" w:sz="4" w:space="0"/>
              <w:left w:val="single" w:color="000000" w:sz="4" w:space="0"/>
              <w:bottom w:val="nil"/>
              <w:right w:val="single" w:color="000000" w:sz="4" w:space="0"/>
            </w:tcBorders>
            <w:shd w:val="clear" w:color="auto" w:fill="auto"/>
            <w:noWrap/>
            <w:vAlign w:val="center"/>
          </w:tcPr>
          <w:p w14:paraId="161E44DB">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龙湖社区</w:t>
            </w:r>
          </w:p>
        </w:tc>
        <w:tc>
          <w:tcPr>
            <w:tcW w:w="1276" w:type="dxa"/>
            <w:tcBorders>
              <w:top w:val="single" w:color="000000" w:sz="4" w:space="0"/>
              <w:left w:val="single" w:color="000000" w:sz="4" w:space="0"/>
              <w:bottom w:val="nil"/>
              <w:right w:val="single" w:color="000000" w:sz="4" w:space="0"/>
            </w:tcBorders>
            <w:shd w:val="clear" w:color="auto" w:fill="auto"/>
            <w:noWrap/>
            <w:vAlign w:val="center"/>
          </w:tcPr>
          <w:p w14:paraId="22443DD5">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凤湖花园</w:t>
            </w:r>
          </w:p>
        </w:tc>
        <w:tc>
          <w:tcPr>
            <w:tcW w:w="1508" w:type="dxa"/>
            <w:tcBorders>
              <w:top w:val="single" w:color="000000" w:sz="4" w:space="0"/>
              <w:left w:val="single" w:color="000000" w:sz="4" w:space="0"/>
              <w:bottom w:val="nil"/>
              <w:right w:val="single" w:color="000000" w:sz="4" w:space="0"/>
            </w:tcBorders>
            <w:shd w:val="clear" w:color="auto" w:fill="auto"/>
            <w:noWrap/>
            <w:vAlign w:val="center"/>
          </w:tcPr>
          <w:p w14:paraId="2F04D7AA">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误时投放点1号</w:t>
            </w:r>
          </w:p>
        </w:tc>
        <w:tc>
          <w:tcPr>
            <w:tcW w:w="1944" w:type="dxa"/>
            <w:tcBorders>
              <w:top w:val="single" w:color="000000" w:sz="4" w:space="0"/>
              <w:left w:val="nil"/>
              <w:bottom w:val="nil"/>
              <w:right w:val="single" w:color="000000" w:sz="4" w:space="0"/>
            </w:tcBorders>
            <w:shd w:val="clear" w:color="auto" w:fill="auto"/>
            <w:vAlign w:val="center"/>
          </w:tcPr>
          <w:p w14:paraId="67D272F1">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凤湖花园G1栋旁</w:t>
            </w:r>
          </w:p>
        </w:tc>
      </w:tr>
      <w:tr w14:paraId="708DDD38">
        <w:tblPrEx>
          <w:tblCellMar>
            <w:top w:w="0" w:type="dxa"/>
            <w:left w:w="108" w:type="dxa"/>
            <w:bottom w:w="0" w:type="dxa"/>
            <w:right w:w="108" w:type="dxa"/>
          </w:tblCellMar>
        </w:tblPrEx>
        <w:trPr>
          <w:trHeight w:val="420" w:hRule="atLeast"/>
        </w:trPr>
        <w:tc>
          <w:tcPr>
            <w:tcW w:w="0" w:type="auto"/>
            <w:gridSpan w:val="7"/>
            <w:tcBorders>
              <w:top w:val="single" w:color="000000" w:sz="4" w:space="0"/>
              <w:left w:val="single" w:color="000000" w:sz="4" w:space="0"/>
              <w:bottom w:val="single" w:color="000000" w:sz="4" w:space="0"/>
              <w:right w:val="single" w:color="auto" w:sz="4" w:space="0"/>
            </w:tcBorders>
            <w:shd w:val="clear" w:color="auto" w:fill="auto"/>
            <w:vAlign w:val="center"/>
          </w:tcPr>
          <w:p w14:paraId="05B0F403">
            <w:pPr>
              <w:widowControl/>
              <w:jc w:val="left"/>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说明：以上点位不统一组织前往实地勘察。点位建设落地存在不确定性，以采购人实际需求为准，不仅限于上述点位。如上述点位无法落地，会由采购人提出其他点位计划，总实施点位不少于69个。</w:t>
            </w:r>
          </w:p>
        </w:tc>
      </w:tr>
    </w:tbl>
    <w:p w14:paraId="4AF32E61">
      <w:pPr>
        <w:widowControl/>
        <w:jc w:val="left"/>
        <w:rPr>
          <w:rFonts w:ascii="宋体" w:hAnsi="宋体" w:cs="宋体"/>
          <w:b/>
          <w:sz w:val="24"/>
        </w:rPr>
      </w:pPr>
    </w:p>
    <w:p w14:paraId="1FFA2F1C">
      <w:pPr>
        <w:tabs>
          <w:tab w:val="left" w:pos="709"/>
        </w:tabs>
        <w:adjustRightInd w:val="0"/>
        <w:snapToGrid w:val="0"/>
        <w:spacing w:line="360" w:lineRule="auto"/>
        <w:rPr>
          <w:rFonts w:ascii="宋体" w:hAnsi="宋体" w:cs="宋体"/>
          <w:b/>
          <w:sz w:val="24"/>
        </w:rPr>
      </w:pPr>
      <w:r>
        <w:rPr>
          <w:rFonts w:hint="eastAsia" w:ascii="宋体" w:hAnsi="宋体" w:cs="宋体"/>
          <w:b/>
          <w:sz w:val="24"/>
        </w:rPr>
        <w:t>三、总体要求</w:t>
      </w:r>
    </w:p>
    <w:p w14:paraId="1729BEF6">
      <w:pPr>
        <w:tabs>
          <w:tab w:val="left" w:pos="709"/>
        </w:tabs>
        <w:adjustRightInd w:val="0"/>
        <w:snapToGrid w:val="0"/>
        <w:spacing w:line="360" w:lineRule="auto"/>
        <w:ind w:firstLine="422" w:firstLineChars="200"/>
        <w:rPr>
          <w:rFonts w:ascii="宋体" w:hAnsi="宋体" w:cs="宋体"/>
          <w:b/>
          <w:bCs/>
          <w:szCs w:val="21"/>
        </w:rPr>
      </w:pPr>
      <w:r>
        <w:rPr>
          <w:rFonts w:hint="eastAsia" w:ascii="宋体" w:hAnsi="宋体" w:cs="宋体"/>
          <w:b/>
          <w:szCs w:val="21"/>
        </w:rPr>
        <w:t>★1、凡属于《中华人民共和国实施强制性产品认证的产品目录》的产品，请投标人在投标文件中承诺在交货时提供该产品的“中国强制性产品认证”（CCC认证）证书，否则视为无效投标。</w:t>
      </w:r>
      <w:r>
        <w:rPr>
          <w:rFonts w:hint="eastAsia" w:ascii="宋体" w:hAnsi="宋体" w:cs="宋体"/>
          <w:b/>
          <w:bCs/>
          <w:szCs w:val="21"/>
        </w:rPr>
        <w:t>（投标时须提供《承诺函》对以上内容作出承诺，</w:t>
      </w:r>
      <w:r>
        <w:rPr>
          <w:rFonts w:ascii="宋体" w:hAnsi="宋体" w:cs="宋体"/>
          <w:b/>
          <w:bCs/>
          <w:szCs w:val="21"/>
        </w:rPr>
        <w:t>格式自拟</w:t>
      </w:r>
      <w:r>
        <w:rPr>
          <w:rFonts w:hint="eastAsia" w:ascii="宋体" w:hAnsi="宋体" w:cs="宋体"/>
          <w:b/>
          <w:bCs/>
          <w:szCs w:val="21"/>
        </w:rPr>
        <w:t>）</w:t>
      </w:r>
    </w:p>
    <w:p w14:paraId="378FAFA5">
      <w:pPr>
        <w:tabs>
          <w:tab w:val="left" w:pos="709"/>
        </w:tabs>
        <w:adjustRightInd w:val="0"/>
        <w:snapToGrid w:val="0"/>
        <w:spacing w:line="360" w:lineRule="auto"/>
        <w:ind w:firstLine="420" w:firstLineChars="200"/>
        <w:rPr>
          <w:rFonts w:ascii="宋体" w:hAnsi="宋体" w:cs="宋体"/>
          <w:szCs w:val="21"/>
        </w:rPr>
      </w:pPr>
      <w:r>
        <w:rPr>
          <w:rFonts w:hint="eastAsia" w:ascii="宋体" w:hAnsi="宋体" w:cs="宋体"/>
          <w:szCs w:val="21"/>
        </w:rPr>
        <w:t>2、根据《关于调整优化节能产品、环境标志产品政府采购执行机制的通知》（财库〔2019〕9号），采购人拟采购的产品属于《政策适用性说明》范围中政府强制采购产品类别的，投标人须填写《政策适用性说明》（见招标文件格式），并在投标文件中提供：①该产品属于《节能产品政府采购品目清单》范围中政府强制采购产品类别的相关内容页，并对相关内容作圈记；②市场监管总局公布的参与实施政府采购节能产品认证机构名录截图；③该产品获得的由国家确定的认证机构出具的、处于有效期之内的节能产品认证证书，否则视为无效投标。（注:《节能产品政府采购品目清单》以及市场监管总局公布的参与实施政府采购节能产品认证机构名录，投标人可查询中国政府采购网，网址http://www.ccgp.gov.cn）</w:t>
      </w:r>
    </w:p>
    <w:p w14:paraId="1E522356">
      <w:pPr>
        <w:tabs>
          <w:tab w:val="left" w:pos="709"/>
        </w:tabs>
        <w:adjustRightInd w:val="0"/>
        <w:snapToGrid w:val="0"/>
        <w:spacing w:line="360" w:lineRule="auto"/>
        <w:ind w:firstLine="412" w:firstLineChars="200"/>
        <w:rPr>
          <w:rFonts w:ascii="宋体" w:hAnsi="宋体" w:cs="宋体"/>
          <w:spacing w:val="-2"/>
          <w:szCs w:val="21"/>
        </w:rPr>
      </w:pPr>
      <w:r>
        <w:rPr>
          <w:rFonts w:hint="eastAsia" w:ascii="宋体" w:hAnsi="宋体" w:cs="宋体"/>
          <w:spacing w:val="-2"/>
          <w:szCs w:val="21"/>
        </w:rPr>
        <w:t>3、根据《关于调整优化节能产品、环境标志产品政府采购执行机制的通知》（财库〔2019〕9号），采购人拟采购的产品属于《政策适用性说明》范围中政府优先采购产品类别的，投标人需填写《政策适用性说明》（见招标文件格式），并提供以下证明材料作为价格评审中价格扣除的依据：①该产品属于《节能产品政府采购品目清单》范围中政府优先采购产品类别的相关内容页，并对相关内容作圈记；②市场监管总局公布的参与实施政府采购节能产品认证机构名录截图；③该产品获得的由国家确定的认证机构出具的、处于有效期之内的节能产品认证证书（注:《节能产品政府采购品目清单》以及市场监管总局公布的参与实施政府采购节能产品认证机构名录，投标人可查询中国政府采购网，网址http://www.ccgp.gov.cn）。</w:t>
      </w:r>
    </w:p>
    <w:p w14:paraId="50225E47">
      <w:pPr>
        <w:tabs>
          <w:tab w:val="left" w:pos="709"/>
        </w:tabs>
        <w:adjustRightInd w:val="0"/>
        <w:snapToGrid w:val="0"/>
        <w:spacing w:line="360" w:lineRule="auto"/>
        <w:ind w:firstLine="420" w:firstLineChars="200"/>
        <w:rPr>
          <w:rFonts w:ascii="宋体" w:hAnsi="宋体" w:cs="宋体"/>
          <w:szCs w:val="21"/>
        </w:rPr>
      </w:pPr>
      <w:r>
        <w:rPr>
          <w:rFonts w:hint="eastAsia" w:ascii="宋体" w:hAnsi="宋体" w:cs="宋体"/>
          <w:szCs w:val="21"/>
        </w:rPr>
        <w:t>4、根据《关于调整优化节能产品、环境标志产品政府采购执行机制的通知》（财库〔2019〕9号），采购人拟采购的产品属于《环境标志产品政府采购品目清单》范围的，投标人需填写《政策适用性说明》（见招标文件格式），并提供以下证明材料作为价格评审中价格扣除的依据：①该产品属于《环境标志产品政府采购品目清单》范围的相关内容页，并对相关内容作圈记；②市场监管总局公布的参与实施政府采购环境标志产品认证机构名录截图；③该产品获得的由国家确定的认证机构出具的、处于有效期之内的环境标志产品认证证书（注:《环境标志产品政府采购品目清单》以及市场监管总局公布的参与实施政府采购节能产品认证机构名录，投标人可查询中国政府采购网，网址http://www.ccgp.gov.cn）。</w:t>
      </w:r>
    </w:p>
    <w:p w14:paraId="5187A0EF">
      <w:pPr>
        <w:tabs>
          <w:tab w:val="left" w:pos="709"/>
        </w:tabs>
        <w:adjustRightInd w:val="0"/>
        <w:snapToGrid w:val="0"/>
        <w:spacing w:line="360" w:lineRule="auto"/>
        <w:ind w:firstLine="420" w:firstLineChars="200"/>
        <w:rPr>
          <w:rFonts w:ascii="宋体" w:hAnsi="宋体" w:cs="宋体"/>
          <w:szCs w:val="21"/>
        </w:rPr>
      </w:pPr>
      <w:r>
        <w:rPr>
          <w:rFonts w:hint="eastAsia" w:ascii="宋体" w:hAnsi="宋体" w:cs="宋体"/>
          <w:szCs w:val="21"/>
        </w:rPr>
        <w:t>5、中标供应应保证，采购人在中华人民共和国使用该货物或服务的任何一部分时，免受第三方提出的侵犯其专利权、商标权、著作权或其它知识产权的起诉。如发生此类纠纷，由中标供应商承担一切责任；如因此给采购人造成损失的，中标供应商负责全额赔偿。</w:t>
      </w:r>
    </w:p>
    <w:p w14:paraId="36207D4E">
      <w:pPr>
        <w:tabs>
          <w:tab w:val="left" w:pos="709"/>
        </w:tabs>
        <w:adjustRightInd w:val="0"/>
        <w:snapToGrid w:val="0"/>
        <w:spacing w:line="360" w:lineRule="auto"/>
        <w:ind w:firstLine="200"/>
        <w:rPr>
          <w:rFonts w:ascii="宋体" w:hAnsi="宋体" w:cs="宋体"/>
          <w:szCs w:val="21"/>
        </w:rPr>
      </w:pPr>
      <w:r>
        <w:rPr>
          <w:rFonts w:hint="eastAsia" w:ascii="宋体" w:hAnsi="宋体" w:cs="宋体"/>
          <w:szCs w:val="21"/>
        </w:rPr>
        <w:t>6、中标供应商为执行本项目合同而提供的技术资料、图纸、数据、设计、知识产权、软件的使用权归采购人所有。</w:t>
      </w:r>
    </w:p>
    <w:p w14:paraId="3FB7674A">
      <w:pPr>
        <w:pStyle w:val="8"/>
        <w:spacing w:line="360" w:lineRule="auto"/>
        <w:ind w:firstLine="420" w:firstLineChars="200"/>
        <w:jc w:val="both"/>
        <w:rPr>
          <w:rFonts w:hint="default" w:ascii="宋体" w:hAnsi="宋体" w:cs="宋体"/>
          <w:kern w:val="2"/>
          <w:sz w:val="21"/>
          <w:szCs w:val="21"/>
          <w:lang w:eastAsia="zh-CN"/>
        </w:rPr>
      </w:pPr>
      <w:r>
        <w:rPr>
          <w:rFonts w:hint="default" w:ascii="宋体" w:hAnsi="宋体" w:cs="宋体"/>
          <w:kern w:val="2"/>
          <w:sz w:val="21"/>
          <w:szCs w:val="21"/>
          <w:lang w:eastAsia="zh-CN"/>
        </w:rPr>
        <w:t>7</w:t>
      </w:r>
      <w:r>
        <w:rPr>
          <w:rFonts w:ascii="宋体" w:hAnsi="宋体" w:cs="宋体"/>
          <w:kern w:val="2"/>
          <w:sz w:val="21"/>
          <w:szCs w:val="21"/>
          <w:lang w:eastAsia="zh-CN"/>
        </w:rPr>
        <w:t>、投标人需承诺，中标后所有相关技术要求经采购人确认后才可安排生产交付。</w:t>
      </w:r>
      <w:r>
        <w:rPr>
          <w:kern w:val="2"/>
          <w:sz w:val="21"/>
          <w:lang w:eastAsia="zh-CN"/>
        </w:rPr>
        <w:t>投标人应根据拟安装地点的用地条件，本着各空间合理布局，提高内部面积利用率的原则和具体配置要求，采购人有权根据实际安装现场的具体情况在招标要求范围内对中标人提出适当性调整要求。项目实施后未经采购人同意不得自行变更。</w:t>
      </w:r>
    </w:p>
    <w:p w14:paraId="49B620A9">
      <w:pPr>
        <w:pStyle w:val="8"/>
        <w:spacing w:line="360" w:lineRule="auto"/>
        <w:ind w:firstLine="420" w:firstLineChars="200"/>
        <w:rPr>
          <w:rFonts w:hint="default" w:ascii="宋体" w:hAnsi="宋体" w:cs="宋体"/>
          <w:kern w:val="2"/>
          <w:sz w:val="21"/>
          <w:szCs w:val="21"/>
          <w:lang w:eastAsia="zh-CN"/>
        </w:rPr>
      </w:pPr>
      <w:r>
        <w:rPr>
          <w:rFonts w:hint="default" w:ascii="宋体" w:hAnsi="宋体" w:cs="宋体"/>
          <w:kern w:val="2"/>
          <w:sz w:val="21"/>
          <w:szCs w:val="21"/>
          <w:lang w:eastAsia="zh-CN"/>
        </w:rPr>
        <w:t>8</w:t>
      </w:r>
      <w:r>
        <w:rPr>
          <w:rFonts w:ascii="宋体" w:hAnsi="宋体" w:cs="宋体"/>
          <w:kern w:val="2"/>
          <w:sz w:val="21"/>
          <w:szCs w:val="21"/>
          <w:lang w:eastAsia="zh-CN"/>
        </w:rPr>
        <w:t>、投标人应有完善的项目实施方案、产品质量保证措施、产品维修保养管理措施、供货及安装方案、售后服务方案。</w:t>
      </w:r>
    </w:p>
    <w:p w14:paraId="3036C1D9">
      <w:pPr>
        <w:tabs>
          <w:tab w:val="left" w:pos="709"/>
        </w:tabs>
        <w:adjustRightInd w:val="0"/>
        <w:snapToGrid w:val="0"/>
        <w:spacing w:line="360" w:lineRule="auto"/>
        <w:ind w:firstLine="420" w:firstLineChars="200"/>
        <w:rPr>
          <w:rFonts w:ascii="宋体" w:hAnsi="宋体" w:cs="宋体"/>
          <w:szCs w:val="21"/>
        </w:rPr>
      </w:pPr>
      <w:r>
        <w:rPr>
          <w:rFonts w:hint="eastAsia" w:ascii="宋体" w:hAnsi="宋体" w:cs="宋体"/>
          <w:szCs w:val="21"/>
        </w:rPr>
        <w:t>9、投放点选址应符合国家有关环保、安全、消防、卫生等相关要求，充分考虑供电供水、污水排放、环境保护等各方面要求和条件。</w:t>
      </w:r>
    </w:p>
    <w:p w14:paraId="5AD158F5">
      <w:pPr>
        <w:widowControl/>
        <w:spacing w:line="360" w:lineRule="auto"/>
        <w:ind w:firstLine="420" w:firstLineChars="200"/>
        <w:jc w:val="left"/>
        <w:rPr>
          <w:rFonts w:ascii="宋体" w:hAnsi="宋体" w:cs="宋体"/>
          <w:szCs w:val="21"/>
        </w:rPr>
      </w:pPr>
      <w:r>
        <w:rPr>
          <w:rFonts w:ascii="宋体" w:hAnsi="宋体" w:cs="宋体"/>
          <w:szCs w:val="21"/>
        </w:rPr>
        <w:t>10</w:t>
      </w:r>
      <w:r>
        <w:rPr>
          <w:rFonts w:hint="eastAsia" w:ascii="宋体" w:hAnsi="宋体" w:cs="宋体"/>
          <w:szCs w:val="21"/>
        </w:rPr>
        <w:t>、</w:t>
      </w:r>
      <w:r>
        <w:rPr>
          <w:rFonts w:ascii="宋体" w:hAnsi="宋体" w:cs="宋体"/>
          <w:szCs w:val="21"/>
        </w:rPr>
        <w:t xml:space="preserve">主体设施 </w:t>
      </w:r>
    </w:p>
    <w:p w14:paraId="2C4E86BF">
      <w:pPr>
        <w:widowControl/>
        <w:spacing w:line="360" w:lineRule="auto"/>
        <w:ind w:firstLine="420" w:firstLineChars="200"/>
        <w:jc w:val="left"/>
        <w:rPr>
          <w:rFonts w:ascii="宋体" w:hAnsi="宋体" w:cs="宋体"/>
          <w:szCs w:val="21"/>
        </w:rPr>
      </w:pPr>
      <w:r>
        <w:rPr>
          <w:rFonts w:hint="eastAsia" w:ascii="宋体" w:hAnsi="宋体" w:cs="宋体"/>
          <w:szCs w:val="21"/>
        </w:rPr>
        <w:t xml:space="preserve">（1）投放点类型及桶位数按分类收集容器容积、种类、数量及现场地形大小等实际情况确定。有条件的，宜建设集投放、收集、暂存等功能于一体的箱房式投放点，已建成的亭架式及其他类型投放点宜结 合实际逐步升级改造成箱房式投放点。 </w:t>
      </w:r>
    </w:p>
    <w:p w14:paraId="5B941BC3">
      <w:pPr>
        <w:widowControl/>
        <w:spacing w:line="360" w:lineRule="auto"/>
        <w:ind w:firstLine="420" w:firstLineChars="200"/>
        <w:jc w:val="left"/>
        <w:rPr>
          <w:rFonts w:ascii="宋体" w:hAnsi="宋体" w:cs="宋体"/>
          <w:szCs w:val="21"/>
        </w:rPr>
      </w:pPr>
      <w:r>
        <w:rPr>
          <w:rFonts w:hint="eastAsia" w:ascii="宋体" w:hAnsi="宋体" w:cs="宋体"/>
          <w:szCs w:val="21"/>
        </w:rPr>
        <w:t>（2</w:t>
      </w:r>
      <w:r>
        <w:rPr>
          <w:rFonts w:ascii="宋体" w:hAnsi="宋体" w:cs="宋体"/>
          <w:szCs w:val="21"/>
        </w:rPr>
        <w:t>）</w:t>
      </w:r>
      <w:r>
        <w:rPr>
          <w:rFonts w:hint="eastAsia" w:ascii="宋体" w:hAnsi="宋体" w:cs="宋体"/>
          <w:szCs w:val="21"/>
        </w:rPr>
        <w:t xml:space="preserve">有条件的投放点，宜设置纸类、塑料、玻璃、金属、织物等专项可回收物收集容器。 </w:t>
      </w:r>
    </w:p>
    <w:p w14:paraId="5BF9E187">
      <w:pPr>
        <w:widowControl/>
        <w:spacing w:line="360" w:lineRule="auto"/>
        <w:ind w:firstLine="420" w:firstLineChars="200"/>
        <w:jc w:val="left"/>
        <w:rPr>
          <w:rFonts w:ascii="宋体" w:hAnsi="宋体" w:cs="宋体"/>
          <w:szCs w:val="21"/>
        </w:rPr>
      </w:pPr>
      <w:r>
        <w:rPr>
          <w:rFonts w:hint="eastAsia" w:ascii="宋体" w:hAnsi="宋体" w:cs="宋体"/>
          <w:szCs w:val="21"/>
        </w:rPr>
        <w:t>（3</w:t>
      </w:r>
      <w:r>
        <w:rPr>
          <w:rFonts w:ascii="宋体" w:hAnsi="宋体" w:cs="宋体"/>
          <w:szCs w:val="21"/>
        </w:rPr>
        <w:t>）</w:t>
      </w:r>
      <w:r>
        <w:rPr>
          <w:rFonts w:hint="eastAsia" w:ascii="宋体" w:hAnsi="宋体" w:cs="宋体"/>
          <w:szCs w:val="21"/>
        </w:rPr>
        <w:t xml:space="preserve">供居民投放垃圾的通道净宽不少于0.8m。同时应根据收集容器大小预留更换容器的操作空间，宜与居民投放垃圾的通道分开设置。 </w:t>
      </w:r>
    </w:p>
    <w:p w14:paraId="1C4DE225">
      <w:pPr>
        <w:widowControl/>
        <w:spacing w:line="360" w:lineRule="auto"/>
        <w:ind w:firstLine="420" w:firstLineChars="200"/>
        <w:jc w:val="left"/>
        <w:rPr>
          <w:rFonts w:ascii="宋体" w:hAnsi="宋体" w:cs="宋体"/>
          <w:szCs w:val="21"/>
        </w:rPr>
      </w:pPr>
      <w:r>
        <w:rPr>
          <w:rFonts w:hint="eastAsia" w:ascii="宋体" w:hAnsi="宋体" w:cs="宋体"/>
          <w:szCs w:val="21"/>
        </w:rPr>
        <w:t>（4</w:t>
      </w:r>
      <w:r>
        <w:rPr>
          <w:rFonts w:ascii="宋体" w:hAnsi="宋体" w:cs="宋体"/>
          <w:szCs w:val="21"/>
        </w:rPr>
        <w:t>）</w:t>
      </w:r>
      <w:r>
        <w:rPr>
          <w:rFonts w:hint="eastAsia" w:ascii="宋体" w:hAnsi="宋体" w:cs="宋体"/>
          <w:szCs w:val="21"/>
        </w:rPr>
        <w:t xml:space="preserve">投放点的地面应硬底化，确保地面坚实、平整，并具有良好的防滑措施。宜结合更换收集容器作业实际，设置缓冲坡道。 </w:t>
      </w:r>
    </w:p>
    <w:p w14:paraId="72E960B5">
      <w:pPr>
        <w:widowControl/>
        <w:spacing w:line="360" w:lineRule="auto"/>
        <w:ind w:firstLine="420" w:firstLineChars="200"/>
        <w:jc w:val="left"/>
        <w:rPr>
          <w:rFonts w:ascii="宋体" w:hAnsi="宋体" w:cs="宋体"/>
          <w:szCs w:val="21"/>
        </w:rPr>
      </w:pPr>
      <w:r>
        <w:rPr>
          <w:rFonts w:hint="eastAsia" w:ascii="宋体" w:hAnsi="宋体" w:cs="宋体"/>
          <w:szCs w:val="21"/>
        </w:rPr>
        <w:t>（5</w:t>
      </w:r>
      <w:r>
        <w:rPr>
          <w:rFonts w:ascii="宋体" w:hAnsi="宋体" w:cs="宋体"/>
          <w:szCs w:val="21"/>
        </w:rPr>
        <w:t>）</w:t>
      </w:r>
      <w:r>
        <w:rPr>
          <w:rFonts w:hint="eastAsia" w:ascii="宋体" w:hAnsi="宋体" w:cs="宋体"/>
          <w:szCs w:val="21"/>
        </w:rPr>
        <w:t>主体结构应选择耐用、易清洁、防腐蚀的可循环利用环保材料，外观上应与周边环境相协调，具有良好的防水性，避免雨水影响投放点的电气设备。布局与建筑设计样式可参考“五、产品样板（参考效果图）”</w:t>
      </w:r>
    </w:p>
    <w:p w14:paraId="7E2FF397">
      <w:pPr>
        <w:widowControl/>
        <w:spacing w:line="360" w:lineRule="auto"/>
        <w:ind w:firstLine="420" w:firstLineChars="200"/>
        <w:jc w:val="left"/>
        <w:rPr>
          <w:rFonts w:ascii="宋体" w:hAnsi="宋体" w:cs="宋体"/>
          <w:szCs w:val="21"/>
        </w:rPr>
      </w:pPr>
      <w:r>
        <w:rPr>
          <w:rFonts w:hint="eastAsia" w:ascii="宋体" w:hAnsi="宋体" w:cs="宋体"/>
          <w:szCs w:val="21"/>
        </w:rPr>
        <w:t>（6</w:t>
      </w:r>
      <w:r>
        <w:rPr>
          <w:rFonts w:ascii="宋体" w:hAnsi="宋体" w:cs="宋体"/>
          <w:szCs w:val="21"/>
        </w:rPr>
        <w:t>）</w:t>
      </w:r>
      <w:r>
        <w:rPr>
          <w:rFonts w:hint="eastAsia" w:ascii="宋体" w:hAnsi="宋体" w:cs="宋体"/>
          <w:szCs w:val="21"/>
        </w:rPr>
        <w:t xml:space="preserve">箱房式、亭架式投放点应设置遮雨棚，避免雨水进入收集容器并为居民提供遮挡。设置在楼宇架空层、地下停车场等区域的其他类型垃圾投放点，其上方若有遮挡并符合要求的，可不设置遮雨棚。 </w:t>
      </w:r>
    </w:p>
    <w:p w14:paraId="10A0E12B">
      <w:pPr>
        <w:widowControl/>
        <w:spacing w:line="360" w:lineRule="auto"/>
        <w:ind w:firstLine="420" w:firstLineChars="200"/>
        <w:jc w:val="left"/>
        <w:rPr>
          <w:rFonts w:ascii="宋体" w:hAnsi="宋体" w:cs="宋体"/>
          <w:szCs w:val="21"/>
        </w:rPr>
      </w:pPr>
      <w:r>
        <w:rPr>
          <w:rFonts w:hint="eastAsia" w:ascii="宋体" w:hAnsi="宋体" w:cs="宋体"/>
          <w:szCs w:val="21"/>
        </w:rPr>
        <w:t>（7</w:t>
      </w:r>
      <w:r>
        <w:rPr>
          <w:rFonts w:ascii="宋体" w:hAnsi="宋体" w:cs="宋体"/>
          <w:szCs w:val="21"/>
        </w:rPr>
        <w:t>）</w:t>
      </w:r>
      <w:r>
        <w:rPr>
          <w:rFonts w:hint="eastAsia" w:ascii="宋体" w:hAnsi="宋体" w:cs="宋体"/>
          <w:szCs w:val="21"/>
        </w:rPr>
        <w:t xml:space="preserve">遮雨棚设置应符合以下规定： </w:t>
      </w:r>
    </w:p>
    <w:p w14:paraId="06EAE519">
      <w:pPr>
        <w:widowControl/>
        <w:spacing w:line="360" w:lineRule="auto"/>
        <w:ind w:firstLine="420" w:firstLineChars="200"/>
        <w:jc w:val="left"/>
        <w:rPr>
          <w:rFonts w:ascii="宋体" w:hAnsi="宋体" w:cs="宋体"/>
          <w:szCs w:val="21"/>
        </w:rPr>
      </w:pPr>
      <w:r>
        <w:rPr>
          <w:rFonts w:hint="eastAsia" w:ascii="宋体" w:hAnsi="宋体" w:cs="宋体"/>
          <w:szCs w:val="21"/>
        </w:rPr>
        <w:t xml:space="preserve">a)遮雨棚在投放通道净高不少于2.0m。 </w:t>
      </w:r>
    </w:p>
    <w:p w14:paraId="7C63A594">
      <w:pPr>
        <w:widowControl/>
        <w:spacing w:line="360" w:lineRule="auto"/>
        <w:ind w:firstLine="420" w:firstLineChars="200"/>
        <w:jc w:val="left"/>
        <w:rPr>
          <w:rFonts w:ascii="宋体" w:hAnsi="宋体" w:cs="宋体"/>
          <w:szCs w:val="21"/>
        </w:rPr>
      </w:pPr>
      <w:r>
        <w:rPr>
          <w:rFonts w:hint="eastAsia" w:ascii="宋体" w:hAnsi="宋体" w:cs="宋体"/>
          <w:szCs w:val="21"/>
        </w:rPr>
        <w:t xml:space="preserve">b)遮雨棚突出部分在投放通道的地面投影宽度宜不少于0.6m。 </w:t>
      </w:r>
    </w:p>
    <w:p w14:paraId="15D41322">
      <w:pPr>
        <w:widowControl/>
        <w:spacing w:line="360" w:lineRule="auto"/>
        <w:ind w:firstLine="420" w:firstLineChars="200"/>
        <w:jc w:val="left"/>
        <w:rPr>
          <w:rFonts w:ascii="宋体" w:hAnsi="宋体" w:cs="宋体"/>
          <w:szCs w:val="21"/>
        </w:rPr>
      </w:pPr>
      <w:r>
        <w:rPr>
          <w:rFonts w:hint="eastAsia" w:ascii="宋体" w:hAnsi="宋体" w:cs="宋体"/>
          <w:szCs w:val="21"/>
        </w:rPr>
        <w:t xml:space="preserve">c)遮雨棚设计应选用便于作业人员清扫落叶等杂物的形式和材质。 </w:t>
      </w:r>
    </w:p>
    <w:p w14:paraId="03EEB647">
      <w:pPr>
        <w:widowControl/>
        <w:spacing w:line="360" w:lineRule="auto"/>
        <w:ind w:firstLine="420" w:firstLineChars="200"/>
        <w:jc w:val="left"/>
        <w:rPr>
          <w:rFonts w:ascii="宋体" w:hAnsi="宋体" w:cs="宋体"/>
          <w:szCs w:val="21"/>
        </w:rPr>
      </w:pPr>
      <w:r>
        <w:rPr>
          <w:rFonts w:hint="eastAsia" w:ascii="宋体" w:hAnsi="宋体" w:cs="宋体"/>
          <w:szCs w:val="21"/>
        </w:rPr>
        <w:t>（8</w:t>
      </w:r>
      <w:r>
        <w:rPr>
          <w:rFonts w:ascii="宋体" w:hAnsi="宋体" w:cs="宋体"/>
          <w:szCs w:val="21"/>
        </w:rPr>
        <w:t>）</w:t>
      </w:r>
      <w:r>
        <w:rPr>
          <w:rFonts w:hint="eastAsia" w:ascii="宋体" w:hAnsi="宋体" w:cs="宋体"/>
          <w:szCs w:val="21"/>
        </w:rPr>
        <w:t xml:space="preserve">各类收集容器应符合CJ/T 280-2020的有关规定，并应按照GB/T 19095-2019的规定，张贴或喷涂正确的分类标志。 </w:t>
      </w:r>
    </w:p>
    <w:p w14:paraId="77D37ABC">
      <w:pPr>
        <w:widowControl/>
        <w:spacing w:line="360" w:lineRule="auto"/>
        <w:ind w:firstLine="420" w:firstLineChars="200"/>
        <w:jc w:val="left"/>
        <w:rPr>
          <w:rFonts w:ascii="宋体" w:hAnsi="宋体" w:cs="宋体"/>
          <w:szCs w:val="21"/>
        </w:rPr>
      </w:pPr>
      <w:r>
        <w:rPr>
          <w:rFonts w:hint="eastAsia" w:ascii="宋体" w:hAnsi="宋体" w:cs="宋体"/>
          <w:szCs w:val="21"/>
        </w:rPr>
        <w:t>（9</w:t>
      </w:r>
      <w:r>
        <w:rPr>
          <w:rFonts w:ascii="宋体" w:hAnsi="宋体" w:cs="宋体"/>
          <w:szCs w:val="21"/>
        </w:rPr>
        <w:t>）</w:t>
      </w:r>
      <w:r>
        <w:rPr>
          <w:rFonts w:hint="eastAsia" w:ascii="宋体" w:hAnsi="宋体" w:cs="宋体"/>
          <w:szCs w:val="21"/>
        </w:rPr>
        <w:t xml:space="preserve">其他垃圾和厨余垃圾一般使用240L标准制式收集容器，鼓励其他垃圾选用660L标准制式收集容器，厨余垃圾可选用120L标准制式收集容器。 </w:t>
      </w:r>
    </w:p>
    <w:p w14:paraId="0718804D">
      <w:pPr>
        <w:widowControl/>
        <w:spacing w:line="360" w:lineRule="auto"/>
        <w:ind w:firstLine="420" w:firstLineChars="200"/>
        <w:jc w:val="left"/>
        <w:rPr>
          <w:rFonts w:ascii="宋体" w:hAnsi="宋体" w:cs="宋体"/>
          <w:szCs w:val="21"/>
        </w:rPr>
      </w:pPr>
      <w:r>
        <w:rPr>
          <w:rFonts w:hint="eastAsia" w:ascii="宋体" w:hAnsi="宋体" w:cs="宋体"/>
          <w:szCs w:val="21"/>
        </w:rPr>
        <w:t>（10</w:t>
      </w:r>
      <w:r>
        <w:rPr>
          <w:rFonts w:ascii="宋体" w:hAnsi="宋体" w:cs="宋体"/>
          <w:szCs w:val="21"/>
        </w:rPr>
        <w:t>）</w:t>
      </w:r>
      <w:r>
        <w:rPr>
          <w:rFonts w:hint="eastAsia" w:ascii="宋体" w:hAnsi="宋体" w:cs="宋体"/>
          <w:szCs w:val="21"/>
        </w:rPr>
        <w:t xml:space="preserve">除选用120L、240L、660L、1000L的标准制式收集容器外，可回收物和有害垃圾可根据实际使用容量合适、结实耐用的容器（袋、框）。 </w:t>
      </w:r>
    </w:p>
    <w:p w14:paraId="51FEC324">
      <w:pPr>
        <w:widowControl/>
        <w:spacing w:line="360" w:lineRule="auto"/>
        <w:ind w:firstLine="420" w:firstLineChars="200"/>
        <w:jc w:val="left"/>
        <w:rPr>
          <w:rFonts w:ascii="宋体" w:hAnsi="宋体" w:cs="宋体"/>
          <w:szCs w:val="21"/>
        </w:rPr>
      </w:pPr>
      <w:r>
        <w:rPr>
          <w:rFonts w:hint="eastAsia" w:ascii="宋体" w:hAnsi="宋体" w:cs="宋体"/>
          <w:szCs w:val="21"/>
        </w:rPr>
        <w:t>（11</w:t>
      </w:r>
      <w:r>
        <w:rPr>
          <w:rFonts w:ascii="宋体" w:hAnsi="宋体" w:cs="宋体"/>
          <w:szCs w:val="21"/>
        </w:rPr>
        <w:t>）</w:t>
      </w:r>
      <w:r>
        <w:rPr>
          <w:rFonts w:hint="eastAsia" w:ascii="宋体" w:hAnsi="宋体" w:cs="宋体"/>
          <w:szCs w:val="21"/>
        </w:rPr>
        <w:t xml:space="preserve">有条件的，可在相邻2个相同的240L其他垃圾或可回收物收集容器桶位上，放置1个660L标准制式收集容器。 </w:t>
      </w:r>
    </w:p>
    <w:p w14:paraId="35912C9F">
      <w:pPr>
        <w:widowControl/>
        <w:spacing w:line="360" w:lineRule="auto"/>
        <w:ind w:firstLine="420" w:firstLineChars="200"/>
        <w:jc w:val="left"/>
        <w:rPr>
          <w:rFonts w:ascii="宋体" w:hAnsi="宋体" w:cs="宋体"/>
          <w:szCs w:val="21"/>
        </w:rPr>
      </w:pPr>
      <w:r>
        <w:rPr>
          <w:rFonts w:hint="eastAsia" w:ascii="宋体" w:hAnsi="宋体" w:cs="宋体"/>
          <w:szCs w:val="21"/>
        </w:rPr>
        <w:t>（12</w:t>
      </w:r>
      <w:r>
        <w:rPr>
          <w:rFonts w:ascii="宋体" w:hAnsi="宋体" w:cs="宋体"/>
          <w:szCs w:val="21"/>
        </w:rPr>
        <w:t>）</w:t>
      </w:r>
      <w:r>
        <w:rPr>
          <w:rFonts w:hint="eastAsia" w:ascii="宋体" w:hAnsi="宋体" w:cs="宋体"/>
          <w:szCs w:val="21"/>
        </w:rPr>
        <w:t xml:space="preserve">箱房式投放点的主体设施，应符合以下规定： </w:t>
      </w:r>
    </w:p>
    <w:p w14:paraId="1D69A2DC">
      <w:pPr>
        <w:widowControl/>
        <w:spacing w:line="360" w:lineRule="auto"/>
        <w:ind w:firstLine="420" w:firstLineChars="200"/>
        <w:jc w:val="left"/>
        <w:rPr>
          <w:rFonts w:ascii="宋体" w:hAnsi="宋体" w:cs="宋体"/>
          <w:szCs w:val="21"/>
        </w:rPr>
      </w:pPr>
      <w:r>
        <w:rPr>
          <w:rFonts w:hint="eastAsia" w:ascii="宋体" w:hAnsi="宋体" w:cs="宋体"/>
          <w:szCs w:val="21"/>
        </w:rPr>
        <w:t xml:space="preserve">a)投放区域设置有投放口的，其下沿高度，距离地面不宜超过 1.2m。 </w:t>
      </w:r>
    </w:p>
    <w:p w14:paraId="78999641">
      <w:pPr>
        <w:widowControl/>
        <w:spacing w:line="360" w:lineRule="auto"/>
        <w:ind w:firstLine="420" w:firstLineChars="200"/>
        <w:jc w:val="left"/>
        <w:rPr>
          <w:rFonts w:ascii="宋体" w:hAnsi="宋体" w:cs="宋体"/>
          <w:szCs w:val="21"/>
        </w:rPr>
      </w:pPr>
      <w:r>
        <w:rPr>
          <w:rFonts w:hint="eastAsia" w:ascii="宋体" w:hAnsi="宋体" w:cs="宋体"/>
          <w:szCs w:val="21"/>
        </w:rPr>
        <w:t xml:space="preserve">b)箱房净空不少于2.0m。 </w:t>
      </w:r>
    </w:p>
    <w:p w14:paraId="37262EA1">
      <w:pPr>
        <w:widowControl/>
        <w:spacing w:line="360" w:lineRule="auto"/>
        <w:ind w:firstLine="420" w:firstLineChars="200"/>
        <w:jc w:val="left"/>
        <w:rPr>
          <w:rFonts w:ascii="宋体" w:hAnsi="宋体" w:cs="宋体"/>
          <w:szCs w:val="21"/>
        </w:rPr>
      </w:pPr>
      <w:r>
        <w:rPr>
          <w:rFonts w:hint="eastAsia" w:ascii="宋体" w:hAnsi="宋体" w:cs="宋体"/>
          <w:szCs w:val="21"/>
        </w:rPr>
        <w:t xml:space="preserve">c)箱房应防风防雨，安装便于启闭的大门，设置可启闭的通风口。有条件的可设置机械通风设备。 </w:t>
      </w:r>
    </w:p>
    <w:p w14:paraId="4ED7A96F">
      <w:pPr>
        <w:widowControl/>
        <w:spacing w:line="360" w:lineRule="auto"/>
        <w:ind w:firstLine="420" w:firstLineChars="200"/>
        <w:jc w:val="left"/>
        <w:rPr>
          <w:rFonts w:ascii="宋体" w:hAnsi="宋体" w:cs="宋体"/>
          <w:szCs w:val="21"/>
        </w:rPr>
      </w:pPr>
      <w:r>
        <w:rPr>
          <w:rFonts w:hint="eastAsia" w:ascii="宋体" w:hAnsi="宋体" w:cs="宋体"/>
          <w:szCs w:val="21"/>
        </w:rPr>
        <w:t>（13</w:t>
      </w:r>
      <w:r>
        <w:rPr>
          <w:rFonts w:ascii="宋体" w:hAnsi="宋体" w:cs="宋体"/>
          <w:szCs w:val="21"/>
        </w:rPr>
        <w:t>）</w:t>
      </w:r>
      <w:r>
        <w:rPr>
          <w:rFonts w:hint="eastAsia" w:ascii="宋体" w:hAnsi="宋体" w:cs="宋体"/>
          <w:szCs w:val="21"/>
        </w:rPr>
        <w:t xml:space="preserve">设置箱体用于放置收集容器的亭架式投放点，其投放口下沿高度，距离地面不宜超过1.2m。投放口的打开方式可采用脚踩启闭、感应自动启闭等形式，方便居民投放垃圾。箱体门高度应合理设置，便于放置和取出收集容器，箱体内部应便于清扫、冲洗或擦拭。 </w:t>
      </w:r>
    </w:p>
    <w:p w14:paraId="428BE416">
      <w:pPr>
        <w:widowControl/>
        <w:spacing w:line="360" w:lineRule="auto"/>
        <w:ind w:firstLine="420" w:firstLineChars="200"/>
        <w:jc w:val="left"/>
        <w:rPr>
          <w:rFonts w:ascii="宋体" w:hAnsi="宋体" w:cs="宋体"/>
          <w:szCs w:val="21"/>
        </w:rPr>
      </w:pPr>
      <w:r>
        <w:rPr>
          <w:rFonts w:ascii="宋体" w:hAnsi="宋体" w:cs="宋体"/>
          <w:szCs w:val="21"/>
        </w:rPr>
        <w:t>11</w:t>
      </w:r>
      <w:r>
        <w:rPr>
          <w:rFonts w:hint="eastAsia" w:ascii="宋体" w:hAnsi="宋体" w:cs="宋体"/>
          <w:szCs w:val="21"/>
        </w:rPr>
        <w:t xml:space="preserve">、配套设施 </w:t>
      </w:r>
    </w:p>
    <w:p w14:paraId="0BB9F4E4">
      <w:pPr>
        <w:widowControl/>
        <w:spacing w:line="360" w:lineRule="auto"/>
        <w:ind w:firstLine="420" w:firstLineChars="200"/>
        <w:jc w:val="left"/>
        <w:rPr>
          <w:rFonts w:ascii="宋体" w:hAnsi="宋体" w:cs="宋体"/>
          <w:szCs w:val="21"/>
        </w:rPr>
      </w:pPr>
      <w:r>
        <w:rPr>
          <w:rFonts w:hint="eastAsia" w:ascii="宋体" w:hAnsi="宋体" w:cs="宋体"/>
          <w:szCs w:val="21"/>
        </w:rPr>
        <w:t>（1</w:t>
      </w:r>
      <w:r>
        <w:rPr>
          <w:rFonts w:ascii="宋体" w:hAnsi="宋体" w:cs="宋体"/>
          <w:szCs w:val="21"/>
        </w:rPr>
        <w:t>）</w:t>
      </w:r>
      <w:r>
        <w:rPr>
          <w:rFonts w:hint="eastAsia" w:ascii="宋体" w:hAnsi="宋体" w:cs="宋体"/>
          <w:szCs w:val="21"/>
        </w:rPr>
        <w:t xml:space="preserve">投放点应配置供水设施，应由市政给水管网稳定供给，确保用水稳定和畅通。农村、城中村等供水条件不完善的地区，宜结合实际配套固定供水系统。 </w:t>
      </w:r>
    </w:p>
    <w:p w14:paraId="77F47A95">
      <w:pPr>
        <w:widowControl/>
        <w:spacing w:line="360" w:lineRule="auto"/>
        <w:ind w:firstLine="420" w:firstLineChars="200"/>
        <w:jc w:val="left"/>
        <w:rPr>
          <w:rFonts w:ascii="宋体" w:hAnsi="宋体" w:cs="宋体"/>
          <w:szCs w:val="21"/>
        </w:rPr>
      </w:pPr>
      <w:r>
        <w:rPr>
          <w:rFonts w:hint="eastAsia" w:ascii="宋体" w:hAnsi="宋体" w:cs="宋体"/>
          <w:szCs w:val="21"/>
        </w:rPr>
        <w:t>（2</w:t>
      </w:r>
      <w:r>
        <w:rPr>
          <w:rFonts w:ascii="宋体" w:hAnsi="宋体" w:cs="宋体"/>
          <w:szCs w:val="21"/>
        </w:rPr>
        <w:t>）</w:t>
      </w:r>
      <w:r>
        <w:rPr>
          <w:rFonts w:hint="eastAsia" w:ascii="宋体" w:hAnsi="宋体" w:cs="宋体"/>
          <w:szCs w:val="21"/>
        </w:rPr>
        <w:t xml:space="preserve">投放点应配置洗手干手设施，宜设置洗手台、水龙头、干手器（擦手纸）等，盥洗器具、水龙头的节水功能应符合CJ/T 164-2014的有关规定。若因场地问题洗手设施与投放点分开设置，洗手设施边界与投放点边界距离不宜超过3m。 </w:t>
      </w:r>
    </w:p>
    <w:p w14:paraId="790FA953">
      <w:pPr>
        <w:widowControl/>
        <w:spacing w:line="360" w:lineRule="auto"/>
        <w:ind w:firstLine="420" w:firstLineChars="200"/>
        <w:jc w:val="left"/>
        <w:rPr>
          <w:rFonts w:ascii="宋体" w:hAnsi="宋体" w:cs="宋体"/>
          <w:szCs w:val="21"/>
        </w:rPr>
      </w:pPr>
      <w:r>
        <w:rPr>
          <w:rFonts w:hint="eastAsia" w:ascii="宋体" w:hAnsi="宋体" w:cs="宋体"/>
          <w:szCs w:val="21"/>
        </w:rPr>
        <w:t>（3</w:t>
      </w:r>
      <w:r>
        <w:rPr>
          <w:rFonts w:ascii="宋体" w:hAnsi="宋体" w:cs="宋体"/>
          <w:szCs w:val="21"/>
        </w:rPr>
        <w:t>）</w:t>
      </w:r>
      <w:r>
        <w:rPr>
          <w:rFonts w:hint="eastAsia" w:ascii="宋体" w:hAnsi="宋体" w:cs="宋体"/>
          <w:szCs w:val="21"/>
        </w:rPr>
        <w:t xml:space="preserve">投放点应配置排水设施，实行雨污分流。垃圾污水及冲洗污水应收集并接入或外运至市政污水管 网排放，不得接入或直接排入雨水管网、绿化带等区域。 </w:t>
      </w:r>
    </w:p>
    <w:p w14:paraId="68DFD773">
      <w:pPr>
        <w:widowControl/>
        <w:spacing w:line="360" w:lineRule="auto"/>
        <w:ind w:firstLine="420" w:firstLineChars="200"/>
        <w:jc w:val="left"/>
        <w:rPr>
          <w:rFonts w:ascii="宋体" w:hAnsi="宋体" w:cs="宋体"/>
          <w:szCs w:val="21"/>
        </w:rPr>
      </w:pPr>
      <w:r>
        <w:rPr>
          <w:rFonts w:hint="eastAsia" w:ascii="宋体" w:hAnsi="宋体" w:cs="宋体"/>
          <w:szCs w:val="21"/>
        </w:rPr>
        <w:t>（4</w:t>
      </w:r>
      <w:r>
        <w:rPr>
          <w:rFonts w:ascii="宋体" w:hAnsi="宋体" w:cs="宋体"/>
          <w:szCs w:val="21"/>
        </w:rPr>
        <w:t>）</w:t>
      </w:r>
      <w:r>
        <w:rPr>
          <w:rFonts w:hint="eastAsia" w:ascii="宋体" w:hAnsi="宋体" w:cs="宋体"/>
          <w:szCs w:val="21"/>
        </w:rPr>
        <w:t xml:space="preserve">投放点的电源宜接入电网稳定供给，供电方式应根据具体情况确定，并符合GB 51348的相关规定。鼓励采用光伏发电等清洁能源。 </w:t>
      </w:r>
    </w:p>
    <w:p w14:paraId="6E59522F">
      <w:pPr>
        <w:widowControl/>
        <w:spacing w:line="360" w:lineRule="auto"/>
        <w:ind w:firstLine="420" w:firstLineChars="200"/>
        <w:jc w:val="left"/>
        <w:rPr>
          <w:rFonts w:ascii="宋体" w:hAnsi="宋体" w:cs="宋体"/>
          <w:szCs w:val="21"/>
        </w:rPr>
      </w:pPr>
      <w:r>
        <w:rPr>
          <w:rFonts w:hint="eastAsia" w:ascii="宋体" w:hAnsi="宋体" w:cs="宋体"/>
          <w:szCs w:val="21"/>
        </w:rPr>
        <w:t>（5</w:t>
      </w:r>
      <w:r>
        <w:rPr>
          <w:rFonts w:ascii="宋体" w:hAnsi="宋体" w:cs="宋体"/>
          <w:szCs w:val="21"/>
        </w:rPr>
        <w:t>）</w:t>
      </w:r>
      <w:r>
        <w:rPr>
          <w:rFonts w:hint="eastAsia" w:ascii="宋体" w:hAnsi="宋体" w:cs="宋体"/>
          <w:szCs w:val="21"/>
        </w:rPr>
        <w:t xml:space="preserve">投放点应有良好的照明设备，投放口所处高度的平均照度应不低于50lx。 </w:t>
      </w:r>
    </w:p>
    <w:p w14:paraId="73B2B521">
      <w:pPr>
        <w:widowControl/>
        <w:spacing w:line="360" w:lineRule="auto"/>
        <w:ind w:firstLine="420" w:firstLineChars="200"/>
        <w:jc w:val="left"/>
        <w:rPr>
          <w:rFonts w:ascii="宋体" w:hAnsi="宋体" w:cs="宋体"/>
          <w:szCs w:val="21"/>
        </w:rPr>
      </w:pPr>
      <w:r>
        <w:rPr>
          <w:rFonts w:hint="eastAsia" w:ascii="宋体" w:hAnsi="宋体" w:cs="宋体"/>
          <w:szCs w:val="21"/>
        </w:rPr>
        <w:t>（6</w:t>
      </w:r>
      <w:r>
        <w:rPr>
          <w:rFonts w:ascii="宋体" w:hAnsi="宋体" w:cs="宋体"/>
          <w:szCs w:val="21"/>
        </w:rPr>
        <w:t>）</w:t>
      </w:r>
      <w:r>
        <w:rPr>
          <w:rFonts w:hint="eastAsia" w:ascii="宋体" w:hAnsi="宋体" w:cs="宋体"/>
          <w:szCs w:val="21"/>
        </w:rPr>
        <w:t xml:space="preserve">投放点应在显著位置设置公告栏、电子显示屏等信息公开设备，公示内容包括但不限于投放点分布图、投放点开放时间、负责人、联系电话、大件垃圾收集服务电话等。投放点可根据实际需要张贴宣传海报或在电子显示屏滚动播放宣传视频。 </w:t>
      </w:r>
    </w:p>
    <w:p w14:paraId="29DBAE19">
      <w:pPr>
        <w:widowControl/>
        <w:spacing w:line="360" w:lineRule="auto"/>
        <w:ind w:firstLine="420" w:firstLineChars="200"/>
        <w:jc w:val="left"/>
        <w:rPr>
          <w:rFonts w:ascii="宋体" w:hAnsi="宋体" w:cs="宋体"/>
          <w:szCs w:val="21"/>
        </w:rPr>
      </w:pPr>
      <w:r>
        <w:rPr>
          <w:rFonts w:hint="eastAsia" w:ascii="宋体" w:hAnsi="宋体" w:cs="宋体"/>
          <w:szCs w:val="21"/>
        </w:rPr>
        <w:t>（7</w:t>
      </w:r>
      <w:r>
        <w:rPr>
          <w:rFonts w:ascii="宋体" w:hAnsi="宋体" w:cs="宋体"/>
          <w:szCs w:val="21"/>
        </w:rPr>
        <w:t>）</w:t>
      </w:r>
      <w:r>
        <w:rPr>
          <w:rFonts w:hint="eastAsia" w:ascii="宋体" w:hAnsi="宋体" w:cs="宋体"/>
          <w:szCs w:val="21"/>
        </w:rPr>
        <w:t xml:space="preserve">投放点相关设施设备所使用的标志标识、指示牌等，应符合GB/T 19095-2019的规定。 </w:t>
      </w:r>
    </w:p>
    <w:p w14:paraId="6BB2B957">
      <w:pPr>
        <w:widowControl/>
        <w:spacing w:line="360" w:lineRule="auto"/>
        <w:ind w:firstLine="420" w:firstLineChars="200"/>
        <w:jc w:val="left"/>
        <w:rPr>
          <w:rFonts w:ascii="宋体" w:hAnsi="宋体" w:cs="宋体"/>
          <w:szCs w:val="21"/>
        </w:rPr>
      </w:pPr>
      <w:r>
        <w:rPr>
          <w:rFonts w:hint="eastAsia" w:ascii="宋体" w:hAnsi="宋体" w:cs="宋体"/>
          <w:szCs w:val="21"/>
        </w:rPr>
        <w:t>（8</w:t>
      </w:r>
      <w:r>
        <w:rPr>
          <w:rFonts w:ascii="宋体" w:hAnsi="宋体" w:cs="宋体"/>
          <w:szCs w:val="21"/>
        </w:rPr>
        <w:t>）</w:t>
      </w:r>
      <w:r>
        <w:rPr>
          <w:rFonts w:hint="eastAsia" w:ascii="宋体" w:hAnsi="宋体" w:cs="宋体"/>
          <w:szCs w:val="21"/>
        </w:rPr>
        <w:t xml:space="preserve">有条件的投放点，宜增设以下设施设备，提升投放点的工作效率和环境质量。 </w:t>
      </w:r>
    </w:p>
    <w:p w14:paraId="427D2AA7">
      <w:pPr>
        <w:widowControl/>
        <w:spacing w:line="360" w:lineRule="auto"/>
        <w:ind w:firstLine="420" w:firstLineChars="200"/>
        <w:jc w:val="left"/>
        <w:rPr>
          <w:rFonts w:ascii="宋体" w:hAnsi="宋体" w:cs="宋体"/>
          <w:szCs w:val="21"/>
        </w:rPr>
      </w:pPr>
      <w:r>
        <w:rPr>
          <w:rFonts w:hint="eastAsia" w:ascii="宋体" w:hAnsi="宋体" w:cs="宋体"/>
          <w:szCs w:val="21"/>
        </w:rPr>
        <w:t xml:space="preserve">a)设置冲洗设备，用于冲洗地面和收集容器等。 </w:t>
      </w:r>
    </w:p>
    <w:p w14:paraId="56DA1FCF">
      <w:pPr>
        <w:widowControl/>
        <w:spacing w:line="360" w:lineRule="auto"/>
        <w:ind w:firstLine="420" w:firstLineChars="200"/>
        <w:jc w:val="left"/>
        <w:rPr>
          <w:rFonts w:ascii="宋体" w:hAnsi="宋体" w:cs="宋体"/>
          <w:szCs w:val="21"/>
        </w:rPr>
      </w:pPr>
      <w:r>
        <w:rPr>
          <w:rFonts w:hint="eastAsia" w:ascii="宋体" w:hAnsi="宋体" w:cs="宋体"/>
          <w:szCs w:val="21"/>
        </w:rPr>
        <w:t xml:space="preserve">b)设置视频监控设备，用于实时监控投放环境。 </w:t>
      </w:r>
    </w:p>
    <w:p w14:paraId="09032B8F">
      <w:pPr>
        <w:widowControl/>
        <w:spacing w:line="360" w:lineRule="auto"/>
        <w:ind w:firstLine="420" w:firstLineChars="200"/>
        <w:jc w:val="left"/>
        <w:rPr>
          <w:rFonts w:ascii="宋体" w:hAnsi="宋体" w:cs="宋体"/>
          <w:szCs w:val="21"/>
        </w:rPr>
      </w:pPr>
      <w:r>
        <w:rPr>
          <w:rFonts w:hint="eastAsia" w:ascii="宋体" w:hAnsi="宋体" w:cs="宋体"/>
          <w:szCs w:val="21"/>
        </w:rPr>
        <w:t xml:space="preserve">c)设置工具箱，用于收纳扫把、地拖、抹布、清洁剂、消毒剂等。 </w:t>
      </w:r>
    </w:p>
    <w:p w14:paraId="59AABAE1">
      <w:pPr>
        <w:widowControl/>
        <w:spacing w:line="360" w:lineRule="auto"/>
        <w:ind w:firstLine="420" w:firstLineChars="200"/>
        <w:jc w:val="left"/>
        <w:rPr>
          <w:rFonts w:ascii="宋体" w:hAnsi="宋体" w:cs="宋体"/>
          <w:szCs w:val="21"/>
        </w:rPr>
      </w:pPr>
      <w:r>
        <w:rPr>
          <w:rFonts w:hint="eastAsia" w:ascii="宋体" w:hAnsi="宋体" w:cs="宋体"/>
          <w:szCs w:val="21"/>
        </w:rPr>
        <w:t xml:space="preserve">d)设置绿植或仿真绿植点缀围蔽，也可采用涂鸦彩绘、文化墙、照片墙等形式美化。 </w:t>
      </w:r>
    </w:p>
    <w:p w14:paraId="1A76435D">
      <w:pPr>
        <w:widowControl/>
        <w:spacing w:line="360" w:lineRule="auto"/>
        <w:ind w:firstLine="420" w:firstLineChars="200"/>
        <w:jc w:val="left"/>
        <w:rPr>
          <w:kern w:val="0"/>
          <w:sz w:val="20"/>
          <w:szCs w:val="20"/>
        </w:rPr>
      </w:pPr>
      <w:r>
        <w:rPr>
          <w:rFonts w:ascii="宋体" w:hAnsi="宋体" w:cs="宋体"/>
          <w:szCs w:val="21"/>
        </w:rPr>
        <w:t>1</w:t>
      </w:r>
      <w:r>
        <w:rPr>
          <w:rFonts w:hint="eastAsia" w:ascii="宋体" w:hAnsi="宋体" w:cs="宋体"/>
          <w:szCs w:val="21"/>
        </w:rPr>
        <w:t>2、人员要求</w:t>
      </w:r>
    </w:p>
    <w:p w14:paraId="5A7C93BC">
      <w:pPr>
        <w:widowControl/>
        <w:spacing w:line="360" w:lineRule="auto"/>
        <w:ind w:firstLine="420" w:firstLineChars="200"/>
        <w:jc w:val="left"/>
        <w:rPr>
          <w:rFonts w:ascii="宋体" w:hAnsi="宋体" w:cs="宋体"/>
          <w:szCs w:val="21"/>
        </w:rPr>
      </w:pPr>
      <w:r>
        <w:rPr>
          <w:rFonts w:hint="eastAsia" w:ascii="宋体" w:hAnsi="宋体" w:cs="宋体"/>
          <w:szCs w:val="21"/>
          <w:lang w:eastAsia="zh-Hans"/>
        </w:rPr>
        <w:t>投标人拟投入本项目的服务团队人员不少于</w:t>
      </w:r>
      <w:r>
        <w:rPr>
          <w:rFonts w:hint="eastAsia" w:ascii="宋体" w:hAnsi="宋体" w:cs="宋体"/>
          <w:szCs w:val="21"/>
        </w:rPr>
        <w:t>10</w:t>
      </w:r>
      <w:r>
        <w:rPr>
          <w:rFonts w:hint="eastAsia" w:ascii="宋体" w:hAnsi="宋体" w:cs="宋体"/>
          <w:szCs w:val="21"/>
          <w:lang w:eastAsia="zh-Hans"/>
        </w:rPr>
        <w:t>人，包括项目负责人</w:t>
      </w:r>
      <w:r>
        <w:rPr>
          <w:rFonts w:hint="eastAsia" w:ascii="宋体" w:hAnsi="宋体" w:cs="宋体"/>
          <w:szCs w:val="21"/>
        </w:rPr>
        <w:t>（1人）</w:t>
      </w:r>
      <w:r>
        <w:rPr>
          <w:rFonts w:hint="eastAsia" w:ascii="宋体" w:hAnsi="宋体" w:cs="宋体"/>
          <w:szCs w:val="21"/>
          <w:lang w:eastAsia="zh-Hans"/>
        </w:rPr>
        <w:t>、配送人员、安装人员、维修人员、售后服务人员</w:t>
      </w:r>
      <w:r>
        <w:rPr>
          <w:rFonts w:hint="eastAsia" w:ascii="宋体" w:hAnsi="宋体" w:cs="宋体"/>
          <w:szCs w:val="21"/>
        </w:rPr>
        <w:t>；所有人员需具有行业规定的相关资质证书。</w:t>
      </w:r>
    </w:p>
    <w:p w14:paraId="3A5FE514">
      <w:pPr>
        <w:tabs>
          <w:tab w:val="left" w:pos="709"/>
        </w:tabs>
        <w:adjustRightInd w:val="0"/>
        <w:snapToGrid w:val="0"/>
        <w:spacing w:line="360" w:lineRule="auto"/>
        <w:ind w:firstLine="420" w:firstLineChars="200"/>
        <w:rPr>
          <w:rFonts w:asciiTheme="minorEastAsia" w:hAnsiTheme="minorEastAsia"/>
          <w:szCs w:val="21"/>
        </w:rPr>
      </w:pPr>
      <w:r>
        <w:rPr>
          <w:rFonts w:asciiTheme="minorEastAsia" w:hAnsiTheme="minorEastAsia"/>
          <w:szCs w:val="21"/>
        </w:rPr>
        <w:t>13、</w:t>
      </w:r>
      <w:r>
        <w:rPr>
          <w:rFonts w:hint="eastAsia" w:ascii="宋体" w:hAnsi="宋体" w:cs="宋体"/>
          <w:szCs w:val="21"/>
        </w:rPr>
        <w:t>本项目为装配式垃圾分类投放点的货物采购，要求供应商负责所供货物的供货、现场安装、调试，并完成与货物安装、调试、验收及直接运行相关的必要配套工作（包括但不限于局部地面平整道路修复、影响安装的树木移植、以及从最近接驳点至设备本体的水、电、排污等外接管线施工），确保整套设备在最终验收合格后具备立即投入正常运行使用的条件。中标人负责招标文件对供应商要求的一切事宜及责任，全部费用由中标人承担。</w:t>
      </w:r>
    </w:p>
    <w:p w14:paraId="6EA8E2F0">
      <w:pPr>
        <w:tabs>
          <w:tab w:val="left" w:pos="709"/>
        </w:tabs>
        <w:adjustRightInd w:val="0"/>
        <w:snapToGrid w:val="0"/>
        <w:spacing w:line="360" w:lineRule="auto"/>
        <w:ind w:firstLine="420" w:firstLineChars="200"/>
        <w:rPr>
          <w:bCs/>
          <w:szCs w:val="21"/>
        </w:rPr>
      </w:pPr>
    </w:p>
    <w:p w14:paraId="38F503C1">
      <w:pPr>
        <w:tabs>
          <w:tab w:val="left" w:pos="709"/>
        </w:tabs>
        <w:adjustRightInd w:val="0"/>
        <w:snapToGrid w:val="0"/>
        <w:spacing w:line="360" w:lineRule="auto"/>
        <w:ind w:firstLine="420" w:firstLineChars="200"/>
        <w:rPr>
          <w:bCs/>
          <w:szCs w:val="21"/>
        </w:rPr>
      </w:pPr>
    </w:p>
    <w:p w14:paraId="6C8EC21C">
      <w:pPr>
        <w:widowControl/>
        <w:jc w:val="left"/>
        <w:rPr>
          <w:rFonts w:ascii="宋体" w:hAnsi="宋体" w:cs="宋体"/>
          <w:b/>
          <w:sz w:val="24"/>
        </w:rPr>
      </w:pPr>
      <w:r>
        <w:rPr>
          <w:rFonts w:hint="eastAsia" w:ascii="宋体" w:hAnsi="宋体" w:cs="宋体"/>
          <w:b/>
          <w:sz w:val="24"/>
        </w:rPr>
        <w:t>四、技术参数要求</w:t>
      </w:r>
    </w:p>
    <w:tbl>
      <w:tblPr>
        <w:tblStyle w:val="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1133"/>
        <w:gridCol w:w="6572"/>
      </w:tblGrid>
      <w:tr w14:paraId="6E67D2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atLeast"/>
          <w:jc w:val="center"/>
        </w:trPr>
        <w:tc>
          <w:tcPr>
            <w:tcW w:w="479" w:type="pct"/>
            <w:vAlign w:val="center"/>
          </w:tcPr>
          <w:p w14:paraId="7F3B73DC">
            <w:pPr>
              <w:widowControl/>
              <w:jc w:val="center"/>
              <w:rPr>
                <w:rFonts w:ascii="宋体" w:hAnsi="宋体" w:cs="宋体"/>
                <w:b/>
                <w:szCs w:val="21"/>
              </w:rPr>
            </w:pPr>
            <w:bookmarkStart w:id="9" w:name="_Hlk146209261"/>
            <w:r>
              <w:rPr>
                <w:rFonts w:hint="eastAsia" w:ascii="宋体" w:hAnsi="宋体" w:cs="宋体"/>
                <w:b/>
                <w:szCs w:val="21"/>
              </w:rPr>
              <w:t>序号</w:t>
            </w:r>
          </w:p>
        </w:tc>
        <w:tc>
          <w:tcPr>
            <w:tcW w:w="665" w:type="pct"/>
            <w:vAlign w:val="center"/>
          </w:tcPr>
          <w:p w14:paraId="26D8C652">
            <w:pPr>
              <w:widowControl/>
              <w:jc w:val="center"/>
              <w:rPr>
                <w:rFonts w:ascii="宋体" w:hAnsi="宋体" w:cs="宋体"/>
                <w:b/>
                <w:szCs w:val="21"/>
              </w:rPr>
            </w:pPr>
            <w:r>
              <w:rPr>
                <w:rFonts w:hint="eastAsia" w:ascii="宋体" w:hAnsi="宋体" w:cs="宋体"/>
                <w:b/>
                <w:szCs w:val="21"/>
              </w:rPr>
              <w:t>产品名称</w:t>
            </w:r>
          </w:p>
        </w:tc>
        <w:tc>
          <w:tcPr>
            <w:tcW w:w="3855" w:type="pct"/>
            <w:vAlign w:val="center"/>
          </w:tcPr>
          <w:p w14:paraId="653CF3F4">
            <w:pPr>
              <w:widowControl/>
              <w:jc w:val="center"/>
              <w:rPr>
                <w:rFonts w:ascii="宋体" w:hAnsi="宋体" w:cs="宋体"/>
                <w:b/>
                <w:szCs w:val="21"/>
              </w:rPr>
            </w:pPr>
            <w:r>
              <w:rPr>
                <w:rFonts w:hint="eastAsia" w:ascii="宋体" w:hAnsi="宋体" w:cs="宋体"/>
                <w:b/>
                <w:szCs w:val="21"/>
              </w:rPr>
              <w:t>技术参数/规格等要求</w:t>
            </w:r>
          </w:p>
        </w:tc>
      </w:tr>
      <w:tr w14:paraId="2DBF12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jc w:val="center"/>
        </w:trPr>
        <w:tc>
          <w:tcPr>
            <w:tcW w:w="479" w:type="pct"/>
            <w:vAlign w:val="center"/>
          </w:tcPr>
          <w:p w14:paraId="1FFE7495">
            <w:pPr>
              <w:widowControl/>
              <w:jc w:val="center"/>
              <w:rPr>
                <w:rFonts w:ascii="宋体" w:hAnsi="宋体" w:cs="宋体"/>
                <w:sz w:val="24"/>
              </w:rPr>
            </w:pPr>
            <w:r>
              <w:rPr>
                <w:rFonts w:hint="eastAsia" w:ascii="宋体" w:hAnsi="宋体" w:cs="宋体"/>
                <w:sz w:val="24"/>
              </w:rPr>
              <w:t>1</w:t>
            </w:r>
          </w:p>
        </w:tc>
        <w:tc>
          <w:tcPr>
            <w:tcW w:w="665" w:type="pct"/>
            <w:vAlign w:val="center"/>
          </w:tcPr>
          <w:p w14:paraId="7FCB4B85">
            <w:pPr>
              <w:autoSpaceDE w:val="0"/>
              <w:autoSpaceDN w:val="0"/>
              <w:adjustRightInd w:val="0"/>
              <w:jc w:val="center"/>
              <w:rPr>
                <w:rFonts w:ascii="宋体" w:hAnsi="宋体" w:cs="宋体"/>
                <w:bCs/>
                <w:sz w:val="24"/>
              </w:rPr>
            </w:pPr>
            <w:r>
              <w:rPr>
                <w:rFonts w:hint="eastAsia" w:ascii="宋体" w:hAnsi="宋体" w:cs="宋体"/>
                <w:szCs w:val="21"/>
              </w:rPr>
              <w:t>垃圾分类投放点</w:t>
            </w:r>
          </w:p>
        </w:tc>
        <w:tc>
          <w:tcPr>
            <w:tcW w:w="3855" w:type="pct"/>
            <w:vAlign w:val="center"/>
          </w:tcPr>
          <w:p w14:paraId="351D33E3">
            <w:pPr>
              <w:rPr>
                <w:rFonts w:asciiTheme="minorEastAsia" w:hAnsiTheme="minorEastAsia"/>
                <w:szCs w:val="21"/>
              </w:rPr>
            </w:pPr>
            <w:r>
              <w:rPr>
                <w:rFonts w:asciiTheme="minorEastAsia" w:hAnsiTheme="minorEastAsia"/>
                <w:szCs w:val="21"/>
              </w:rPr>
              <w:t>产品整体外形美观，满足绿化、美化、亮化的要求并与周边环境相协调，结构坚固，防风、防锈、防水、防盗、隔热效果好并且易保洁。具备隐藏式垃圾分类投放功能、垃圾桶和环卫工具存放功能、垃圾桶洗桶功能、垃圾分类宣传功能。</w:t>
            </w:r>
          </w:p>
          <w:p w14:paraId="3C5C6DFF">
            <w:pPr>
              <w:rPr>
                <w:rFonts w:asciiTheme="minorEastAsia" w:hAnsiTheme="minorEastAsia"/>
                <w:szCs w:val="21"/>
              </w:rPr>
            </w:pPr>
            <w:r>
              <w:rPr>
                <w:rFonts w:asciiTheme="minorEastAsia" w:hAnsiTheme="minorEastAsia"/>
                <w:szCs w:val="21"/>
              </w:rPr>
              <w:t>（1）安全性：符合国家、行业相关安全标准。</w:t>
            </w:r>
          </w:p>
          <w:p w14:paraId="40F4A402">
            <w:pPr>
              <w:rPr>
                <w:rFonts w:asciiTheme="minorEastAsia" w:hAnsiTheme="minorEastAsia"/>
                <w:szCs w:val="21"/>
              </w:rPr>
            </w:pPr>
            <w:r>
              <w:rPr>
                <w:rFonts w:asciiTheme="minorEastAsia" w:hAnsiTheme="minorEastAsia"/>
                <w:szCs w:val="21"/>
              </w:rPr>
              <w:t>（2）实用性：性能耐用、使用便捷，符合相关安全标准。</w:t>
            </w:r>
          </w:p>
          <w:p w14:paraId="212F106A">
            <w:pPr>
              <w:rPr>
                <w:rFonts w:asciiTheme="minorEastAsia" w:hAnsiTheme="minorEastAsia"/>
                <w:szCs w:val="21"/>
              </w:rPr>
            </w:pPr>
            <w:r>
              <w:rPr>
                <w:rFonts w:cs="Arial" w:asciiTheme="minorEastAsia" w:hAnsiTheme="minorEastAsia"/>
                <w:szCs w:val="21"/>
              </w:rPr>
              <w:t>▲</w:t>
            </w:r>
            <w:r>
              <w:rPr>
                <w:rFonts w:asciiTheme="minorEastAsia" w:hAnsiTheme="minorEastAsia"/>
                <w:szCs w:val="21"/>
              </w:rPr>
              <w:t>（3）结构主体材料：Q235B热轧槽钢</w:t>
            </w:r>
            <w:r>
              <w:rPr>
                <w:rFonts w:hint="eastAsia" w:asciiTheme="minorEastAsia" w:hAnsiTheme="minorEastAsia"/>
                <w:szCs w:val="21"/>
              </w:rPr>
              <w:t>，</w:t>
            </w:r>
            <w:r>
              <w:rPr>
                <w:rFonts w:asciiTheme="minorEastAsia" w:hAnsiTheme="minorEastAsia"/>
                <w:szCs w:val="21"/>
              </w:rPr>
              <w:t>尺寸不</w:t>
            </w:r>
            <w:r>
              <w:rPr>
                <w:rFonts w:hint="eastAsia" w:asciiTheme="minorEastAsia" w:hAnsiTheme="minorEastAsia"/>
                <w:szCs w:val="21"/>
              </w:rPr>
              <w:t>小</w:t>
            </w:r>
            <w:r>
              <w:rPr>
                <w:rFonts w:asciiTheme="minorEastAsia" w:hAnsiTheme="minorEastAsia"/>
                <w:szCs w:val="21"/>
              </w:rPr>
              <w:t>于</w:t>
            </w:r>
            <w:r>
              <w:rPr>
                <w:rFonts w:hint="eastAsia" w:asciiTheme="minorEastAsia" w:hAnsiTheme="minorEastAsia"/>
                <w:szCs w:val="21"/>
              </w:rPr>
              <w:t>（120*53*5.5）mm</w:t>
            </w:r>
            <w:r>
              <w:rPr>
                <w:rFonts w:asciiTheme="minorEastAsia" w:hAnsiTheme="minorEastAsia"/>
                <w:szCs w:val="21"/>
              </w:rPr>
              <w:t>，Q235B方管不小于(100×100×4)mm</w:t>
            </w:r>
            <w:r>
              <w:rPr>
                <w:rFonts w:hint="eastAsia" w:asciiTheme="minorEastAsia" w:hAnsiTheme="minorEastAsia"/>
                <w:szCs w:val="21"/>
              </w:rPr>
              <w:t>；</w:t>
            </w:r>
            <w:r>
              <w:rPr>
                <w:rFonts w:asciiTheme="minorEastAsia" w:hAnsiTheme="minorEastAsia"/>
                <w:szCs w:val="21"/>
              </w:rPr>
              <w:t>Q235B</w:t>
            </w:r>
            <w:r>
              <w:rPr>
                <w:rFonts w:hint="eastAsia" w:asciiTheme="minorEastAsia" w:hAnsiTheme="minorEastAsia"/>
                <w:szCs w:val="21"/>
              </w:rPr>
              <w:t>钢材</w:t>
            </w:r>
            <w:r>
              <w:rPr>
                <w:rFonts w:asciiTheme="minorEastAsia" w:hAnsiTheme="minorEastAsia"/>
                <w:szCs w:val="21"/>
              </w:rPr>
              <w:t>的检测报告，检测内容应符合GB/T700-2019《碳素结构钢》检测标准并同时满足以下要求：</w:t>
            </w:r>
          </w:p>
          <w:p w14:paraId="0444A870">
            <w:pPr>
              <w:rPr>
                <w:rFonts w:asciiTheme="minorEastAsia" w:hAnsiTheme="minorEastAsia"/>
                <w:b/>
                <w:szCs w:val="21"/>
              </w:rPr>
            </w:pPr>
            <w:r>
              <w:rPr>
                <w:rFonts w:asciiTheme="minorEastAsia" w:hAnsiTheme="minorEastAsia"/>
                <w:szCs w:val="21"/>
              </w:rPr>
              <w:t>拉伸试验上屈服强度（PeH,MPa）标准值≥235；拉伸试验拉伸强度（Rm，MPa）标准值≥370；拉伸试验断后伸长率（A，％）标准值≥26</w:t>
            </w:r>
            <w:r>
              <w:rPr>
                <w:rFonts w:hint="eastAsia" w:asciiTheme="minorEastAsia" w:hAnsiTheme="minorEastAsia"/>
                <w:szCs w:val="21"/>
              </w:rPr>
              <w:t>。</w:t>
            </w:r>
            <w:r>
              <w:rPr>
                <w:rFonts w:hint="eastAsia" w:asciiTheme="minorEastAsia" w:hAnsiTheme="minorEastAsia"/>
                <w:b/>
                <w:szCs w:val="21"/>
              </w:rPr>
              <w:t>须提供投标人名义送检</w:t>
            </w:r>
            <w:r>
              <w:rPr>
                <w:rFonts w:asciiTheme="minorEastAsia" w:hAnsiTheme="minorEastAsia"/>
                <w:b/>
                <w:szCs w:val="21"/>
              </w:rPr>
              <w:t>的</w:t>
            </w:r>
            <w:r>
              <w:rPr>
                <w:rFonts w:hint="eastAsia" w:asciiTheme="minorEastAsia" w:hAnsiTheme="minorEastAsia"/>
                <w:b/>
                <w:szCs w:val="21"/>
              </w:rPr>
              <w:t>经具有相应检测资质的第三方检测机构出具的合格检验报告，检验报告具有CMA或CNAS 认证；投标时提供</w:t>
            </w:r>
            <w:r>
              <w:rPr>
                <w:rFonts w:asciiTheme="minorEastAsia" w:hAnsiTheme="minorEastAsia"/>
                <w:b/>
                <w:szCs w:val="21"/>
              </w:rPr>
              <w:t>检验报告复印件并加盖投标人公章。</w:t>
            </w:r>
          </w:p>
          <w:p w14:paraId="58FE7DA5">
            <w:pPr>
              <w:rPr>
                <w:rFonts w:asciiTheme="minorEastAsia" w:hAnsiTheme="minorEastAsia"/>
                <w:color w:val="FF0000"/>
                <w:szCs w:val="21"/>
              </w:rPr>
            </w:pPr>
            <w:r>
              <w:rPr>
                <w:rFonts w:hint="eastAsia" w:asciiTheme="minorEastAsia" w:hAnsiTheme="minorEastAsia"/>
                <w:szCs w:val="21"/>
              </w:rPr>
              <w:t>（4）底部结构主框材料：立面结构及顶部主框架材料为Q235B方管，尺寸不小于(100×100×4)mm。</w:t>
            </w:r>
          </w:p>
          <w:p w14:paraId="3626FC2F">
            <w:pPr>
              <w:pStyle w:val="8"/>
              <w:rPr>
                <w:rFonts w:hint="default" w:asciiTheme="minorEastAsia" w:hAnsiTheme="minorEastAsia"/>
                <w:color w:val="FF0000"/>
                <w:sz w:val="21"/>
                <w:szCs w:val="21"/>
              </w:rPr>
            </w:pPr>
            <w:r>
              <w:rPr>
                <w:rFonts w:asciiTheme="minorEastAsia" w:hAnsiTheme="minorEastAsia"/>
                <w:sz w:val="21"/>
                <w:szCs w:val="21"/>
                <w:lang w:eastAsia="zh-CN"/>
              </w:rPr>
              <w:t>（5）钢构件大于10mm应开坡口,坡口焊要求坡口面应平顺，切口边缘不得有裂纹、钝边和缺棱。所有焊接口需要满焊。</w:t>
            </w:r>
          </w:p>
          <w:p w14:paraId="10A5575E">
            <w:pPr>
              <w:pStyle w:val="8"/>
              <w:rPr>
                <w:rFonts w:hint="default" w:asciiTheme="minorEastAsia" w:hAnsiTheme="minorEastAsia"/>
                <w:sz w:val="21"/>
                <w:szCs w:val="21"/>
              </w:rPr>
            </w:pPr>
            <w:r>
              <w:rPr>
                <w:rFonts w:asciiTheme="minorEastAsia" w:hAnsiTheme="minorEastAsia"/>
                <w:sz w:val="21"/>
                <w:szCs w:val="21"/>
                <w:lang w:eastAsia="zh-CN"/>
              </w:rPr>
              <w:t>（6）</w:t>
            </w:r>
            <w:r>
              <w:rPr>
                <w:rFonts w:asciiTheme="minorEastAsia" w:hAnsiTheme="minorEastAsia"/>
                <w:sz w:val="21"/>
                <w:szCs w:val="21"/>
              </w:rPr>
              <w:t>钢结构主框架采用抗扭曲、无变形房体钢结构，为保证整体结构稳定性，采用钢间的装配连接结构技术。需提供拥有钢间的装配连接结构技术的含结构示意图、详细工作原理文字说明和技术证明材料的技术方案。</w:t>
            </w:r>
          </w:p>
          <w:p w14:paraId="32155EC8">
            <w:pPr>
              <w:pStyle w:val="8"/>
              <w:rPr>
                <w:rFonts w:hint="default" w:asciiTheme="minorEastAsia" w:hAnsiTheme="minorEastAsia"/>
                <w:sz w:val="21"/>
                <w:szCs w:val="21"/>
              </w:rPr>
            </w:pPr>
            <w:r>
              <w:rPr>
                <w:rFonts w:asciiTheme="minorEastAsia" w:hAnsiTheme="minorEastAsia"/>
                <w:sz w:val="21"/>
                <w:szCs w:val="21"/>
                <w:lang w:eastAsia="zh-CN"/>
              </w:rPr>
              <w:t>（7）</w:t>
            </w:r>
            <w:r>
              <w:rPr>
                <w:rFonts w:asciiTheme="minorEastAsia" w:hAnsiTheme="minorEastAsia"/>
                <w:sz w:val="21"/>
                <w:szCs w:val="21"/>
              </w:rPr>
              <w:t>整体性良好，房体结构满足所有公路运输条件的颠簸震动，保证重复吊装不变形。</w:t>
            </w:r>
          </w:p>
          <w:p w14:paraId="78E1E9E2">
            <w:pPr>
              <w:rPr>
                <w:rFonts w:asciiTheme="minorEastAsia" w:hAnsiTheme="minorEastAsia"/>
                <w:szCs w:val="21"/>
              </w:rPr>
            </w:pPr>
            <w:r>
              <w:rPr>
                <w:rFonts w:hint="eastAsia" w:asciiTheme="minorEastAsia" w:hAnsiTheme="minorEastAsia"/>
                <w:szCs w:val="21"/>
              </w:rPr>
              <w:t>（8）</w:t>
            </w:r>
            <w:r>
              <w:rPr>
                <w:rFonts w:asciiTheme="minorEastAsia" w:hAnsiTheme="minorEastAsia"/>
                <w:szCs w:val="21"/>
              </w:rPr>
              <w:t>所有钢材均需采用钢结构喷涂装置进行防腐防锈处理，增加装配式钢结构的防腐性、隔热性、防火耐温等性能。需提供拥有钢结构喷涂装置的技术，含结构示意图、详细工作原理文字说明和技术证明材料的技术方案。</w:t>
            </w:r>
          </w:p>
          <w:p w14:paraId="0DD66B08">
            <w:pPr>
              <w:rPr>
                <w:rFonts w:asciiTheme="minorEastAsia" w:hAnsiTheme="minorEastAsia"/>
                <w:szCs w:val="21"/>
              </w:rPr>
            </w:pPr>
            <w:r>
              <w:rPr>
                <w:rFonts w:cs="Arial" w:asciiTheme="minorEastAsia" w:hAnsiTheme="minorEastAsia"/>
                <w:szCs w:val="21"/>
              </w:rPr>
              <w:t>▲</w:t>
            </w:r>
            <w:r>
              <w:rPr>
                <w:rFonts w:hint="eastAsia" w:asciiTheme="minorEastAsia" w:hAnsiTheme="minorEastAsia"/>
                <w:szCs w:val="21"/>
              </w:rPr>
              <w:t>（9）油漆干膜厚度：底层油漆为富锌底涂料2遍(μm70)，中层间油漆为环氧云铁涂料1遍(μm60),面层油漆为环氧聚氨脂防面漆2遍(μm70)。油漆:符合GB18581-2009《室内装饰装修材料溶剂型木器涂料中有害物质限量》标准。重金属可溶性铅&lt;7mg/kg；可溶性汞&lt;7mg/kg；可溶性铬&lt;7mg/kg；可溶性镉&lt;7mg/kg。</w:t>
            </w:r>
            <w:r>
              <w:rPr>
                <w:rFonts w:hint="eastAsia" w:asciiTheme="minorEastAsia" w:hAnsiTheme="minorEastAsia"/>
                <w:b/>
                <w:szCs w:val="21"/>
              </w:rPr>
              <w:t>须提供投标人名义送检的经具有相应检测资质的第三方检测机构出具的合格检验报告，检验报告具有CMA或CNAS认证，投标时提供</w:t>
            </w:r>
            <w:r>
              <w:rPr>
                <w:rFonts w:asciiTheme="minorEastAsia" w:hAnsiTheme="minorEastAsia"/>
                <w:b/>
                <w:szCs w:val="21"/>
              </w:rPr>
              <w:t>检验报告复印件并加盖投标人公章</w:t>
            </w:r>
            <w:r>
              <w:rPr>
                <w:rFonts w:hint="eastAsia" w:asciiTheme="minorEastAsia" w:hAnsiTheme="minorEastAsia"/>
                <w:b/>
                <w:szCs w:val="21"/>
              </w:rPr>
              <w:t>。</w:t>
            </w:r>
          </w:p>
          <w:p w14:paraId="75D4C2FB">
            <w:pPr>
              <w:widowControl/>
              <w:jc w:val="left"/>
              <w:rPr>
                <w:rFonts w:asciiTheme="minorEastAsia" w:hAnsiTheme="minorEastAsia"/>
                <w:szCs w:val="21"/>
              </w:rPr>
            </w:pPr>
            <w:r>
              <w:rPr>
                <w:rFonts w:hint="eastAsia" w:asciiTheme="minorEastAsia" w:hAnsiTheme="minorEastAsia"/>
                <w:szCs w:val="21"/>
              </w:rPr>
              <w:t>（10）</w:t>
            </w:r>
            <w:r>
              <w:rPr>
                <w:rFonts w:asciiTheme="minorEastAsia" w:hAnsiTheme="minorEastAsia"/>
                <w:szCs w:val="21"/>
              </w:rPr>
              <w:t>内部地板采用仿古砖（防滑）600×600mm，及花岗岩（麻面）600×600mm；具备排污排水设施，设置球磨格栅沙井盖，确保污水及时排放；墙面贴瓷砖（面砖)600×300mm，防水防潮、并具有良好防火性能；顶端采用隔热竹木纤维板底面铺双层仿古沥青瓦屋面；投放口上端外伸80cm以上，可以遮阳避雨；内部天花：采用</w:t>
            </w:r>
            <w:r>
              <w:rPr>
                <w:rFonts w:hint="eastAsia" w:asciiTheme="minorEastAsia" w:hAnsiTheme="minorEastAsia"/>
                <w:szCs w:val="21"/>
              </w:rPr>
              <w:t>1.5mm</w:t>
            </w:r>
            <w:r>
              <w:rPr>
                <w:rFonts w:asciiTheme="minorEastAsia" w:hAnsiTheme="minorEastAsia"/>
                <w:szCs w:val="21"/>
              </w:rPr>
              <w:t>铝扣板吊顶，规格600×600mm，具有环保性能。</w:t>
            </w:r>
          </w:p>
          <w:p w14:paraId="7E491669">
            <w:pPr>
              <w:pStyle w:val="8"/>
              <w:rPr>
                <w:rFonts w:hint="default" w:asciiTheme="minorEastAsia" w:hAnsiTheme="minorEastAsia"/>
                <w:sz w:val="21"/>
                <w:szCs w:val="21"/>
              </w:rPr>
            </w:pPr>
            <w:r>
              <w:rPr>
                <w:rFonts w:hint="eastAsia" w:asciiTheme="minorEastAsia" w:hAnsiTheme="minorEastAsia"/>
                <w:sz w:val="21"/>
                <w:szCs w:val="21"/>
                <w:lang w:eastAsia="zh-CN"/>
              </w:rPr>
              <w:t>（11）内墙体及室内主墙体:采用防火板，基层板采用18mm高强硅酸钙板，中间保温层采用聚氨酯岩棉制作，厚度≥60mm，有效隔热保温</w:t>
            </w:r>
            <w:r>
              <w:rPr>
                <w:rFonts w:asciiTheme="minorEastAsia" w:hAnsiTheme="minorEastAsia"/>
                <w:sz w:val="21"/>
                <w:szCs w:val="21"/>
              </w:rPr>
              <w:t>。</w:t>
            </w:r>
          </w:p>
          <w:p w14:paraId="54EDA478">
            <w:pPr>
              <w:pStyle w:val="8"/>
              <w:rPr>
                <w:rFonts w:hint="default" w:asciiTheme="minorEastAsia" w:hAnsiTheme="minorEastAsia"/>
                <w:sz w:val="21"/>
                <w:szCs w:val="21"/>
              </w:rPr>
            </w:pPr>
            <w:r>
              <w:rPr>
                <w:rFonts w:asciiTheme="minorEastAsia" w:hAnsiTheme="minorEastAsia"/>
                <w:sz w:val="21"/>
                <w:szCs w:val="21"/>
                <w:lang w:eastAsia="zh-CN"/>
              </w:rPr>
              <w:t>（12）</w:t>
            </w:r>
            <w:r>
              <w:rPr>
                <w:rFonts w:asciiTheme="minorEastAsia" w:hAnsiTheme="minorEastAsia"/>
                <w:sz w:val="21"/>
                <w:szCs w:val="21"/>
              </w:rPr>
              <w:t>采用电器均符合安全性能要求，电器元件符合国家标准，电线采用暗装，所有电线均采用保护管套。</w:t>
            </w:r>
          </w:p>
          <w:p w14:paraId="3BCB5FD8">
            <w:pPr>
              <w:pStyle w:val="8"/>
              <w:rPr>
                <w:rFonts w:hint="default" w:asciiTheme="minorEastAsia" w:hAnsiTheme="minorEastAsia"/>
                <w:sz w:val="21"/>
                <w:szCs w:val="21"/>
              </w:rPr>
            </w:pPr>
            <w:r>
              <w:rPr>
                <w:rFonts w:asciiTheme="minorEastAsia" w:hAnsiTheme="minorEastAsia"/>
                <w:sz w:val="21"/>
                <w:szCs w:val="21"/>
                <w:lang w:eastAsia="zh-CN"/>
              </w:rPr>
              <w:t>（13）</w:t>
            </w:r>
            <w:r>
              <w:rPr>
                <w:rFonts w:asciiTheme="minorEastAsia" w:hAnsiTheme="minorEastAsia"/>
                <w:sz w:val="21"/>
                <w:szCs w:val="21"/>
              </w:rPr>
              <w:t>电控箱内设置漏电控制开关，保证用电安全。</w:t>
            </w:r>
          </w:p>
          <w:p w14:paraId="0428A98E">
            <w:pPr>
              <w:pStyle w:val="8"/>
              <w:rPr>
                <w:rFonts w:hint="default" w:asciiTheme="minorEastAsia" w:hAnsiTheme="minorEastAsia"/>
                <w:sz w:val="21"/>
                <w:szCs w:val="21"/>
              </w:rPr>
            </w:pPr>
            <w:r>
              <w:rPr>
                <w:rFonts w:asciiTheme="minorEastAsia" w:hAnsiTheme="minorEastAsia"/>
                <w:sz w:val="21"/>
                <w:szCs w:val="21"/>
                <w:lang w:eastAsia="zh-CN"/>
              </w:rPr>
              <w:t>（14）</w:t>
            </w:r>
            <w:r>
              <w:rPr>
                <w:rFonts w:asciiTheme="minorEastAsia" w:hAnsiTheme="minorEastAsia"/>
                <w:sz w:val="21"/>
                <w:szCs w:val="21"/>
              </w:rPr>
              <w:t>本项目需采用组合型交流电源电涌保护器</w:t>
            </w:r>
            <w:r>
              <w:rPr>
                <w:rFonts w:asciiTheme="minorEastAsia" w:hAnsiTheme="minorEastAsia"/>
                <w:sz w:val="21"/>
                <w:szCs w:val="21"/>
                <w:lang w:eastAsia="zh-CN"/>
              </w:rPr>
              <w:t>，</w:t>
            </w:r>
            <w:r>
              <w:rPr>
                <w:rFonts w:asciiTheme="minorEastAsia" w:hAnsiTheme="minorEastAsia"/>
                <w:sz w:val="21"/>
                <w:szCs w:val="21"/>
              </w:rPr>
              <w:t>具备</w:t>
            </w:r>
            <w:r>
              <w:rPr>
                <w:rFonts w:asciiTheme="minorEastAsia" w:hAnsiTheme="minorEastAsia"/>
                <w:sz w:val="21"/>
                <w:szCs w:val="21"/>
                <w:lang w:eastAsia="zh-CN"/>
              </w:rPr>
              <w:t>：</w:t>
            </w:r>
            <w:r>
              <w:rPr>
                <w:rFonts w:asciiTheme="minorEastAsia" w:hAnsiTheme="minorEastAsia"/>
                <w:sz w:val="21"/>
                <w:szCs w:val="21"/>
              </w:rPr>
              <w:t>（1）在最大持续运行电压 Uc：AC</w:t>
            </w:r>
            <w:r>
              <w:rPr>
                <w:rFonts w:asciiTheme="minorEastAsia" w:hAnsiTheme="minorEastAsia"/>
                <w:sz w:val="21"/>
                <w:szCs w:val="21"/>
                <w:lang w:eastAsia="zh-CN"/>
              </w:rPr>
              <w:t>440</w:t>
            </w:r>
            <w:r>
              <w:rPr>
                <w:rFonts w:asciiTheme="minorEastAsia" w:hAnsiTheme="minorEastAsia"/>
                <w:sz w:val="21"/>
                <w:szCs w:val="21"/>
              </w:rPr>
              <w:t>V）情况下、残压Ures值不大于0.910KV；（2）分离装置功能：SPD在故障或失效时，应有与电源系统永久断开的分离装置；（3）外壳防护等级能满足GB4942.2中IP2LX的要求，能防止直径大于12.5mm的固体异物进入壳内；（4）SPD持续通过试验电流5Arms时，SPD达到热平衡，对分离装置动作的SPD施加2Uc的工频电压，持续1min,无超过0.5mArms的电流流过SPD。</w:t>
            </w:r>
          </w:p>
          <w:p w14:paraId="26FD5606">
            <w:pPr>
              <w:pStyle w:val="8"/>
              <w:rPr>
                <w:rFonts w:hint="default" w:asciiTheme="minorEastAsia" w:hAnsiTheme="minorEastAsia"/>
                <w:sz w:val="21"/>
                <w:szCs w:val="21"/>
                <w:lang w:eastAsia="zh-CN"/>
              </w:rPr>
            </w:pPr>
            <w:r>
              <w:rPr>
                <w:rFonts w:asciiTheme="minorEastAsia" w:hAnsiTheme="minorEastAsia"/>
                <w:sz w:val="21"/>
                <w:szCs w:val="21"/>
                <w:lang w:eastAsia="zh-CN"/>
              </w:rPr>
              <w:t>（15）</w:t>
            </w:r>
            <w:r>
              <w:rPr>
                <w:rFonts w:asciiTheme="minorEastAsia" w:hAnsiTheme="minorEastAsia"/>
                <w:sz w:val="21"/>
                <w:szCs w:val="21"/>
              </w:rPr>
              <w:t>相关房间应合理设置电器设备的开关及插座。</w:t>
            </w:r>
          </w:p>
          <w:p w14:paraId="5FD9E8D0">
            <w:pPr>
              <w:pStyle w:val="8"/>
              <w:rPr>
                <w:rFonts w:hint="default" w:asciiTheme="minorEastAsia" w:hAnsiTheme="minorEastAsia"/>
                <w:sz w:val="21"/>
                <w:szCs w:val="21"/>
              </w:rPr>
            </w:pPr>
            <w:r>
              <w:rPr>
                <w:rFonts w:asciiTheme="minorEastAsia" w:hAnsiTheme="minorEastAsia"/>
                <w:sz w:val="21"/>
                <w:szCs w:val="21"/>
                <w:lang w:eastAsia="zh-CN"/>
              </w:rPr>
              <w:t>（16）</w:t>
            </w:r>
            <w:r>
              <w:rPr>
                <w:rFonts w:asciiTheme="minorEastAsia" w:hAnsiTheme="minorEastAsia"/>
                <w:sz w:val="21"/>
                <w:szCs w:val="21"/>
              </w:rPr>
              <w:t>筏板基础根据中标人踏勘后实际情况满足现场及采购人需求。</w:t>
            </w:r>
          </w:p>
          <w:p w14:paraId="45C55C16">
            <w:pPr>
              <w:pStyle w:val="8"/>
              <w:rPr>
                <w:rFonts w:hint="default" w:asciiTheme="minorEastAsia" w:hAnsiTheme="minorEastAsia"/>
                <w:color w:val="FF0000"/>
                <w:sz w:val="21"/>
                <w:szCs w:val="21"/>
              </w:rPr>
            </w:pPr>
            <w:r>
              <w:rPr>
                <w:rFonts w:asciiTheme="minorEastAsia" w:hAnsiTheme="minorEastAsia"/>
                <w:sz w:val="21"/>
                <w:szCs w:val="21"/>
                <w:lang w:eastAsia="zh-CN"/>
              </w:rPr>
              <w:t>（17）</w:t>
            </w:r>
            <w:r>
              <w:rPr>
                <w:rFonts w:asciiTheme="minorEastAsia" w:hAnsiTheme="minorEastAsia"/>
                <w:sz w:val="21"/>
                <w:szCs w:val="21"/>
              </w:rPr>
              <w:t>基础：开挖深度根据现场踏勘情况而定，筏板混凝土（C30）厚度≥250mm，基础完工后浇水养护；铺设户外防滑地砖</w:t>
            </w:r>
            <w:r>
              <w:rPr>
                <w:rFonts w:asciiTheme="minorEastAsia" w:hAnsiTheme="minorEastAsia"/>
                <w:sz w:val="21"/>
                <w:szCs w:val="21"/>
                <w:lang w:eastAsia="zh-CN"/>
              </w:rPr>
              <w:t>，</w:t>
            </w:r>
            <w:r>
              <w:rPr>
                <w:rFonts w:asciiTheme="minorEastAsia" w:hAnsiTheme="minorEastAsia"/>
                <w:sz w:val="21"/>
                <w:szCs w:val="21"/>
              </w:rPr>
              <w:t>防滑地砖厚度不小于10mm，防护系数不小于0.5，场地基础施工需要满足国家标准施工规范工程强制性要求和行业验收标准，场地基础须防水、防冻、防腐、防滑</w:t>
            </w:r>
            <w:r>
              <w:rPr>
                <w:rFonts w:asciiTheme="minorEastAsia" w:hAnsiTheme="minorEastAsia"/>
                <w:sz w:val="21"/>
                <w:szCs w:val="21"/>
                <w:lang w:eastAsia="zh-CN"/>
              </w:rPr>
              <w:t>，</w:t>
            </w:r>
            <w:r>
              <w:rPr>
                <w:rFonts w:asciiTheme="minorEastAsia" w:hAnsiTheme="minorEastAsia"/>
                <w:sz w:val="21"/>
                <w:szCs w:val="21"/>
              </w:rPr>
              <w:t>铺贴要求为夯实的地面，无空心，无破裂，铺贴接缝处做美缝处理，踩踏感无弹性，无软空感。</w:t>
            </w:r>
            <w:r>
              <w:rPr>
                <w:rFonts w:asciiTheme="minorEastAsia" w:hAnsiTheme="minorEastAsia"/>
                <w:sz w:val="21"/>
                <w:szCs w:val="21"/>
                <w:lang w:eastAsia="zh-CN"/>
              </w:rPr>
              <w:t>箱房整体</w:t>
            </w:r>
            <w:r>
              <w:rPr>
                <w:rFonts w:asciiTheme="minorEastAsia" w:hAnsiTheme="minorEastAsia"/>
                <w:sz w:val="21"/>
                <w:szCs w:val="21"/>
              </w:rPr>
              <w:t>抗风等级不低于10级，抗震等级不低于7度。</w:t>
            </w:r>
            <w:r>
              <w:rPr>
                <w:rFonts w:cs="宋体" w:asciiTheme="minorEastAsia" w:hAnsiTheme="minorEastAsia"/>
                <w:sz w:val="21"/>
                <w:szCs w:val="21"/>
              </w:rPr>
              <w:t>地面施工含拆卸、修复、淤泥清理等。</w:t>
            </w:r>
          </w:p>
          <w:p w14:paraId="3F6AA0BE">
            <w:pPr>
              <w:pStyle w:val="8"/>
              <w:rPr>
                <w:rFonts w:hint="default" w:asciiTheme="minorEastAsia" w:hAnsiTheme="minorEastAsia"/>
                <w:sz w:val="21"/>
                <w:szCs w:val="21"/>
              </w:rPr>
            </w:pPr>
            <w:r>
              <w:rPr>
                <w:rFonts w:asciiTheme="minorEastAsia" w:hAnsiTheme="minorEastAsia"/>
                <w:sz w:val="21"/>
                <w:szCs w:val="21"/>
                <w:lang w:eastAsia="zh-CN"/>
              </w:rPr>
              <w:t>（18）</w:t>
            </w:r>
            <w:r>
              <w:rPr>
                <w:rFonts w:asciiTheme="minorEastAsia" w:hAnsiTheme="minorEastAsia"/>
                <w:sz w:val="21"/>
                <w:szCs w:val="21"/>
              </w:rPr>
              <w:t>外接进户电：电缆YJV0.6/1KV 3×6；100米以内,外接电源220V/50HZ,沟槽开挖；回填符合国家或行业标准；</w:t>
            </w:r>
          </w:p>
          <w:p w14:paraId="78A57050">
            <w:pPr>
              <w:pStyle w:val="8"/>
              <w:rPr>
                <w:rFonts w:hint="default" w:asciiTheme="minorEastAsia" w:hAnsiTheme="minorEastAsia"/>
                <w:sz w:val="21"/>
                <w:szCs w:val="21"/>
              </w:rPr>
            </w:pPr>
            <w:r>
              <w:rPr>
                <w:rFonts w:asciiTheme="minorEastAsia" w:hAnsiTheme="minorEastAsia"/>
                <w:sz w:val="21"/>
                <w:szCs w:val="21"/>
                <w:lang w:eastAsia="zh-CN"/>
              </w:rPr>
              <w:t>（19）</w:t>
            </w:r>
            <w:r>
              <w:rPr>
                <w:rFonts w:asciiTheme="minorEastAsia" w:hAnsiTheme="minorEastAsia"/>
                <w:sz w:val="21"/>
                <w:szCs w:val="21"/>
              </w:rPr>
              <w:t>外接水：PPR-DN32；20米以内,沟槽开挖；回填符合国家或行业标准；</w:t>
            </w:r>
          </w:p>
          <w:p w14:paraId="7DD29E5A">
            <w:pPr>
              <w:widowControl/>
              <w:jc w:val="left"/>
              <w:rPr>
                <w:rFonts w:asciiTheme="minorEastAsia" w:hAnsiTheme="minorEastAsia"/>
                <w:szCs w:val="21"/>
              </w:rPr>
            </w:pPr>
            <w:r>
              <w:rPr>
                <w:rFonts w:hint="eastAsia" w:asciiTheme="minorEastAsia" w:hAnsiTheme="minorEastAsia"/>
                <w:szCs w:val="21"/>
              </w:rPr>
              <w:t>（20）</w:t>
            </w:r>
            <w:r>
              <w:rPr>
                <w:rFonts w:asciiTheme="minorEastAsia" w:hAnsiTheme="minorEastAsia"/>
                <w:szCs w:val="21"/>
              </w:rPr>
              <w:t>外接排污：PVC-DN110；20米以内,沟槽开挖；回填符合国家或行业标准。</w:t>
            </w:r>
          </w:p>
          <w:p w14:paraId="1411D51D">
            <w:pPr>
              <w:rPr>
                <w:rFonts w:asciiTheme="minorEastAsia" w:hAnsiTheme="minorEastAsia"/>
                <w:szCs w:val="21"/>
              </w:rPr>
            </w:pPr>
            <w:r>
              <w:rPr>
                <w:rFonts w:asciiTheme="minorEastAsia" w:hAnsiTheme="minorEastAsia"/>
                <w:szCs w:val="21"/>
              </w:rPr>
              <w:t>（</w:t>
            </w:r>
            <w:r>
              <w:rPr>
                <w:rFonts w:hint="eastAsia" w:asciiTheme="minorEastAsia" w:hAnsiTheme="minorEastAsia"/>
                <w:szCs w:val="21"/>
              </w:rPr>
              <w:t>21</w:t>
            </w:r>
            <w:r>
              <w:rPr>
                <w:rFonts w:asciiTheme="minorEastAsia" w:hAnsiTheme="minorEastAsia"/>
                <w:szCs w:val="21"/>
              </w:rPr>
              <w:t>）屋顶四面排水，设置雨水收集天沟，有层次，做工精细。外形美观，结构坚固，防风、防锈、防水、防盗、隔热效果好并且易保洁。</w:t>
            </w:r>
          </w:p>
          <w:p w14:paraId="51644573">
            <w:pPr>
              <w:pStyle w:val="2"/>
              <w:spacing w:line="240" w:lineRule="auto"/>
              <w:ind w:firstLine="0"/>
              <w:rPr>
                <w:rFonts w:cs="宋体" w:asciiTheme="minorEastAsia" w:hAnsiTheme="minorEastAsia"/>
                <w:b/>
                <w:sz w:val="21"/>
                <w:szCs w:val="21"/>
              </w:rPr>
            </w:pPr>
            <w:r>
              <w:rPr>
                <w:rFonts w:cs="Arial" w:asciiTheme="minorEastAsia" w:hAnsiTheme="minorEastAsia"/>
                <w:sz w:val="21"/>
                <w:szCs w:val="21"/>
              </w:rPr>
              <w:t>▲</w:t>
            </w:r>
            <w:r>
              <w:rPr>
                <w:rFonts w:asciiTheme="minorEastAsia" w:hAnsiTheme="minorEastAsia"/>
                <w:sz w:val="21"/>
                <w:szCs w:val="21"/>
              </w:rPr>
              <w:t>（</w:t>
            </w:r>
            <w:r>
              <w:rPr>
                <w:rFonts w:hint="eastAsia" w:asciiTheme="minorEastAsia" w:hAnsiTheme="minorEastAsia"/>
                <w:sz w:val="21"/>
                <w:szCs w:val="21"/>
              </w:rPr>
              <w:t>22</w:t>
            </w:r>
            <w:r>
              <w:rPr>
                <w:rFonts w:asciiTheme="minorEastAsia" w:hAnsiTheme="minorEastAsia"/>
                <w:sz w:val="21"/>
                <w:szCs w:val="21"/>
              </w:rPr>
              <w:t>）投放口：垃圾投放口采用</w:t>
            </w:r>
            <w:r>
              <w:rPr>
                <w:rFonts w:hint="eastAsia" w:asciiTheme="minorEastAsia" w:hAnsiTheme="minorEastAsia"/>
                <w:sz w:val="21"/>
                <w:szCs w:val="21"/>
              </w:rPr>
              <w:t>1.2mm以上304</w:t>
            </w:r>
            <w:r>
              <w:rPr>
                <w:rFonts w:asciiTheme="minorEastAsia" w:hAnsiTheme="minorEastAsia"/>
                <w:sz w:val="21"/>
                <w:szCs w:val="21"/>
              </w:rPr>
              <w:t>不锈钢材质，每个投放口</w:t>
            </w:r>
            <w:r>
              <w:rPr>
                <w:rFonts w:hint="eastAsia" w:asciiTheme="minorEastAsia" w:hAnsiTheme="minorEastAsia"/>
                <w:sz w:val="21"/>
                <w:szCs w:val="21"/>
              </w:rPr>
              <w:t>手推式开盖。</w:t>
            </w:r>
            <w:r>
              <w:rPr>
                <w:rFonts w:asciiTheme="minorEastAsia" w:hAnsiTheme="minorEastAsia"/>
                <w:sz w:val="21"/>
                <w:szCs w:val="21"/>
              </w:rPr>
              <w:t>电动推杆电压为</w:t>
            </w:r>
            <w:r>
              <w:rPr>
                <w:rFonts w:hint="eastAsia" w:asciiTheme="minorEastAsia" w:hAnsiTheme="minorEastAsia"/>
                <w:sz w:val="21"/>
                <w:szCs w:val="21"/>
              </w:rPr>
              <w:t>24</w:t>
            </w:r>
            <w:r>
              <w:rPr>
                <w:rFonts w:asciiTheme="minorEastAsia" w:hAnsiTheme="minorEastAsia"/>
                <w:sz w:val="21"/>
                <w:szCs w:val="21"/>
              </w:rPr>
              <w:t>V，推力达500N,投放高峰期可以一键打开所有投口，延时自动闭合装置，投口可自动关闭锁紧，投口关闭时具有防止夹手功能，</w:t>
            </w:r>
            <w:r>
              <w:rPr>
                <w:rFonts w:hint="eastAsia" w:asciiTheme="minorEastAsia" w:hAnsiTheme="minorEastAsia"/>
                <w:sz w:val="21"/>
                <w:szCs w:val="21"/>
              </w:rPr>
              <w:t>开启角度大于90度，</w:t>
            </w:r>
            <w:r>
              <w:rPr>
                <w:rFonts w:asciiTheme="minorEastAsia" w:hAnsiTheme="minorEastAsia"/>
                <w:sz w:val="21"/>
                <w:szCs w:val="21"/>
              </w:rPr>
              <w:t>方便群众投放垃圾，</w:t>
            </w:r>
            <w:r>
              <w:rPr>
                <w:rFonts w:hint="eastAsia" w:asciiTheme="minorEastAsia" w:hAnsiTheme="minorEastAsia"/>
                <w:sz w:val="21"/>
                <w:szCs w:val="21"/>
              </w:rPr>
              <w:t>每个投放口上方须具有照明功能，定时开关并具有感应模式开关，</w:t>
            </w:r>
            <w:r>
              <w:rPr>
                <w:rFonts w:asciiTheme="minorEastAsia" w:hAnsiTheme="minorEastAsia"/>
                <w:sz w:val="21"/>
                <w:szCs w:val="21"/>
              </w:rPr>
              <w:t>清洁卫生、美观大方。投口与投口下方标有分类标识，采用广州市最新标准，厨余垃圾、其他垃圾、有害垃圾、可回收物标识</w:t>
            </w:r>
            <w:r>
              <w:rPr>
                <w:rFonts w:hint="eastAsia" w:cs="宋体" w:asciiTheme="minorEastAsia" w:hAnsiTheme="minorEastAsia"/>
                <w:sz w:val="21"/>
                <w:szCs w:val="21"/>
              </w:rPr>
              <w:t>设计色彩搭配和谐美观大气，立体感强，不褪色</w:t>
            </w:r>
            <w:r>
              <w:rPr>
                <w:rFonts w:asciiTheme="minorEastAsia" w:hAnsiTheme="minorEastAsia"/>
                <w:sz w:val="21"/>
                <w:szCs w:val="21"/>
              </w:rPr>
              <w:t>，印制需符合</w:t>
            </w:r>
            <w:r>
              <w:rPr>
                <w:rFonts w:hint="eastAsia" w:cs="宋体" w:asciiTheme="minorEastAsia" w:hAnsiTheme="minorEastAsia"/>
                <w:sz w:val="21"/>
                <w:szCs w:val="21"/>
              </w:rPr>
              <w:t>《</w:t>
            </w:r>
            <w:r>
              <w:rPr>
                <w:rFonts w:hint="eastAsia" w:cs="宋体" w:asciiTheme="minorEastAsia" w:hAnsiTheme="minorEastAsia"/>
                <w:bCs/>
                <w:sz w:val="21"/>
                <w:szCs w:val="21"/>
              </w:rPr>
              <w:t>DB4401/T 144-2022 生活垃圾分类标志</w:t>
            </w:r>
            <w:r>
              <w:rPr>
                <w:rFonts w:hint="eastAsia" w:cs="宋体" w:asciiTheme="minorEastAsia" w:hAnsiTheme="minorEastAsia"/>
                <w:sz w:val="21"/>
                <w:szCs w:val="21"/>
              </w:rPr>
              <w:t>》</w:t>
            </w:r>
            <w:r>
              <w:rPr>
                <w:rFonts w:asciiTheme="minorEastAsia" w:hAnsiTheme="minorEastAsia"/>
                <w:sz w:val="21"/>
                <w:szCs w:val="21"/>
              </w:rPr>
              <w:t>规定的分类标志。</w:t>
            </w:r>
            <w:r>
              <w:rPr>
                <w:rFonts w:hint="eastAsia" w:cs="宋体" w:asciiTheme="minorEastAsia" w:hAnsiTheme="minorEastAsia"/>
                <w:sz w:val="21"/>
                <w:szCs w:val="21"/>
              </w:rPr>
              <w:t>投放口尺寸：约650mm*545mm；投放口离地高度：约1105mm。</w:t>
            </w:r>
            <w:r>
              <w:rPr>
                <w:rFonts w:hint="eastAsia" w:asciiTheme="minorEastAsia" w:hAnsiTheme="minorEastAsia"/>
                <w:sz w:val="21"/>
                <w:szCs w:val="21"/>
              </w:rPr>
              <w:t>304</w:t>
            </w:r>
            <w:r>
              <w:rPr>
                <w:rFonts w:asciiTheme="minorEastAsia" w:hAnsiTheme="minorEastAsia"/>
                <w:sz w:val="21"/>
                <w:szCs w:val="21"/>
              </w:rPr>
              <w:t>不锈钢板：符合QB/T3832-1999《轻工产品金属镀层腐蚀试验结果的评价》QB/T3826-1999《轻工产品金属镀层和化学处理层的耐腐蚀试验方法中性盐雾试验（NSS）法》标准，耐腐蚀，48h中性盐雾试验(ASS)不低于9级</w:t>
            </w:r>
            <w:r>
              <w:rPr>
                <w:rFonts w:hint="eastAsia" w:asciiTheme="minorEastAsia" w:hAnsiTheme="minorEastAsia"/>
                <w:sz w:val="21"/>
                <w:szCs w:val="21"/>
              </w:rPr>
              <w:t>。</w:t>
            </w:r>
            <w:r>
              <w:rPr>
                <w:rFonts w:hint="eastAsia" w:asciiTheme="minorEastAsia" w:hAnsiTheme="minorEastAsia"/>
                <w:b/>
                <w:sz w:val="21"/>
                <w:szCs w:val="21"/>
              </w:rPr>
              <w:t>（304</w:t>
            </w:r>
            <w:r>
              <w:rPr>
                <w:rFonts w:asciiTheme="minorEastAsia" w:hAnsiTheme="minorEastAsia"/>
                <w:b/>
                <w:sz w:val="21"/>
                <w:szCs w:val="21"/>
              </w:rPr>
              <w:t>不锈钢板</w:t>
            </w:r>
            <w:r>
              <w:rPr>
                <w:rFonts w:hint="eastAsia" w:asciiTheme="minorEastAsia" w:hAnsiTheme="minorEastAsia"/>
                <w:b/>
                <w:sz w:val="21"/>
                <w:szCs w:val="21"/>
              </w:rPr>
              <w:t>须提供投标人名义送检的经具有相应检测资质的第三方检测机构出具的合格检验报告，检验报告具有CMA或CNAS 认证，投标时提供检验报告复印件并</w:t>
            </w:r>
            <w:r>
              <w:rPr>
                <w:rFonts w:asciiTheme="minorEastAsia" w:hAnsiTheme="minorEastAsia"/>
                <w:b/>
                <w:sz w:val="21"/>
                <w:szCs w:val="21"/>
              </w:rPr>
              <w:t>加盖投标人公章</w:t>
            </w:r>
            <w:r>
              <w:rPr>
                <w:rFonts w:hint="eastAsia" w:asciiTheme="minorEastAsia" w:hAnsiTheme="minorEastAsia"/>
                <w:b/>
                <w:sz w:val="21"/>
                <w:szCs w:val="21"/>
              </w:rPr>
              <w:t>）</w:t>
            </w:r>
          </w:p>
          <w:p w14:paraId="0EC91EAD">
            <w:pPr>
              <w:rPr>
                <w:rFonts w:asciiTheme="minorEastAsia" w:hAnsiTheme="minorEastAsia"/>
                <w:szCs w:val="21"/>
              </w:rPr>
            </w:pPr>
            <w:r>
              <w:rPr>
                <w:rFonts w:asciiTheme="minorEastAsia" w:hAnsiTheme="minorEastAsia"/>
                <w:szCs w:val="21"/>
              </w:rPr>
              <w:t>（</w:t>
            </w:r>
            <w:r>
              <w:rPr>
                <w:rFonts w:hint="eastAsia" w:asciiTheme="minorEastAsia" w:hAnsiTheme="minorEastAsia"/>
                <w:szCs w:val="21"/>
              </w:rPr>
              <w:t>23</w:t>
            </w:r>
            <w:r>
              <w:rPr>
                <w:rFonts w:asciiTheme="minorEastAsia" w:hAnsiTheme="minorEastAsia"/>
                <w:szCs w:val="21"/>
              </w:rPr>
              <w:t>）宣传栏(各1个)：采用</w:t>
            </w:r>
            <w:r>
              <w:rPr>
                <w:rFonts w:hint="eastAsia" w:asciiTheme="minorEastAsia" w:hAnsiTheme="minorEastAsia"/>
                <w:szCs w:val="21"/>
              </w:rPr>
              <w:t>10mm以上亚克力</w:t>
            </w:r>
            <w:r>
              <w:rPr>
                <w:rFonts w:asciiTheme="minorEastAsia" w:hAnsiTheme="minorEastAsia"/>
                <w:szCs w:val="21"/>
              </w:rPr>
              <w:t>材质，更换宣传内容需便捷，宣传栏内容按提供内容设计制作,定制。</w:t>
            </w:r>
          </w:p>
          <w:p w14:paraId="54AA9AC7">
            <w:pPr>
              <w:pStyle w:val="2"/>
              <w:spacing w:line="240" w:lineRule="auto"/>
              <w:ind w:firstLine="0"/>
              <w:rPr>
                <w:rFonts w:asciiTheme="minorEastAsia" w:hAnsiTheme="minorEastAsia"/>
                <w:sz w:val="21"/>
                <w:szCs w:val="21"/>
              </w:rPr>
            </w:pPr>
            <w:r>
              <w:rPr>
                <w:rFonts w:hint="eastAsia" w:asciiTheme="minorEastAsia" w:hAnsiTheme="minorEastAsia"/>
                <w:sz w:val="21"/>
                <w:szCs w:val="21"/>
              </w:rPr>
              <w:t>（24）陶瓷洗手盆、镜子、烘干机（各1个）：</w:t>
            </w:r>
            <w:r>
              <w:rPr>
                <w:rFonts w:asciiTheme="minorEastAsia" w:hAnsiTheme="minorEastAsia"/>
                <w:sz w:val="21"/>
                <w:szCs w:val="21"/>
              </w:rPr>
              <w:t>陶瓷</w:t>
            </w:r>
            <w:r>
              <w:rPr>
                <w:rFonts w:hint="eastAsia" w:asciiTheme="minorEastAsia" w:hAnsiTheme="minorEastAsia"/>
                <w:sz w:val="21"/>
                <w:szCs w:val="21"/>
              </w:rPr>
              <w:t>材质、大理石台面、单盆、龙头开</w:t>
            </w:r>
            <w:r>
              <w:rPr>
                <w:rFonts w:asciiTheme="minorEastAsia" w:hAnsiTheme="minorEastAsia"/>
                <w:sz w:val="21"/>
                <w:szCs w:val="21"/>
              </w:rPr>
              <w:t>单</w:t>
            </w:r>
            <w:r>
              <w:rPr>
                <w:rFonts w:hint="eastAsia" w:asciiTheme="minorEastAsia" w:hAnsiTheme="minorEastAsia"/>
                <w:sz w:val="21"/>
                <w:szCs w:val="21"/>
              </w:rPr>
              <w:t>孔、24寸平底，耐用，洗手盆接入进水管，排水排污接入排污管道。水龙头感应出水，</w:t>
            </w:r>
            <w:r>
              <w:rPr>
                <w:rFonts w:asciiTheme="minorEastAsia" w:hAnsiTheme="minorEastAsia"/>
                <w:sz w:val="21"/>
                <w:szCs w:val="21"/>
              </w:rPr>
              <w:t>感应控制</w:t>
            </w:r>
            <w:r>
              <w:rPr>
                <w:rFonts w:hint="eastAsia" w:asciiTheme="minorEastAsia" w:hAnsiTheme="minorEastAsia"/>
                <w:sz w:val="21"/>
                <w:szCs w:val="21"/>
              </w:rPr>
              <w:t>、</w:t>
            </w:r>
            <w:r>
              <w:rPr>
                <w:rFonts w:asciiTheme="minorEastAsia" w:hAnsiTheme="minorEastAsia"/>
                <w:sz w:val="21"/>
                <w:szCs w:val="21"/>
              </w:rPr>
              <w:t>单出水</w:t>
            </w:r>
            <w:r>
              <w:rPr>
                <w:rFonts w:hint="eastAsia" w:asciiTheme="minorEastAsia" w:hAnsiTheme="minorEastAsia"/>
                <w:sz w:val="21"/>
                <w:szCs w:val="21"/>
              </w:rPr>
              <w:t>，</w:t>
            </w:r>
            <w:r>
              <w:rPr>
                <w:rFonts w:asciiTheme="minorEastAsia" w:hAnsiTheme="minorEastAsia"/>
                <w:sz w:val="21"/>
                <w:szCs w:val="21"/>
              </w:rPr>
              <w:t>坐式安装方式</w:t>
            </w:r>
            <w:r>
              <w:rPr>
                <w:rFonts w:hint="eastAsia" w:asciiTheme="minorEastAsia" w:hAnsiTheme="minorEastAsia"/>
                <w:sz w:val="21"/>
                <w:szCs w:val="21"/>
              </w:rPr>
              <w:t>，</w:t>
            </w:r>
            <w:r>
              <w:rPr>
                <w:rFonts w:asciiTheme="minorEastAsia" w:hAnsiTheme="minorEastAsia"/>
                <w:sz w:val="21"/>
                <w:szCs w:val="21"/>
              </w:rPr>
              <w:t>表面镀铬处理</w:t>
            </w:r>
            <w:r>
              <w:rPr>
                <w:rFonts w:hint="eastAsia" w:asciiTheme="minorEastAsia" w:hAnsiTheme="minorEastAsia"/>
                <w:sz w:val="21"/>
                <w:szCs w:val="21"/>
              </w:rPr>
              <w:t>，</w:t>
            </w:r>
            <w:r>
              <w:rPr>
                <w:rFonts w:asciiTheme="minorEastAsia" w:hAnsiTheme="minorEastAsia"/>
                <w:sz w:val="21"/>
                <w:szCs w:val="21"/>
              </w:rPr>
              <w:t>局部铜</w:t>
            </w:r>
            <w:r>
              <w:rPr>
                <w:rFonts w:hint="eastAsia" w:asciiTheme="minorEastAsia" w:hAnsiTheme="minorEastAsia"/>
                <w:sz w:val="21"/>
                <w:szCs w:val="21"/>
              </w:rPr>
              <w:t>，</w:t>
            </w:r>
            <w:r>
              <w:rPr>
                <w:rFonts w:asciiTheme="minorEastAsia" w:hAnsiTheme="minorEastAsia"/>
                <w:sz w:val="21"/>
                <w:szCs w:val="21"/>
              </w:rPr>
              <w:t>单孔安装</w:t>
            </w:r>
            <w:r>
              <w:rPr>
                <w:rFonts w:hint="eastAsia" w:asciiTheme="minorEastAsia" w:hAnsiTheme="minorEastAsia"/>
                <w:sz w:val="21"/>
                <w:szCs w:val="21"/>
              </w:rPr>
              <w:t>。</w:t>
            </w:r>
            <w:r>
              <w:rPr>
                <w:rFonts w:hint="eastAsia" w:cs="宋体" w:asciiTheme="minorEastAsia" w:hAnsiTheme="minorEastAsia"/>
                <w:sz w:val="21"/>
                <w:szCs w:val="21"/>
              </w:rPr>
              <w:t>烘干机：额定电压220V、额定功率2000W、出风速度≥12m/s、机身材质ABS、防水级别≥IPX4。</w:t>
            </w:r>
          </w:p>
          <w:p w14:paraId="3000AC85">
            <w:pPr>
              <w:rPr>
                <w:rFonts w:asciiTheme="minorEastAsia" w:hAnsiTheme="minorEastAsia"/>
                <w:szCs w:val="21"/>
              </w:rPr>
            </w:pPr>
            <w:r>
              <w:rPr>
                <w:rFonts w:asciiTheme="minorEastAsia" w:hAnsiTheme="minorEastAsia"/>
                <w:szCs w:val="21"/>
              </w:rPr>
              <w:t>（</w:t>
            </w:r>
            <w:r>
              <w:rPr>
                <w:rFonts w:hint="eastAsia" w:asciiTheme="minorEastAsia" w:hAnsiTheme="minorEastAsia"/>
                <w:szCs w:val="21"/>
              </w:rPr>
              <w:t>25</w:t>
            </w:r>
            <w:r>
              <w:rPr>
                <w:rFonts w:asciiTheme="minorEastAsia" w:hAnsiTheme="minorEastAsia"/>
                <w:szCs w:val="21"/>
              </w:rPr>
              <w:t>）语音播放器（1个）：</w:t>
            </w:r>
            <w:r>
              <w:rPr>
                <w:rFonts w:hint="eastAsia" w:asciiTheme="minorEastAsia" w:hAnsiTheme="minorEastAsia"/>
                <w:szCs w:val="21"/>
              </w:rPr>
              <w:t>270mm*195mm*100mm±5mm，</w:t>
            </w:r>
            <w:r>
              <w:rPr>
                <w:rFonts w:asciiTheme="minorEastAsia" w:hAnsiTheme="minorEastAsia"/>
                <w:szCs w:val="21"/>
              </w:rPr>
              <w:t>智能遥控器</w:t>
            </w:r>
            <w:r>
              <w:rPr>
                <w:rFonts w:hint="eastAsia" w:asciiTheme="minorEastAsia" w:hAnsiTheme="minorEastAsia"/>
                <w:szCs w:val="21"/>
              </w:rPr>
              <w:t>，、120dB高分贝、8级音量可调、大容量存储、循环播放模式、USB线可自由换语音</w:t>
            </w:r>
            <w:r>
              <w:rPr>
                <w:rFonts w:asciiTheme="minorEastAsia" w:hAnsiTheme="minorEastAsia"/>
                <w:szCs w:val="21"/>
              </w:rPr>
              <w:t>。</w:t>
            </w:r>
          </w:p>
          <w:p w14:paraId="24E73732">
            <w:pPr>
              <w:rPr>
                <w:rFonts w:asciiTheme="minorEastAsia" w:hAnsiTheme="minorEastAsia"/>
                <w:szCs w:val="21"/>
              </w:rPr>
            </w:pPr>
            <w:r>
              <w:rPr>
                <w:rFonts w:asciiTheme="minorEastAsia" w:hAnsiTheme="minorEastAsia"/>
                <w:szCs w:val="21"/>
              </w:rPr>
              <w:t>（</w:t>
            </w:r>
            <w:r>
              <w:rPr>
                <w:rFonts w:hint="eastAsia" w:asciiTheme="minorEastAsia" w:hAnsiTheme="minorEastAsia"/>
                <w:szCs w:val="21"/>
              </w:rPr>
              <w:t>26</w:t>
            </w:r>
            <w:r>
              <w:rPr>
                <w:rFonts w:asciiTheme="minorEastAsia" w:hAnsiTheme="minorEastAsia"/>
                <w:szCs w:val="21"/>
              </w:rPr>
              <w:t>）纸巾盒</w:t>
            </w:r>
            <w:r>
              <w:rPr>
                <w:rFonts w:hint="eastAsia" w:asciiTheme="minorEastAsia" w:hAnsiTheme="minorEastAsia"/>
                <w:szCs w:val="21"/>
              </w:rPr>
              <w:t>1个</w:t>
            </w:r>
            <w:r>
              <w:rPr>
                <w:rFonts w:asciiTheme="minorEastAsia" w:hAnsiTheme="minorEastAsia"/>
                <w:szCs w:val="21"/>
              </w:rPr>
              <w:t>、灯（</w:t>
            </w:r>
            <w:r>
              <w:rPr>
                <w:rFonts w:hint="eastAsia" w:asciiTheme="minorEastAsia" w:hAnsiTheme="minorEastAsia"/>
                <w:szCs w:val="21"/>
              </w:rPr>
              <w:t>房内led平板灯2</w:t>
            </w:r>
            <w:r>
              <w:rPr>
                <w:rFonts w:asciiTheme="minorEastAsia" w:hAnsiTheme="minorEastAsia"/>
                <w:szCs w:val="21"/>
              </w:rPr>
              <w:t>个</w:t>
            </w:r>
            <w:r>
              <w:rPr>
                <w:rFonts w:hint="eastAsia" w:asciiTheme="minorEastAsia" w:hAnsiTheme="minorEastAsia"/>
                <w:szCs w:val="21"/>
              </w:rPr>
              <w:t>以上，外走廊led筒灯4个以上</w:t>
            </w:r>
            <w:r>
              <w:rPr>
                <w:rFonts w:asciiTheme="minorEastAsia" w:hAnsiTheme="minorEastAsia"/>
                <w:szCs w:val="21"/>
              </w:rPr>
              <w:t>）。</w:t>
            </w:r>
          </w:p>
          <w:p w14:paraId="553D3A93">
            <w:pPr>
              <w:widowControl/>
              <w:jc w:val="left"/>
              <w:rPr>
                <w:rFonts w:asciiTheme="minorEastAsia" w:hAnsiTheme="minorEastAsia"/>
                <w:color w:val="FFC000"/>
                <w:szCs w:val="21"/>
              </w:rPr>
            </w:pPr>
            <w:r>
              <w:rPr>
                <w:rFonts w:asciiTheme="minorEastAsia" w:hAnsiTheme="minorEastAsia"/>
                <w:szCs w:val="21"/>
              </w:rPr>
              <w:t>（</w:t>
            </w:r>
            <w:r>
              <w:rPr>
                <w:rFonts w:hint="eastAsia" w:asciiTheme="minorEastAsia" w:hAnsiTheme="minorEastAsia"/>
                <w:szCs w:val="21"/>
              </w:rPr>
              <w:t>27</w:t>
            </w:r>
            <w:r>
              <w:rPr>
                <w:rFonts w:asciiTheme="minorEastAsia" w:hAnsiTheme="minorEastAsia"/>
                <w:szCs w:val="21"/>
              </w:rPr>
              <w:t>）侧门：采用</w:t>
            </w:r>
            <w:r>
              <w:rPr>
                <w:rFonts w:hint="eastAsia" w:asciiTheme="minorEastAsia" w:hAnsiTheme="minorEastAsia"/>
                <w:szCs w:val="21"/>
              </w:rPr>
              <w:t>1.5mm以上304</w:t>
            </w:r>
            <w:r>
              <w:rPr>
                <w:rFonts w:asciiTheme="minorEastAsia" w:hAnsiTheme="minorEastAsia"/>
                <w:szCs w:val="21"/>
              </w:rPr>
              <w:t>不锈钢卷闸门，具有耐腐蚀、表面平整光滑、开启关闭灵活、性能稳定、寿命长等特点</w:t>
            </w:r>
            <w:r>
              <w:rPr>
                <w:rFonts w:hint="eastAsia" w:asciiTheme="minorEastAsia" w:hAnsiTheme="minorEastAsia"/>
                <w:szCs w:val="21"/>
              </w:rPr>
              <w:t>。</w:t>
            </w:r>
          </w:p>
          <w:p w14:paraId="28FD0932">
            <w:pPr>
              <w:rPr>
                <w:rFonts w:asciiTheme="minorEastAsia" w:hAnsiTheme="minorEastAsia"/>
                <w:szCs w:val="21"/>
              </w:rPr>
            </w:pPr>
            <w:r>
              <w:rPr>
                <w:rFonts w:asciiTheme="minorEastAsia" w:hAnsiTheme="minorEastAsia"/>
                <w:szCs w:val="21"/>
              </w:rPr>
              <w:t>（</w:t>
            </w:r>
            <w:r>
              <w:rPr>
                <w:rFonts w:hint="eastAsia" w:asciiTheme="minorEastAsia" w:hAnsiTheme="minorEastAsia"/>
                <w:szCs w:val="21"/>
              </w:rPr>
              <w:t>28</w:t>
            </w:r>
            <w:r>
              <w:rPr>
                <w:rFonts w:asciiTheme="minorEastAsia" w:hAnsiTheme="minorEastAsia"/>
                <w:szCs w:val="21"/>
              </w:rPr>
              <w:t>）通风：安装百叶窗通风口和排气扇，具有遮阳、调光、透风、防雨、防风、防尘等效果。</w:t>
            </w:r>
          </w:p>
          <w:p w14:paraId="0E569D4E">
            <w:pPr>
              <w:rPr>
                <w:rFonts w:asciiTheme="minorEastAsia" w:hAnsiTheme="minorEastAsia"/>
                <w:szCs w:val="21"/>
              </w:rPr>
            </w:pPr>
            <w:r>
              <w:rPr>
                <w:rFonts w:cs="Arial" w:asciiTheme="minorEastAsia" w:hAnsiTheme="minorEastAsia"/>
                <w:szCs w:val="21"/>
              </w:rPr>
              <w:t>▲</w:t>
            </w:r>
            <w:r>
              <w:rPr>
                <w:rFonts w:asciiTheme="minorEastAsia" w:hAnsiTheme="minorEastAsia"/>
                <w:szCs w:val="21"/>
              </w:rPr>
              <w:t>（</w:t>
            </w:r>
            <w:r>
              <w:rPr>
                <w:rFonts w:hint="eastAsia" w:asciiTheme="minorEastAsia" w:hAnsiTheme="minorEastAsia"/>
                <w:szCs w:val="21"/>
              </w:rPr>
              <w:t>29</w:t>
            </w:r>
            <w:r>
              <w:rPr>
                <w:rFonts w:asciiTheme="minorEastAsia" w:hAnsiTheme="minorEastAsia"/>
                <w:szCs w:val="21"/>
              </w:rPr>
              <w:t>）房内配置臭氧消毒机，有除异味、杀菌消毒的功能。</w:t>
            </w:r>
          </w:p>
          <w:p w14:paraId="2BDD8085">
            <w:pPr>
              <w:rPr>
                <w:rFonts w:asciiTheme="minorEastAsia" w:hAnsiTheme="minorEastAsia"/>
                <w:szCs w:val="21"/>
              </w:rPr>
            </w:pPr>
            <w:r>
              <w:rPr>
                <w:rFonts w:asciiTheme="minorEastAsia" w:hAnsiTheme="minorEastAsia"/>
                <w:szCs w:val="21"/>
              </w:rPr>
              <w:t>消毒除臭机：配备挂壁式臭氧消毒机，以氧原子的氧化作用破坏微生物膜结构实现杀菌除臭作用，具有去除异味，杀虫消毒的功能。（空气净化技术：活性氧技术；功率：≥0.1（</w:t>
            </w:r>
            <w:r>
              <w:rPr>
                <w:rFonts w:hint="eastAsia" w:asciiTheme="minorEastAsia" w:hAnsiTheme="minorEastAsia"/>
                <w:szCs w:val="21"/>
              </w:rPr>
              <w:t>kW</w:t>
            </w:r>
            <w:r>
              <w:rPr>
                <w:rFonts w:asciiTheme="minorEastAsia" w:hAnsiTheme="minorEastAsia"/>
                <w:szCs w:val="21"/>
              </w:rPr>
              <w:t>）；处理风量：≥150（m3/h）；净化率：≥99（％）；噪音：≥40（dB）；控制方式：微电脑控时；输入电压：110-220V/50-60Hz；冷却方式：风冷）</w:t>
            </w:r>
          </w:p>
          <w:p w14:paraId="6B983738">
            <w:pPr>
              <w:rPr>
                <w:rFonts w:asciiTheme="minorEastAsia" w:hAnsiTheme="minorEastAsia"/>
                <w:szCs w:val="21"/>
              </w:rPr>
            </w:pPr>
            <w:r>
              <w:rPr>
                <w:rFonts w:hint="eastAsia" w:asciiTheme="minorEastAsia" w:hAnsiTheme="minorEastAsia"/>
                <w:szCs w:val="21"/>
              </w:rPr>
              <w:t>（30）</w:t>
            </w:r>
            <w:r>
              <w:rPr>
                <w:rFonts w:asciiTheme="minorEastAsia" w:hAnsiTheme="minorEastAsia"/>
                <w:szCs w:val="21"/>
              </w:rPr>
              <w:t>灭蝇灯：房内为防止苍蝇及蚊虫，设置光波电击式灭蝇灯，具备无毒、耐热、防摔等功能；额定电压：AC220V 50H</w:t>
            </w:r>
            <w:r>
              <w:rPr>
                <w:rFonts w:hint="eastAsia" w:asciiTheme="minorEastAsia" w:hAnsiTheme="minorEastAsia"/>
                <w:szCs w:val="21"/>
              </w:rPr>
              <w:t>z</w:t>
            </w:r>
            <w:r>
              <w:rPr>
                <w:rFonts w:asciiTheme="minorEastAsia" w:hAnsiTheme="minorEastAsia"/>
                <w:szCs w:val="21"/>
              </w:rPr>
              <w:t>；额定功率：≥2W。</w:t>
            </w:r>
          </w:p>
          <w:p w14:paraId="498B556E">
            <w:pPr>
              <w:rPr>
                <w:rFonts w:asciiTheme="minorEastAsia" w:hAnsiTheme="minorEastAsia"/>
                <w:szCs w:val="21"/>
              </w:rPr>
            </w:pPr>
            <w:r>
              <w:rPr>
                <w:rFonts w:cs="Arial" w:asciiTheme="minorEastAsia" w:hAnsiTheme="minorEastAsia"/>
                <w:szCs w:val="21"/>
              </w:rPr>
              <w:t>▲</w:t>
            </w:r>
            <w:r>
              <w:rPr>
                <w:rFonts w:hint="eastAsia" w:asciiTheme="minorEastAsia" w:hAnsiTheme="minorEastAsia"/>
                <w:szCs w:val="21"/>
              </w:rPr>
              <w:t>（31）</w:t>
            </w:r>
            <w:r>
              <w:rPr>
                <w:rFonts w:asciiTheme="minorEastAsia" w:hAnsiTheme="minorEastAsia"/>
                <w:szCs w:val="21"/>
              </w:rPr>
              <w:t>摄像头：网络球型摄像机</w:t>
            </w:r>
            <w:r>
              <w:rPr>
                <w:rFonts w:hint="eastAsia" w:asciiTheme="minorEastAsia" w:hAnsiTheme="minorEastAsia"/>
                <w:szCs w:val="21"/>
              </w:rPr>
              <w:t>，</w:t>
            </w:r>
            <w:r>
              <w:rPr>
                <w:rFonts w:asciiTheme="minorEastAsia" w:hAnsiTheme="minorEastAsia"/>
                <w:szCs w:val="21"/>
              </w:rPr>
              <w:t>像素相当于或优于200万1/1.8英寸CMOS传感器；最高分辨率≥1920*1080，支持光学或数码变</w:t>
            </w:r>
            <w:r>
              <w:rPr>
                <w:rFonts w:hint="eastAsia" w:asciiTheme="minorEastAsia" w:hAnsiTheme="minorEastAsia"/>
                <w:szCs w:val="21"/>
              </w:rPr>
              <w:t>焦，倍数为2倍至3倍</w:t>
            </w:r>
            <w:r>
              <w:rPr>
                <w:rFonts w:asciiTheme="minorEastAsia" w:hAnsiTheme="minorEastAsia"/>
                <w:szCs w:val="21"/>
              </w:rPr>
              <w:t>；在最高分辨率下可输出实时图像支持背光补偿，强光抑制，3D数字降噪，120dB宽动态，支持白光/红外双补光，最远红外光≥50m，最远白光≥30m，支持≥256GB</w:t>
            </w:r>
            <w:r>
              <w:rPr>
                <w:rFonts w:hint="eastAsia" w:asciiTheme="minorEastAsia" w:hAnsiTheme="minorEastAsia"/>
                <w:szCs w:val="21"/>
              </w:rPr>
              <w:t>，</w:t>
            </w:r>
            <w:r>
              <w:rPr>
                <w:rFonts w:asciiTheme="minorEastAsia" w:hAnsiTheme="minorEastAsia"/>
                <w:szCs w:val="21"/>
              </w:rPr>
              <w:t>MicroSD/MicroSDHC/MicroSDXC卡本地存储，本地存储的录像、图片资料存储期原则上应在30天以上，最少不低于7天，1个内置麦克风，高清拾音支持LTE-TDD/LTE-FDD/WCDMA/TD-SCDMA/GSM 4G无线网络传输</w:t>
            </w:r>
            <w:r>
              <w:rPr>
                <w:rFonts w:hint="eastAsia" w:asciiTheme="minorEastAsia" w:hAnsiTheme="minorEastAsia"/>
                <w:szCs w:val="21"/>
              </w:rPr>
              <w:t>，</w:t>
            </w:r>
            <w:r>
              <w:rPr>
                <w:rFonts w:asciiTheme="minorEastAsia" w:hAnsiTheme="minorEastAsia"/>
                <w:szCs w:val="21"/>
              </w:rPr>
              <w:t>符合IP66防尘防水设计，可靠性高，配≥128G内存卡和≥一年流量，视频传输协议支持GB/T28181-2016、GA/T 1400-2017等协议(其中GB/T28181-2016 为必须支持)，视频压缩标准支持 H265/MJPEG 等(其中 H265 为必须支持)。可回放；支持350°水平旋转，垂直方向0°-90°；供电方式: DC12 V；音频输出: 内置扬声器，1路音频输出</w:t>
            </w:r>
            <w:r>
              <w:rPr>
                <w:rFonts w:hint="eastAsia" w:asciiTheme="minorEastAsia" w:hAnsiTheme="minorEastAsia"/>
                <w:szCs w:val="21"/>
              </w:rPr>
              <w:t>。具有语音对讲功能。</w:t>
            </w:r>
          </w:p>
          <w:p w14:paraId="015940FF">
            <w:pPr>
              <w:pStyle w:val="2"/>
              <w:spacing w:line="240" w:lineRule="auto"/>
              <w:ind w:firstLine="0"/>
              <w:rPr>
                <w:rFonts w:asciiTheme="minorEastAsia" w:hAnsiTheme="minorEastAsia"/>
                <w:sz w:val="21"/>
                <w:szCs w:val="21"/>
              </w:rPr>
            </w:pPr>
            <w:r>
              <w:rPr>
                <w:rFonts w:hint="eastAsia" w:asciiTheme="minorEastAsia" w:hAnsiTheme="minorEastAsia"/>
                <w:sz w:val="21"/>
                <w:szCs w:val="21"/>
              </w:rPr>
              <w:t>（32）</w:t>
            </w:r>
            <w:r>
              <w:rPr>
                <w:rFonts w:hint="eastAsia" w:cs="宋体" w:asciiTheme="minorEastAsia" w:hAnsiTheme="minorEastAsia"/>
                <w:sz w:val="21"/>
                <w:szCs w:val="21"/>
              </w:rPr>
              <w:t>不锈钢巡查箱1个：尺寸300*400*150mm、表面覆盖户外防水车贴。</w:t>
            </w:r>
          </w:p>
          <w:p w14:paraId="608A1E73">
            <w:pPr>
              <w:pStyle w:val="12"/>
              <w:spacing w:line="240" w:lineRule="auto"/>
              <w:ind w:firstLine="0" w:firstLineChars="0"/>
              <w:rPr>
                <w:rFonts w:asciiTheme="minorEastAsia" w:hAnsiTheme="minorEastAsia"/>
                <w:sz w:val="21"/>
                <w:szCs w:val="21"/>
              </w:rPr>
            </w:pPr>
            <w:r>
              <w:rPr>
                <w:rFonts w:hint="eastAsia" w:asciiTheme="minorEastAsia" w:hAnsiTheme="minorEastAsia"/>
                <w:sz w:val="21"/>
                <w:szCs w:val="21"/>
              </w:rPr>
              <w:t>（33）窗户800mm*1500mm；</w:t>
            </w:r>
            <w:r>
              <w:rPr>
                <w:rFonts w:asciiTheme="minorEastAsia" w:hAnsiTheme="minorEastAsia"/>
                <w:sz w:val="21"/>
                <w:szCs w:val="21"/>
              </w:rPr>
              <w:t>窗扇厚度应不小于16mm，推拉窗扇的底面应有铝角码。 外开窗五金件强度应不小于70N。 内平开的上悬式或滑撑铰链，其铰链力矩宜为40~80nm；下悬式滑撑铰链，其铰链力矩宜为20~40nm。 固定玻璃用单片钾不</w:t>
            </w:r>
            <w:r>
              <w:rPr>
                <w:rFonts w:hint="eastAsia" w:asciiTheme="minorEastAsia" w:hAnsiTheme="minorEastAsia"/>
                <w:sz w:val="21"/>
                <w:szCs w:val="21"/>
              </w:rPr>
              <w:t>少于</w:t>
            </w:r>
            <w:r>
              <w:rPr>
                <w:rFonts w:asciiTheme="minorEastAsia" w:hAnsiTheme="minorEastAsia"/>
                <w:sz w:val="21"/>
                <w:szCs w:val="21"/>
              </w:rPr>
              <w:t>6mm厚；双玻夹层中空玻璃的钢化玻璃间隔膜总厚度不应少于4mm。</w:t>
            </w:r>
          </w:p>
        </w:tc>
      </w:tr>
      <w:bookmarkEnd w:id="9"/>
    </w:tbl>
    <w:p w14:paraId="4E520E7B">
      <w:pPr>
        <w:widowControl/>
        <w:jc w:val="left"/>
      </w:pPr>
    </w:p>
    <w:p w14:paraId="19B8496C">
      <w:pPr>
        <w:widowControl/>
        <w:jc w:val="left"/>
        <w:rPr>
          <w:rFonts w:ascii="宋体" w:hAnsi="宋体" w:cs="宋体"/>
          <w:b/>
          <w:sz w:val="24"/>
        </w:rPr>
      </w:pPr>
    </w:p>
    <w:p w14:paraId="36422088">
      <w:pPr>
        <w:widowControl/>
        <w:jc w:val="left"/>
        <w:rPr>
          <w:rFonts w:ascii="宋体" w:hAnsi="宋体" w:cs="宋体"/>
          <w:b/>
          <w:sz w:val="24"/>
        </w:rPr>
      </w:pPr>
    </w:p>
    <w:p w14:paraId="5593CB3F">
      <w:pPr>
        <w:widowControl/>
        <w:jc w:val="left"/>
        <w:rPr>
          <w:rFonts w:ascii="宋体" w:hAnsi="宋体" w:cs="宋体"/>
          <w:b/>
          <w:sz w:val="24"/>
        </w:rPr>
      </w:pPr>
    </w:p>
    <w:p w14:paraId="211D3261">
      <w:pPr>
        <w:widowControl/>
        <w:jc w:val="left"/>
        <w:rPr>
          <w:rFonts w:ascii="宋体" w:hAnsi="宋体" w:cs="宋体"/>
          <w:b/>
          <w:sz w:val="24"/>
        </w:rPr>
      </w:pPr>
    </w:p>
    <w:p w14:paraId="3D02554F">
      <w:pPr>
        <w:widowControl/>
        <w:jc w:val="left"/>
        <w:rPr>
          <w:rFonts w:ascii="宋体" w:hAnsi="宋体" w:cs="宋体"/>
          <w:b/>
          <w:sz w:val="24"/>
        </w:rPr>
      </w:pPr>
      <w:r>
        <w:rPr>
          <w:rFonts w:hint="eastAsia" w:ascii="宋体" w:hAnsi="宋体" w:cs="宋体"/>
          <w:b/>
          <w:sz w:val="24"/>
        </w:rPr>
        <w:t>五、产品样板（参考效果图）</w:t>
      </w:r>
    </w:p>
    <w:p w14:paraId="438629C7">
      <w:pPr>
        <w:widowControl/>
        <w:spacing w:line="360" w:lineRule="auto"/>
        <w:ind w:firstLine="420" w:firstLineChars="200"/>
        <w:jc w:val="left"/>
      </w:pPr>
      <w:r>
        <w:rPr>
          <w:rFonts w:hint="eastAsia"/>
        </w:rPr>
        <w:t>供应商在投标文件中提供点位设计方案；设计样式不少于8种，方便街道选择，面积包含15、20、25、30平方米（每种</w:t>
      </w:r>
      <w:r>
        <w:t>面积各</w:t>
      </w:r>
      <w:r>
        <w:rPr>
          <w:rFonts w:hint="eastAsia"/>
        </w:rPr>
        <w:t>提供2种设计方案</w:t>
      </w:r>
      <w:r>
        <w:t>）</w:t>
      </w:r>
      <w:r>
        <w:rPr>
          <w:rFonts w:hint="eastAsia"/>
        </w:rPr>
        <w:t>。以下</w:t>
      </w:r>
      <w:r>
        <w:t>示例仅供参考。</w:t>
      </w:r>
    </w:p>
    <w:p w14:paraId="054759D0">
      <w:pPr>
        <w:widowControl/>
        <w:spacing w:line="360" w:lineRule="auto"/>
        <w:ind w:firstLine="420" w:firstLineChars="200"/>
        <w:jc w:val="left"/>
      </w:pPr>
      <w:r>
        <w:rPr>
          <w:rFonts w:hint="eastAsia"/>
        </w:rPr>
        <w:drawing>
          <wp:inline distT="0" distB="0" distL="114300" distR="114300">
            <wp:extent cx="2279015" cy="1709420"/>
            <wp:effectExtent l="0" t="0" r="6985" b="5080"/>
            <wp:docPr id="4" name="图片 4" descr="微信图片_20250328112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微信图片_20250328112229"/>
                    <pic:cNvPicPr>
                      <a:picLocks noChangeAspect="1"/>
                    </pic:cNvPicPr>
                  </pic:nvPicPr>
                  <pic:blipFill>
                    <a:blip r:embed="rId4"/>
                    <a:stretch>
                      <a:fillRect/>
                    </a:stretch>
                  </pic:blipFill>
                  <pic:spPr>
                    <a:xfrm>
                      <a:off x="0" y="0"/>
                      <a:ext cx="2279015" cy="1709420"/>
                    </a:xfrm>
                    <a:prstGeom prst="rect">
                      <a:avLst/>
                    </a:prstGeom>
                  </pic:spPr>
                </pic:pic>
              </a:graphicData>
            </a:graphic>
          </wp:inline>
        </w:drawing>
      </w:r>
      <w:r>
        <w:rPr>
          <w:rFonts w:hint="eastAsia"/>
        </w:rPr>
        <w:drawing>
          <wp:inline distT="0" distB="0" distL="114300" distR="114300">
            <wp:extent cx="2296160" cy="1722755"/>
            <wp:effectExtent l="0" t="0" r="8890" b="10795"/>
            <wp:docPr id="7" name="图片 7" descr="微信图片_20250401115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50401115955"/>
                    <pic:cNvPicPr>
                      <a:picLocks noChangeAspect="1"/>
                    </pic:cNvPicPr>
                  </pic:nvPicPr>
                  <pic:blipFill>
                    <a:blip r:embed="rId5"/>
                    <a:stretch>
                      <a:fillRect/>
                    </a:stretch>
                  </pic:blipFill>
                  <pic:spPr>
                    <a:xfrm>
                      <a:off x="0" y="0"/>
                      <a:ext cx="2296160" cy="1722755"/>
                    </a:xfrm>
                    <a:prstGeom prst="rect">
                      <a:avLst/>
                    </a:prstGeom>
                  </pic:spPr>
                </pic:pic>
              </a:graphicData>
            </a:graphic>
          </wp:inline>
        </w:drawing>
      </w:r>
    </w:p>
    <w:p w14:paraId="0278D3D2">
      <w:pPr>
        <w:ind w:left="-168" w:leftChars="-80"/>
        <w:jc w:val="center"/>
        <w:rPr>
          <w:sz w:val="24"/>
        </w:rPr>
      </w:pPr>
      <w:r>
        <w:rPr>
          <w:sz w:val="24"/>
        </w:rPr>
        <w:drawing>
          <wp:inline distT="0" distB="0" distL="114300" distR="114300">
            <wp:extent cx="2312035" cy="1734820"/>
            <wp:effectExtent l="0" t="0" r="12065" b="17780"/>
            <wp:docPr id="41"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0"/>
                    <pic:cNvPicPr>
                      <a:picLocks noChangeAspect="1"/>
                    </pic:cNvPicPr>
                  </pic:nvPicPr>
                  <pic:blipFill>
                    <a:blip r:embed="rId6"/>
                    <a:stretch>
                      <a:fillRect/>
                    </a:stretch>
                  </pic:blipFill>
                  <pic:spPr>
                    <a:xfrm>
                      <a:off x="0" y="0"/>
                      <a:ext cx="2312035" cy="1734820"/>
                    </a:xfrm>
                    <a:prstGeom prst="rect">
                      <a:avLst/>
                    </a:prstGeom>
                    <a:noFill/>
                    <a:ln w="9525">
                      <a:noFill/>
                    </a:ln>
                  </pic:spPr>
                </pic:pic>
              </a:graphicData>
            </a:graphic>
          </wp:inline>
        </w:drawing>
      </w:r>
      <w:r>
        <w:rPr>
          <w:sz w:val="24"/>
        </w:rPr>
        <w:drawing>
          <wp:inline distT="0" distB="0" distL="114300" distR="114300">
            <wp:extent cx="2310765" cy="1727200"/>
            <wp:effectExtent l="0" t="0" r="13335" b="6350"/>
            <wp:docPr id="42"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1"/>
                    <pic:cNvPicPr>
                      <a:picLocks noChangeAspect="1"/>
                    </pic:cNvPicPr>
                  </pic:nvPicPr>
                  <pic:blipFill>
                    <a:blip r:embed="rId7"/>
                    <a:stretch>
                      <a:fillRect/>
                    </a:stretch>
                  </pic:blipFill>
                  <pic:spPr>
                    <a:xfrm>
                      <a:off x="0" y="0"/>
                      <a:ext cx="2310765" cy="1727200"/>
                    </a:xfrm>
                    <a:prstGeom prst="rect">
                      <a:avLst/>
                    </a:prstGeom>
                    <a:noFill/>
                    <a:ln w="9525">
                      <a:noFill/>
                    </a:ln>
                  </pic:spPr>
                </pic:pic>
              </a:graphicData>
            </a:graphic>
          </wp:inline>
        </w:drawing>
      </w:r>
    </w:p>
    <w:p w14:paraId="199B821F">
      <w:pPr>
        <w:ind w:left="-168" w:leftChars="-80"/>
        <w:jc w:val="center"/>
        <w:rPr>
          <w:sz w:val="24"/>
        </w:rPr>
      </w:pPr>
    </w:p>
    <w:p w14:paraId="08483E9D">
      <w:pPr>
        <w:ind w:left="-168" w:leftChars="-80"/>
        <w:jc w:val="center"/>
        <w:rPr>
          <w:sz w:val="24"/>
        </w:rPr>
      </w:pPr>
      <w:r>
        <w:rPr>
          <w:sz w:val="24"/>
        </w:rPr>
        <w:drawing>
          <wp:inline distT="0" distB="0" distL="114300" distR="114300">
            <wp:extent cx="2315210" cy="1736090"/>
            <wp:effectExtent l="0" t="0" r="8890" b="16510"/>
            <wp:docPr id="46" name="ID_E18FE73A21254BBFAB2C9091E39FEA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D_E18FE73A21254BBFAB2C9091E39FEA58"/>
                    <pic:cNvPicPr>
                      <a:picLocks noChangeAspect="1"/>
                    </pic:cNvPicPr>
                  </pic:nvPicPr>
                  <pic:blipFill>
                    <a:blip r:embed="rId8"/>
                    <a:stretch>
                      <a:fillRect/>
                    </a:stretch>
                  </pic:blipFill>
                  <pic:spPr>
                    <a:xfrm>
                      <a:off x="0" y="0"/>
                      <a:ext cx="2315210" cy="1736090"/>
                    </a:xfrm>
                    <a:prstGeom prst="rect">
                      <a:avLst/>
                    </a:prstGeom>
                    <a:noFill/>
                    <a:ln w="9525">
                      <a:noFill/>
                    </a:ln>
                  </pic:spPr>
                </pic:pic>
              </a:graphicData>
            </a:graphic>
          </wp:inline>
        </w:drawing>
      </w:r>
      <w:r>
        <w:rPr>
          <w:sz w:val="24"/>
        </w:rPr>
        <w:drawing>
          <wp:inline distT="0" distB="0" distL="114300" distR="114300">
            <wp:extent cx="2308860" cy="1746885"/>
            <wp:effectExtent l="0" t="0" r="15240" b="5715"/>
            <wp:docPr id="47" name="ID_8985974216484B3A9EDDF08125996B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D_8985974216484B3A9EDDF08125996B7A"/>
                    <pic:cNvPicPr>
                      <a:picLocks noChangeAspect="1"/>
                    </pic:cNvPicPr>
                  </pic:nvPicPr>
                  <pic:blipFill>
                    <a:blip r:embed="rId9"/>
                    <a:stretch>
                      <a:fillRect/>
                    </a:stretch>
                  </pic:blipFill>
                  <pic:spPr>
                    <a:xfrm>
                      <a:off x="0" y="0"/>
                      <a:ext cx="2308860" cy="1746885"/>
                    </a:xfrm>
                    <a:prstGeom prst="rect">
                      <a:avLst/>
                    </a:prstGeom>
                    <a:noFill/>
                    <a:ln w="9525">
                      <a:noFill/>
                    </a:ln>
                  </pic:spPr>
                </pic:pic>
              </a:graphicData>
            </a:graphic>
          </wp:inline>
        </w:drawing>
      </w:r>
    </w:p>
    <w:p w14:paraId="6F14463D">
      <w:pPr>
        <w:ind w:left="-168" w:leftChars="-80"/>
        <w:jc w:val="center"/>
        <w:rPr>
          <w:sz w:val="24"/>
        </w:rPr>
      </w:pPr>
    </w:p>
    <w:p w14:paraId="5696CE72">
      <w:pPr>
        <w:ind w:left="-168" w:leftChars="-80"/>
        <w:jc w:val="center"/>
        <w:rPr>
          <w:sz w:val="24"/>
        </w:rPr>
      </w:pPr>
      <w:r>
        <w:rPr>
          <w:sz w:val="24"/>
        </w:rPr>
        <w:drawing>
          <wp:inline distT="0" distB="0" distL="114300" distR="114300">
            <wp:extent cx="2314575" cy="1736090"/>
            <wp:effectExtent l="0" t="0" r="9525" b="16510"/>
            <wp:docPr id="8"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6"/>
                    <pic:cNvPicPr>
                      <a:picLocks noChangeAspect="1"/>
                    </pic:cNvPicPr>
                  </pic:nvPicPr>
                  <pic:blipFill>
                    <a:blip r:embed="rId10" r:link="rId11"/>
                    <a:stretch>
                      <a:fillRect/>
                    </a:stretch>
                  </pic:blipFill>
                  <pic:spPr>
                    <a:xfrm>
                      <a:off x="0" y="0"/>
                      <a:ext cx="2314575" cy="1736090"/>
                    </a:xfrm>
                    <a:prstGeom prst="rect">
                      <a:avLst/>
                    </a:prstGeom>
                    <a:noFill/>
                    <a:ln>
                      <a:noFill/>
                    </a:ln>
                  </pic:spPr>
                </pic:pic>
              </a:graphicData>
            </a:graphic>
          </wp:inline>
        </w:drawing>
      </w:r>
      <w:r>
        <w:rPr>
          <w:sz w:val="24"/>
        </w:rPr>
        <w:drawing>
          <wp:inline distT="0" distB="0" distL="114300" distR="114300">
            <wp:extent cx="2326005" cy="1741170"/>
            <wp:effectExtent l="0" t="0" r="17145" b="11430"/>
            <wp:docPr id="48"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7"/>
                    <pic:cNvPicPr>
                      <a:picLocks noChangeAspect="1"/>
                    </pic:cNvPicPr>
                  </pic:nvPicPr>
                  <pic:blipFill>
                    <a:blip r:embed="rId12" r:link="rId11"/>
                    <a:stretch>
                      <a:fillRect/>
                    </a:stretch>
                  </pic:blipFill>
                  <pic:spPr>
                    <a:xfrm>
                      <a:off x="0" y="0"/>
                      <a:ext cx="2326005" cy="1741170"/>
                    </a:xfrm>
                    <a:prstGeom prst="rect">
                      <a:avLst/>
                    </a:prstGeom>
                    <a:noFill/>
                    <a:ln>
                      <a:noFill/>
                    </a:ln>
                  </pic:spPr>
                </pic:pic>
              </a:graphicData>
            </a:graphic>
          </wp:inline>
        </w:drawing>
      </w:r>
    </w:p>
    <w:p w14:paraId="727ADB34">
      <w:pPr>
        <w:ind w:left="-168" w:leftChars="-80"/>
        <w:jc w:val="center"/>
        <w:rPr>
          <w:sz w:val="24"/>
        </w:rPr>
      </w:pPr>
      <w:r>
        <w:rPr>
          <w:sz w:val="24"/>
        </w:rPr>
        <w:drawing>
          <wp:inline distT="0" distB="0" distL="114300" distR="114300">
            <wp:extent cx="2310130" cy="1761490"/>
            <wp:effectExtent l="0" t="0" r="13970" b="10160"/>
            <wp:docPr id="69" name="ID_45DE4B835046472E86840B75DCCD6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D_45DE4B835046472E86840B75DCCD6948"/>
                    <pic:cNvPicPr>
                      <a:picLocks noChangeAspect="1"/>
                    </pic:cNvPicPr>
                  </pic:nvPicPr>
                  <pic:blipFill>
                    <a:blip r:embed="rId13"/>
                    <a:stretch>
                      <a:fillRect/>
                    </a:stretch>
                  </pic:blipFill>
                  <pic:spPr>
                    <a:xfrm>
                      <a:off x="0" y="0"/>
                      <a:ext cx="2310130" cy="1761490"/>
                    </a:xfrm>
                    <a:prstGeom prst="rect">
                      <a:avLst/>
                    </a:prstGeom>
                    <a:noFill/>
                    <a:ln w="9525">
                      <a:noFill/>
                    </a:ln>
                  </pic:spPr>
                </pic:pic>
              </a:graphicData>
            </a:graphic>
          </wp:inline>
        </w:drawing>
      </w:r>
      <w:r>
        <w:rPr>
          <w:sz w:val="24"/>
        </w:rPr>
        <w:drawing>
          <wp:inline distT="0" distB="0" distL="114300" distR="114300">
            <wp:extent cx="2315845" cy="1761490"/>
            <wp:effectExtent l="0" t="0" r="8255" b="10160"/>
            <wp:docPr id="70" name="ID_5C82ADBC52404FDBA48B5982270E5F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D_5C82ADBC52404FDBA48B5982270E5FAA"/>
                    <pic:cNvPicPr>
                      <a:picLocks noChangeAspect="1"/>
                    </pic:cNvPicPr>
                  </pic:nvPicPr>
                  <pic:blipFill>
                    <a:blip r:embed="rId14"/>
                    <a:stretch>
                      <a:fillRect/>
                    </a:stretch>
                  </pic:blipFill>
                  <pic:spPr>
                    <a:xfrm>
                      <a:off x="0" y="0"/>
                      <a:ext cx="2315845" cy="1761490"/>
                    </a:xfrm>
                    <a:prstGeom prst="rect">
                      <a:avLst/>
                    </a:prstGeom>
                    <a:noFill/>
                    <a:ln w="9525">
                      <a:noFill/>
                    </a:ln>
                  </pic:spPr>
                </pic:pic>
              </a:graphicData>
            </a:graphic>
          </wp:inline>
        </w:drawing>
      </w:r>
    </w:p>
    <w:p w14:paraId="34B51F5F">
      <w:pPr>
        <w:ind w:left="-168" w:leftChars="-80"/>
        <w:jc w:val="center"/>
        <w:rPr>
          <w:sz w:val="24"/>
        </w:rPr>
      </w:pPr>
    </w:p>
    <w:p w14:paraId="6E385A64">
      <w:pPr>
        <w:ind w:left="-168" w:leftChars="-80"/>
        <w:jc w:val="center"/>
        <w:rPr>
          <w:sz w:val="24"/>
        </w:rPr>
      </w:pPr>
      <w:r>
        <w:rPr>
          <w:sz w:val="24"/>
        </w:rPr>
        <w:drawing>
          <wp:inline distT="0" distB="0" distL="114300" distR="114300">
            <wp:extent cx="2313940" cy="1524635"/>
            <wp:effectExtent l="0" t="0" r="10160" b="18415"/>
            <wp:docPr id="17" name="图片 16" descr="微信图片_20231117150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6" descr="微信图片_20231117150929"/>
                    <pic:cNvPicPr>
                      <a:picLocks noChangeAspect="1"/>
                    </pic:cNvPicPr>
                  </pic:nvPicPr>
                  <pic:blipFill>
                    <a:blip r:embed="rId15"/>
                    <a:stretch>
                      <a:fillRect/>
                    </a:stretch>
                  </pic:blipFill>
                  <pic:spPr>
                    <a:xfrm>
                      <a:off x="0" y="0"/>
                      <a:ext cx="2313940" cy="1524635"/>
                    </a:xfrm>
                    <a:prstGeom prst="rect">
                      <a:avLst/>
                    </a:prstGeom>
                  </pic:spPr>
                </pic:pic>
              </a:graphicData>
            </a:graphic>
          </wp:inline>
        </w:drawing>
      </w:r>
      <w:r>
        <w:rPr>
          <w:sz w:val="24"/>
        </w:rPr>
        <w:drawing>
          <wp:inline distT="0" distB="0" distL="114300" distR="114300">
            <wp:extent cx="2319655" cy="1529715"/>
            <wp:effectExtent l="0" t="0" r="4445" b="13335"/>
            <wp:docPr id="18" name="图片 17" descr="微信图片_20231117151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7" descr="微信图片_20231117151018"/>
                    <pic:cNvPicPr>
                      <a:picLocks noChangeAspect="1"/>
                    </pic:cNvPicPr>
                  </pic:nvPicPr>
                  <pic:blipFill>
                    <a:blip r:embed="rId16"/>
                    <a:stretch>
                      <a:fillRect/>
                    </a:stretch>
                  </pic:blipFill>
                  <pic:spPr>
                    <a:xfrm>
                      <a:off x="0" y="0"/>
                      <a:ext cx="2319655" cy="1529715"/>
                    </a:xfrm>
                    <a:prstGeom prst="rect">
                      <a:avLst/>
                    </a:prstGeom>
                  </pic:spPr>
                </pic:pic>
              </a:graphicData>
            </a:graphic>
          </wp:inline>
        </w:drawing>
      </w:r>
    </w:p>
    <w:p w14:paraId="3492A044">
      <w:pPr>
        <w:ind w:left="-168" w:leftChars="-80"/>
        <w:jc w:val="center"/>
        <w:rPr>
          <w:sz w:val="24"/>
        </w:rPr>
      </w:pPr>
    </w:p>
    <w:p w14:paraId="02F09BF4">
      <w:pPr>
        <w:ind w:left="-168" w:leftChars="-80"/>
        <w:jc w:val="center"/>
        <w:rPr>
          <w:sz w:val="24"/>
        </w:rPr>
      </w:pPr>
      <w:r>
        <w:rPr>
          <w:sz w:val="24"/>
        </w:rPr>
        <w:drawing>
          <wp:inline distT="0" distB="0" distL="114300" distR="114300">
            <wp:extent cx="2300605" cy="1562100"/>
            <wp:effectExtent l="0" t="0" r="4445" b="0"/>
            <wp:docPr id="92" name="图片 91" descr="f44142c64c83adfa6176c0cd380b0d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1" descr="f44142c64c83adfa6176c0cd380b0d8"/>
                    <pic:cNvPicPr>
                      <a:picLocks noChangeAspect="1"/>
                    </pic:cNvPicPr>
                  </pic:nvPicPr>
                  <pic:blipFill>
                    <a:blip r:embed="rId17"/>
                    <a:stretch>
                      <a:fillRect/>
                    </a:stretch>
                  </pic:blipFill>
                  <pic:spPr>
                    <a:xfrm>
                      <a:off x="0" y="0"/>
                      <a:ext cx="2300605" cy="1562100"/>
                    </a:xfrm>
                    <a:prstGeom prst="rect">
                      <a:avLst/>
                    </a:prstGeom>
                  </pic:spPr>
                </pic:pic>
              </a:graphicData>
            </a:graphic>
          </wp:inline>
        </w:drawing>
      </w:r>
      <w:r>
        <w:rPr>
          <w:sz w:val="24"/>
        </w:rPr>
        <w:drawing>
          <wp:inline distT="0" distB="0" distL="114300" distR="114300">
            <wp:extent cx="2273300" cy="1537970"/>
            <wp:effectExtent l="0" t="0" r="12700" b="5080"/>
            <wp:docPr id="95" name="图片 94" descr="e27a1bac991d1358842019637023e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4" descr="e27a1bac991d1358842019637023e21"/>
                    <pic:cNvPicPr>
                      <a:picLocks noChangeAspect="1"/>
                    </pic:cNvPicPr>
                  </pic:nvPicPr>
                  <pic:blipFill>
                    <a:blip r:embed="rId18"/>
                    <a:stretch>
                      <a:fillRect/>
                    </a:stretch>
                  </pic:blipFill>
                  <pic:spPr>
                    <a:xfrm>
                      <a:off x="0" y="0"/>
                      <a:ext cx="2273300" cy="1537970"/>
                    </a:xfrm>
                    <a:prstGeom prst="rect">
                      <a:avLst/>
                    </a:prstGeom>
                  </pic:spPr>
                </pic:pic>
              </a:graphicData>
            </a:graphic>
          </wp:inline>
        </w:drawing>
      </w:r>
    </w:p>
    <w:p w14:paraId="41D7CF39">
      <w:pPr>
        <w:ind w:left="-168" w:leftChars="-80"/>
        <w:jc w:val="center"/>
        <w:rPr>
          <w:sz w:val="24"/>
        </w:rPr>
      </w:pPr>
    </w:p>
    <w:p w14:paraId="639B8939">
      <w:pPr>
        <w:ind w:left="-168" w:leftChars="-80"/>
        <w:jc w:val="center"/>
        <w:rPr>
          <w:sz w:val="24"/>
        </w:rPr>
      </w:pPr>
      <w:r>
        <w:rPr>
          <w:sz w:val="24"/>
        </w:rPr>
        <w:drawing>
          <wp:inline distT="0" distB="0" distL="114300" distR="114300">
            <wp:extent cx="2312035" cy="1528445"/>
            <wp:effectExtent l="0" t="0" r="12065" b="14605"/>
            <wp:docPr id="231" name="图片 230" descr="869e453c82b4434f4505a2f0d7041c5"/>
            <wp:cNvGraphicFramePr/>
            <a:graphic xmlns:a="http://schemas.openxmlformats.org/drawingml/2006/main">
              <a:graphicData uri="http://schemas.openxmlformats.org/drawingml/2006/picture">
                <pic:pic xmlns:pic="http://schemas.openxmlformats.org/drawingml/2006/picture">
                  <pic:nvPicPr>
                    <pic:cNvPr id="231" name="图片 230" descr="869e453c82b4434f4505a2f0d7041c5"/>
                    <pic:cNvPicPr/>
                  </pic:nvPicPr>
                  <pic:blipFill>
                    <a:blip r:embed="rId19"/>
                    <a:stretch>
                      <a:fillRect/>
                    </a:stretch>
                  </pic:blipFill>
                  <pic:spPr>
                    <a:xfrm>
                      <a:off x="0" y="0"/>
                      <a:ext cx="2312035" cy="1528445"/>
                    </a:xfrm>
                    <a:prstGeom prst="rect">
                      <a:avLst/>
                    </a:prstGeom>
                  </pic:spPr>
                </pic:pic>
              </a:graphicData>
            </a:graphic>
          </wp:inline>
        </w:drawing>
      </w:r>
      <w:r>
        <w:rPr>
          <w:sz w:val="24"/>
        </w:rPr>
        <w:drawing>
          <wp:inline distT="0" distB="0" distL="114300" distR="114300">
            <wp:extent cx="2270125" cy="1506220"/>
            <wp:effectExtent l="0" t="0" r="15875" b="17780"/>
            <wp:docPr id="230" name="图片 229" descr="acacb5d7d0c5d0843be97797e9cfc22"/>
            <wp:cNvGraphicFramePr/>
            <a:graphic xmlns:a="http://schemas.openxmlformats.org/drawingml/2006/main">
              <a:graphicData uri="http://schemas.openxmlformats.org/drawingml/2006/picture">
                <pic:pic xmlns:pic="http://schemas.openxmlformats.org/drawingml/2006/picture">
                  <pic:nvPicPr>
                    <pic:cNvPr id="230" name="图片 229" descr="acacb5d7d0c5d0843be97797e9cfc22"/>
                    <pic:cNvPicPr/>
                  </pic:nvPicPr>
                  <pic:blipFill>
                    <a:blip r:embed="rId20"/>
                    <a:stretch>
                      <a:fillRect/>
                    </a:stretch>
                  </pic:blipFill>
                  <pic:spPr>
                    <a:xfrm>
                      <a:off x="0" y="0"/>
                      <a:ext cx="2270125" cy="1506220"/>
                    </a:xfrm>
                    <a:prstGeom prst="rect">
                      <a:avLst/>
                    </a:prstGeom>
                  </pic:spPr>
                </pic:pic>
              </a:graphicData>
            </a:graphic>
          </wp:inline>
        </w:drawing>
      </w:r>
    </w:p>
    <w:p w14:paraId="60EC48A4">
      <w:pPr>
        <w:jc w:val="center"/>
        <w:rPr>
          <w:sz w:val="24"/>
        </w:rPr>
      </w:pPr>
      <w:r>
        <w:rPr>
          <w:sz w:val="24"/>
        </w:rPr>
        <w:drawing>
          <wp:inline distT="0" distB="0" distL="114300" distR="114300">
            <wp:extent cx="4304030" cy="2733040"/>
            <wp:effectExtent l="0" t="0" r="1270" b="1016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21"/>
                    <a:stretch>
                      <a:fillRect/>
                    </a:stretch>
                  </pic:blipFill>
                  <pic:spPr>
                    <a:xfrm>
                      <a:off x="0" y="0"/>
                      <a:ext cx="4304581" cy="2733159"/>
                    </a:xfrm>
                    <a:prstGeom prst="rect">
                      <a:avLst/>
                    </a:prstGeom>
                    <a:noFill/>
                    <a:ln>
                      <a:noFill/>
                    </a:ln>
                  </pic:spPr>
                </pic:pic>
              </a:graphicData>
            </a:graphic>
          </wp:inline>
        </w:drawing>
      </w:r>
    </w:p>
    <w:p w14:paraId="63ABB2DD">
      <w:pPr>
        <w:rPr>
          <w:sz w:val="24"/>
        </w:rPr>
      </w:pPr>
      <w:r>
        <w:rPr>
          <w:sz w:val="24"/>
        </w:rPr>
        <w:drawing>
          <wp:inline distT="0" distB="0" distL="114300" distR="114300">
            <wp:extent cx="5199380" cy="5929630"/>
            <wp:effectExtent l="0" t="0" r="1270" b="1397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2"/>
                    <a:stretch>
                      <a:fillRect/>
                    </a:stretch>
                  </pic:blipFill>
                  <pic:spPr>
                    <a:xfrm>
                      <a:off x="0" y="0"/>
                      <a:ext cx="5199380" cy="5929630"/>
                    </a:xfrm>
                    <a:prstGeom prst="rect">
                      <a:avLst/>
                    </a:prstGeom>
                    <a:noFill/>
                    <a:ln>
                      <a:noFill/>
                    </a:ln>
                  </pic:spPr>
                </pic:pic>
              </a:graphicData>
            </a:graphic>
          </wp:inline>
        </w:drawing>
      </w:r>
    </w:p>
    <w:p w14:paraId="777ECDF8">
      <w:pPr>
        <w:widowControl/>
        <w:spacing w:line="360" w:lineRule="auto"/>
        <w:ind w:firstLine="480" w:firstLineChars="200"/>
        <w:jc w:val="center"/>
      </w:pPr>
      <w:r>
        <w:rPr>
          <w:sz w:val="24"/>
        </w:rPr>
        <w:drawing>
          <wp:inline distT="0" distB="0" distL="114300" distR="114300">
            <wp:extent cx="4257675" cy="4902200"/>
            <wp:effectExtent l="0" t="0" r="9525" b="1270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23"/>
                    <a:stretch>
                      <a:fillRect/>
                    </a:stretch>
                  </pic:blipFill>
                  <pic:spPr>
                    <a:xfrm>
                      <a:off x="0" y="0"/>
                      <a:ext cx="4262107" cy="4907850"/>
                    </a:xfrm>
                    <a:prstGeom prst="rect">
                      <a:avLst/>
                    </a:prstGeom>
                    <a:noFill/>
                    <a:ln>
                      <a:noFill/>
                    </a:ln>
                  </pic:spPr>
                </pic:pic>
              </a:graphicData>
            </a:graphic>
          </wp:inline>
        </w:drawing>
      </w:r>
    </w:p>
    <w:p w14:paraId="4F7097B7">
      <w:pPr>
        <w:widowControl/>
        <w:spacing w:line="360" w:lineRule="auto"/>
        <w:ind w:firstLine="420" w:firstLineChars="200"/>
        <w:jc w:val="center"/>
      </w:pPr>
    </w:p>
    <w:p w14:paraId="2F2C6954">
      <w:pPr>
        <w:widowControl/>
        <w:spacing w:line="360" w:lineRule="auto"/>
        <w:ind w:firstLine="420" w:firstLineChars="200"/>
        <w:jc w:val="center"/>
        <w:rPr>
          <w:kern w:val="0"/>
          <w:sz w:val="20"/>
          <w:szCs w:val="20"/>
          <w:lang w:eastAsia="zh-Hans"/>
        </w:rPr>
      </w:pPr>
      <w:r>
        <w:drawing>
          <wp:inline distT="0" distB="0" distL="0" distR="0">
            <wp:extent cx="3781425" cy="3435350"/>
            <wp:effectExtent l="0" t="0" r="9525" b="1270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24"/>
                    <a:stretch>
                      <a:fillRect/>
                    </a:stretch>
                  </pic:blipFill>
                  <pic:spPr>
                    <a:xfrm>
                      <a:off x="0" y="0"/>
                      <a:ext cx="3793131" cy="3446057"/>
                    </a:xfrm>
                    <a:prstGeom prst="rect">
                      <a:avLst/>
                    </a:prstGeom>
                  </pic:spPr>
                </pic:pic>
              </a:graphicData>
            </a:graphic>
          </wp:inline>
        </w:drawing>
      </w:r>
      <w:r>
        <w:br w:type="page"/>
      </w:r>
    </w:p>
    <w:p w14:paraId="478F7E57">
      <w:pPr>
        <w:widowControl/>
        <w:jc w:val="center"/>
      </w:pPr>
      <w:r>
        <w:rPr>
          <w:sz w:val="24"/>
        </w:rPr>
        <w:drawing>
          <wp:inline distT="0" distB="0" distL="114300" distR="114300">
            <wp:extent cx="5201285" cy="6010275"/>
            <wp:effectExtent l="0" t="0" r="18415" b="9525"/>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pic:cNvPicPr>
                  </pic:nvPicPr>
                  <pic:blipFill>
                    <a:blip r:embed="rId25"/>
                    <a:stretch>
                      <a:fillRect/>
                    </a:stretch>
                  </pic:blipFill>
                  <pic:spPr>
                    <a:xfrm>
                      <a:off x="0" y="0"/>
                      <a:ext cx="5201285" cy="6010275"/>
                    </a:xfrm>
                    <a:prstGeom prst="rect">
                      <a:avLst/>
                    </a:prstGeom>
                    <a:noFill/>
                    <a:ln>
                      <a:noFill/>
                    </a:ln>
                  </pic:spPr>
                </pic:pic>
              </a:graphicData>
            </a:graphic>
          </wp:inline>
        </w:drawing>
      </w:r>
    </w:p>
    <w:p w14:paraId="35191EEB">
      <w:pPr>
        <w:widowControl/>
      </w:pPr>
      <w:r>
        <w:drawing>
          <wp:inline distT="0" distB="0" distL="0" distR="0">
            <wp:extent cx="5274310" cy="4377690"/>
            <wp:effectExtent l="0" t="0" r="2540" b="381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26"/>
                    <a:stretch>
                      <a:fillRect/>
                    </a:stretch>
                  </pic:blipFill>
                  <pic:spPr>
                    <a:xfrm>
                      <a:off x="0" y="0"/>
                      <a:ext cx="5274310" cy="4377690"/>
                    </a:xfrm>
                    <a:prstGeom prst="rect">
                      <a:avLst/>
                    </a:prstGeom>
                  </pic:spPr>
                </pic:pic>
              </a:graphicData>
            </a:graphic>
          </wp:inline>
        </w:drawing>
      </w:r>
    </w:p>
    <w:p w14:paraId="170AF496">
      <w:pPr>
        <w:widowControl/>
      </w:pPr>
    </w:p>
    <w:p w14:paraId="08F9C924">
      <w:pPr>
        <w:widowControl/>
        <w:rPr>
          <w:sz w:val="24"/>
        </w:rPr>
      </w:pPr>
      <w:r>
        <w:rPr>
          <w:sz w:val="24"/>
        </w:rPr>
        <w:drawing>
          <wp:inline distT="0" distB="0" distL="114300" distR="114300">
            <wp:extent cx="5201285" cy="2990850"/>
            <wp:effectExtent l="0" t="0" r="18415" b="0"/>
            <wp:docPr id="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
                    <pic:cNvPicPr>
                      <a:picLocks noChangeAspect="1"/>
                    </pic:cNvPicPr>
                  </pic:nvPicPr>
                  <pic:blipFill>
                    <a:blip r:embed="rId27"/>
                    <a:stretch>
                      <a:fillRect/>
                    </a:stretch>
                  </pic:blipFill>
                  <pic:spPr>
                    <a:xfrm>
                      <a:off x="0" y="0"/>
                      <a:ext cx="5201285" cy="2990850"/>
                    </a:xfrm>
                    <a:prstGeom prst="rect">
                      <a:avLst/>
                    </a:prstGeom>
                    <a:noFill/>
                    <a:ln>
                      <a:noFill/>
                    </a:ln>
                  </pic:spPr>
                </pic:pic>
              </a:graphicData>
            </a:graphic>
          </wp:inline>
        </w:drawing>
      </w:r>
    </w:p>
    <w:p w14:paraId="4F671254">
      <w:pPr>
        <w:widowControl/>
        <w:rPr>
          <w:sz w:val="24"/>
        </w:rPr>
      </w:pPr>
    </w:p>
    <w:p w14:paraId="3C342209">
      <w:pPr>
        <w:widowControl/>
        <w:rPr>
          <w:sz w:val="24"/>
        </w:rPr>
      </w:pPr>
    </w:p>
    <w:p w14:paraId="717A0C97">
      <w:pPr>
        <w:widowControl/>
        <w:rPr>
          <w:sz w:val="24"/>
        </w:rPr>
      </w:pPr>
    </w:p>
    <w:p w14:paraId="29AA1604">
      <w:pPr>
        <w:widowControl/>
        <w:rPr>
          <w:sz w:val="24"/>
        </w:rPr>
      </w:pPr>
    </w:p>
    <w:p w14:paraId="6AE94F0F">
      <w:pPr>
        <w:widowControl/>
        <w:jc w:val="left"/>
        <w:rPr>
          <w:rFonts w:ascii="宋体" w:hAnsi="宋体" w:cs="宋体"/>
          <w:b/>
          <w:sz w:val="24"/>
        </w:rPr>
      </w:pPr>
      <w:r>
        <w:rPr>
          <w:rFonts w:hint="eastAsia" w:ascii="宋体" w:hAnsi="宋体" w:cs="宋体"/>
          <w:b/>
          <w:sz w:val="24"/>
        </w:rPr>
        <w:t>六、样品</w:t>
      </w:r>
      <w:r>
        <w:rPr>
          <w:rFonts w:ascii="宋体" w:hAnsi="宋体" w:cs="宋体"/>
          <w:b/>
          <w:sz w:val="24"/>
        </w:rPr>
        <w:t>要求</w:t>
      </w:r>
    </w:p>
    <w:p w14:paraId="697AF5D7">
      <w:pPr>
        <w:pStyle w:val="8"/>
        <w:spacing w:line="360" w:lineRule="auto"/>
        <w:ind w:firstLine="420" w:firstLineChars="200"/>
        <w:rPr>
          <w:rFonts w:hint="default" w:asciiTheme="minorEastAsia" w:hAnsiTheme="minorEastAsia"/>
          <w:sz w:val="21"/>
          <w:szCs w:val="21"/>
        </w:rPr>
      </w:pPr>
      <w:r>
        <w:rPr>
          <w:rFonts w:asciiTheme="minorEastAsia" w:hAnsiTheme="minorEastAsia"/>
          <w:sz w:val="21"/>
          <w:szCs w:val="21"/>
        </w:rPr>
        <w:t>（</w:t>
      </w:r>
      <w:r>
        <w:rPr>
          <w:rFonts w:hint="default" w:asciiTheme="minorEastAsia" w:hAnsiTheme="minorEastAsia"/>
          <w:sz w:val="21"/>
          <w:szCs w:val="21"/>
        </w:rPr>
        <w:t>1</w:t>
      </w:r>
      <w:r>
        <w:rPr>
          <w:rFonts w:asciiTheme="minorEastAsia" w:hAnsiTheme="minorEastAsia"/>
          <w:sz w:val="21"/>
          <w:szCs w:val="21"/>
        </w:rPr>
        <w:t>）样品递交的时间：需在递交投标文件截止时间前向采购代理机构提交</w:t>
      </w:r>
      <w:r>
        <w:rPr>
          <w:rFonts w:asciiTheme="minorEastAsia" w:hAnsiTheme="minorEastAsia"/>
          <w:sz w:val="21"/>
          <w:szCs w:val="21"/>
          <w:lang w:eastAsia="zh-CN"/>
        </w:rPr>
        <w:t>。</w:t>
      </w:r>
      <w:r>
        <w:rPr>
          <w:rFonts w:asciiTheme="minorEastAsia" w:hAnsiTheme="minorEastAsia"/>
          <w:sz w:val="21"/>
          <w:szCs w:val="21"/>
        </w:rPr>
        <w:t>未在规定的时间内</w:t>
      </w:r>
      <w:r>
        <w:rPr>
          <w:rFonts w:asciiTheme="minorEastAsia" w:hAnsiTheme="minorEastAsia"/>
          <w:sz w:val="21"/>
          <w:szCs w:val="21"/>
          <w:lang w:eastAsia="zh-CN"/>
        </w:rPr>
        <w:t>提交全部</w:t>
      </w:r>
      <w:r>
        <w:rPr>
          <w:rFonts w:hint="default" w:asciiTheme="minorEastAsia" w:hAnsiTheme="minorEastAsia"/>
          <w:sz w:val="21"/>
          <w:szCs w:val="21"/>
          <w:lang w:eastAsia="zh-CN"/>
        </w:rPr>
        <w:t>样品的，视为</w:t>
      </w:r>
      <w:r>
        <w:rPr>
          <w:rFonts w:asciiTheme="minorEastAsia" w:hAnsiTheme="minorEastAsia"/>
          <w:sz w:val="21"/>
          <w:szCs w:val="21"/>
        </w:rPr>
        <w:t>放弃样品</w:t>
      </w:r>
      <w:r>
        <w:rPr>
          <w:rFonts w:asciiTheme="minorEastAsia" w:hAnsiTheme="minorEastAsia"/>
          <w:sz w:val="21"/>
          <w:szCs w:val="21"/>
          <w:lang w:eastAsia="zh-CN"/>
        </w:rPr>
        <w:t>展</w:t>
      </w:r>
      <w:r>
        <w:rPr>
          <w:rFonts w:asciiTheme="minorEastAsia" w:hAnsiTheme="minorEastAsia"/>
          <w:sz w:val="21"/>
          <w:szCs w:val="21"/>
        </w:rPr>
        <w:t>示。</w:t>
      </w:r>
    </w:p>
    <w:p w14:paraId="7C130385">
      <w:pPr>
        <w:pStyle w:val="8"/>
        <w:spacing w:line="360" w:lineRule="auto"/>
        <w:ind w:firstLine="420" w:firstLineChars="200"/>
        <w:rPr>
          <w:rFonts w:hint="default" w:asciiTheme="minorEastAsia" w:hAnsiTheme="minorEastAsia"/>
          <w:sz w:val="21"/>
          <w:szCs w:val="21"/>
        </w:rPr>
      </w:pPr>
      <w:r>
        <w:rPr>
          <w:rFonts w:asciiTheme="minorEastAsia" w:hAnsiTheme="minorEastAsia"/>
          <w:sz w:val="21"/>
          <w:szCs w:val="21"/>
        </w:rPr>
        <w:t>（</w:t>
      </w:r>
      <w:r>
        <w:rPr>
          <w:rFonts w:asciiTheme="minorEastAsia" w:hAnsiTheme="minorEastAsia"/>
          <w:sz w:val="21"/>
          <w:szCs w:val="21"/>
          <w:lang w:eastAsia="zh-CN"/>
        </w:rPr>
        <w:t>2</w:t>
      </w:r>
      <w:r>
        <w:rPr>
          <w:rFonts w:asciiTheme="minorEastAsia" w:hAnsiTheme="minorEastAsia"/>
          <w:sz w:val="21"/>
          <w:szCs w:val="21"/>
        </w:rPr>
        <w:t>）样品递交的</w:t>
      </w:r>
      <w:r>
        <w:rPr>
          <w:rFonts w:asciiTheme="minorEastAsia" w:hAnsiTheme="minorEastAsia"/>
          <w:sz w:val="21"/>
          <w:szCs w:val="21"/>
          <w:lang w:eastAsia="zh-CN"/>
        </w:rPr>
        <w:t>地点</w:t>
      </w:r>
      <w:r>
        <w:rPr>
          <w:rFonts w:asciiTheme="minorEastAsia" w:hAnsiTheme="minorEastAsia"/>
          <w:sz w:val="21"/>
          <w:szCs w:val="21"/>
        </w:rPr>
        <w:t>：广州市越秀区东风东路745号东山紫园商务大厦200</w:t>
      </w:r>
      <w:r>
        <w:rPr>
          <w:rFonts w:asciiTheme="minorEastAsia" w:hAnsiTheme="minorEastAsia"/>
          <w:sz w:val="21"/>
          <w:szCs w:val="21"/>
          <w:lang w:eastAsia="zh-CN"/>
        </w:rPr>
        <w:t>5</w:t>
      </w:r>
      <w:r>
        <w:rPr>
          <w:rFonts w:asciiTheme="minorEastAsia" w:hAnsiTheme="minorEastAsia"/>
          <w:sz w:val="21"/>
          <w:szCs w:val="21"/>
        </w:rPr>
        <w:t>单元。</w:t>
      </w:r>
    </w:p>
    <w:p w14:paraId="2FB6F6CE">
      <w:pPr>
        <w:pStyle w:val="8"/>
        <w:spacing w:line="360" w:lineRule="auto"/>
        <w:ind w:firstLine="420" w:firstLineChars="200"/>
        <w:rPr>
          <w:rFonts w:hint="default" w:asciiTheme="minorEastAsia" w:hAnsiTheme="minorEastAsia"/>
          <w:sz w:val="21"/>
          <w:szCs w:val="21"/>
          <w:lang w:eastAsia="zh-CN"/>
        </w:rPr>
      </w:pPr>
      <w:r>
        <w:rPr>
          <w:rFonts w:asciiTheme="minorEastAsia" w:hAnsiTheme="minorEastAsia"/>
          <w:sz w:val="21"/>
          <w:szCs w:val="21"/>
          <w:lang w:eastAsia="zh-CN"/>
        </w:rPr>
        <w:t>（3）样品要求</w:t>
      </w:r>
      <w:r>
        <w:rPr>
          <w:rFonts w:asciiTheme="minorEastAsia" w:hAnsiTheme="minorEastAsia"/>
          <w:sz w:val="21"/>
          <w:szCs w:val="21"/>
        </w:rPr>
        <w:t>：热轧槽钢、方管、防火板、组合型交流电源电涌保护器、电动推杆、304不锈钢</w:t>
      </w:r>
      <w:r>
        <w:rPr>
          <w:rFonts w:asciiTheme="minorEastAsia" w:hAnsiTheme="minorEastAsia"/>
          <w:sz w:val="21"/>
          <w:szCs w:val="21"/>
          <w:lang w:eastAsia="zh-CN"/>
        </w:rPr>
        <w:t>，具体要求如下：</w:t>
      </w:r>
    </w:p>
    <w:tbl>
      <w:tblPr>
        <w:tblStyle w:val="6"/>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60"/>
        <w:gridCol w:w="2851"/>
        <w:gridCol w:w="3686"/>
        <w:gridCol w:w="1322"/>
      </w:tblGrid>
      <w:tr w14:paraId="282632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7" w:type="pct"/>
            <w:vAlign w:val="center"/>
          </w:tcPr>
          <w:p w14:paraId="4FB7BDF1">
            <w:pPr>
              <w:pStyle w:val="8"/>
              <w:widowControl w:val="0"/>
              <w:spacing w:line="360" w:lineRule="auto"/>
              <w:jc w:val="center"/>
              <w:rPr>
                <w:rFonts w:hint="default" w:asciiTheme="minorEastAsia" w:hAnsiTheme="minorEastAsia"/>
                <w:b/>
                <w:bCs/>
                <w:sz w:val="21"/>
                <w:szCs w:val="21"/>
                <w:lang w:eastAsia="zh-CN"/>
              </w:rPr>
            </w:pPr>
            <w:r>
              <w:rPr>
                <w:rFonts w:asciiTheme="minorEastAsia" w:hAnsiTheme="minorEastAsia"/>
                <w:b/>
                <w:bCs/>
                <w:sz w:val="21"/>
                <w:szCs w:val="21"/>
                <w:lang w:eastAsia="zh-CN"/>
              </w:rPr>
              <w:t>序号</w:t>
            </w:r>
          </w:p>
        </w:tc>
        <w:tc>
          <w:tcPr>
            <w:tcW w:w="1673" w:type="pct"/>
            <w:vAlign w:val="center"/>
          </w:tcPr>
          <w:p w14:paraId="1956885E">
            <w:pPr>
              <w:pStyle w:val="8"/>
              <w:widowControl w:val="0"/>
              <w:spacing w:line="360" w:lineRule="auto"/>
              <w:jc w:val="center"/>
              <w:rPr>
                <w:rFonts w:hint="default" w:asciiTheme="minorEastAsia" w:hAnsiTheme="minorEastAsia"/>
                <w:b/>
                <w:bCs/>
                <w:sz w:val="21"/>
                <w:szCs w:val="21"/>
                <w:lang w:eastAsia="zh-CN"/>
              </w:rPr>
            </w:pPr>
            <w:r>
              <w:rPr>
                <w:rFonts w:asciiTheme="minorEastAsia" w:hAnsiTheme="minorEastAsia"/>
                <w:b/>
                <w:bCs/>
                <w:sz w:val="21"/>
                <w:szCs w:val="21"/>
                <w:lang w:eastAsia="zh-CN"/>
              </w:rPr>
              <w:t>样品名称</w:t>
            </w:r>
          </w:p>
        </w:tc>
        <w:tc>
          <w:tcPr>
            <w:tcW w:w="2163" w:type="pct"/>
            <w:vAlign w:val="center"/>
          </w:tcPr>
          <w:p w14:paraId="028F4A1B">
            <w:pPr>
              <w:pStyle w:val="8"/>
              <w:widowControl w:val="0"/>
              <w:spacing w:line="360" w:lineRule="auto"/>
              <w:jc w:val="center"/>
              <w:rPr>
                <w:rFonts w:hint="default" w:asciiTheme="minorEastAsia" w:hAnsiTheme="minorEastAsia"/>
                <w:b/>
                <w:bCs/>
                <w:sz w:val="21"/>
                <w:szCs w:val="21"/>
                <w:lang w:eastAsia="zh-CN"/>
              </w:rPr>
            </w:pPr>
            <w:r>
              <w:rPr>
                <w:rFonts w:asciiTheme="minorEastAsia" w:hAnsiTheme="minorEastAsia"/>
                <w:b/>
                <w:bCs/>
                <w:sz w:val="21"/>
                <w:szCs w:val="21"/>
                <w:lang w:eastAsia="zh-CN"/>
              </w:rPr>
              <w:t>样品规格</w:t>
            </w:r>
          </w:p>
        </w:tc>
        <w:tc>
          <w:tcPr>
            <w:tcW w:w="776" w:type="pct"/>
            <w:vAlign w:val="center"/>
          </w:tcPr>
          <w:p w14:paraId="75D54965">
            <w:pPr>
              <w:pStyle w:val="8"/>
              <w:widowControl w:val="0"/>
              <w:spacing w:line="360" w:lineRule="auto"/>
              <w:jc w:val="center"/>
              <w:rPr>
                <w:rFonts w:hint="default" w:asciiTheme="minorEastAsia" w:hAnsiTheme="minorEastAsia"/>
                <w:b/>
                <w:bCs/>
                <w:sz w:val="21"/>
                <w:szCs w:val="21"/>
                <w:lang w:eastAsia="zh-CN"/>
              </w:rPr>
            </w:pPr>
            <w:r>
              <w:rPr>
                <w:rFonts w:asciiTheme="minorEastAsia" w:hAnsiTheme="minorEastAsia"/>
                <w:b/>
                <w:bCs/>
                <w:sz w:val="21"/>
                <w:szCs w:val="21"/>
                <w:lang w:eastAsia="zh-CN"/>
              </w:rPr>
              <w:t>样品数量</w:t>
            </w:r>
          </w:p>
        </w:tc>
      </w:tr>
      <w:tr w14:paraId="3BE1CB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7" w:type="pct"/>
            <w:vAlign w:val="center"/>
          </w:tcPr>
          <w:p w14:paraId="399DCDA7">
            <w:pPr>
              <w:pStyle w:val="8"/>
              <w:widowControl w:val="0"/>
              <w:spacing w:line="360" w:lineRule="auto"/>
              <w:jc w:val="center"/>
              <w:rPr>
                <w:rFonts w:hint="default" w:asciiTheme="minorEastAsia" w:hAnsiTheme="minorEastAsia"/>
                <w:sz w:val="21"/>
                <w:szCs w:val="21"/>
                <w:lang w:eastAsia="zh-CN"/>
              </w:rPr>
            </w:pPr>
            <w:r>
              <w:rPr>
                <w:rFonts w:asciiTheme="minorEastAsia" w:hAnsiTheme="minorEastAsia"/>
                <w:sz w:val="21"/>
                <w:szCs w:val="21"/>
                <w:lang w:eastAsia="zh-CN"/>
              </w:rPr>
              <w:t>1</w:t>
            </w:r>
          </w:p>
        </w:tc>
        <w:tc>
          <w:tcPr>
            <w:tcW w:w="1673" w:type="pct"/>
            <w:vAlign w:val="center"/>
          </w:tcPr>
          <w:p w14:paraId="07F08A37">
            <w:pPr>
              <w:pStyle w:val="8"/>
              <w:widowControl w:val="0"/>
              <w:spacing w:line="360" w:lineRule="auto"/>
              <w:jc w:val="center"/>
              <w:rPr>
                <w:rFonts w:hint="default" w:asciiTheme="minorEastAsia" w:hAnsiTheme="minorEastAsia"/>
                <w:sz w:val="21"/>
                <w:szCs w:val="21"/>
                <w:lang w:eastAsia="zh-CN"/>
              </w:rPr>
            </w:pPr>
            <w:r>
              <w:rPr>
                <w:rFonts w:asciiTheme="minorEastAsia" w:hAnsiTheme="minorEastAsia"/>
                <w:sz w:val="21"/>
                <w:szCs w:val="21"/>
              </w:rPr>
              <w:t>热轧槽钢</w:t>
            </w:r>
          </w:p>
        </w:tc>
        <w:tc>
          <w:tcPr>
            <w:tcW w:w="2163" w:type="pct"/>
            <w:shd w:val="clear" w:color="auto" w:fill="auto"/>
            <w:vAlign w:val="center"/>
          </w:tcPr>
          <w:p w14:paraId="2137233A">
            <w:pPr>
              <w:pStyle w:val="4"/>
              <w:widowControl/>
              <w:spacing w:line="429" w:lineRule="atLeast"/>
              <w:rPr>
                <w:rFonts w:hint="eastAsia" w:asciiTheme="minorEastAsia" w:hAnsiTheme="minorEastAsia" w:eastAsiaTheme="minorEastAsia"/>
                <w:kern w:val="0"/>
                <w:sz w:val="21"/>
                <w:szCs w:val="21"/>
                <w:lang w:eastAsia="zh-CN"/>
              </w:rPr>
            </w:pPr>
            <w:r>
              <w:rPr>
                <w:rFonts w:hint="eastAsia" w:asciiTheme="minorEastAsia" w:hAnsiTheme="minorEastAsia"/>
                <w:kern w:val="0"/>
                <w:sz w:val="21"/>
                <w:szCs w:val="21"/>
                <w:lang w:eastAsia="zh-CN"/>
              </w:rPr>
              <w:t>50mm轴向片段（保留完整截面形制，可清晰测量120*53*5.5mm参数）</w:t>
            </w:r>
          </w:p>
        </w:tc>
        <w:tc>
          <w:tcPr>
            <w:tcW w:w="776" w:type="pct"/>
            <w:shd w:val="clear" w:color="auto" w:fill="auto"/>
            <w:vAlign w:val="center"/>
          </w:tcPr>
          <w:p w14:paraId="742B09C0">
            <w:pPr>
              <w:pStyle w:val="8"/>
              <w:widowControl w:val="0"/>
              <w:spacing w:line="360" w:lineRule="auto"/>
              <w:jc w:val="center"/>
              <w:rPr>
                <w:rFonts w:hint="default" w:asciiTheme="minorEastAsia" w:hAnsiTheme="minorEastAsia"/>
                <w:sz w:val="21"/>
                <w:szCs w:val="21"/>
                <w:lang w:eastAsia="zh-CN"/>
              </w:rPr>
            </w:pPr>
            <w:r>
              <w:rPr>
                <w:rFonts w:asciiTheme="minorEastAsia" w:hAnsiTheme="minorEastAsia"/>
                <w:sz w:val="21"/>
                <w:szCs w:val="21"/>
                <w:lang w:eastAsia="zh-CN"/>
              </w:rPr>
              <w:t>1件</w:t>
            </w:r>
          </w:p>
        </w:tc>
      </w:tr>
      <w:tr w14:paraId="0D3251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87" w:type="pct"/>
            <w:vAlign w:val="center"/>
          </w:tcPr>
          <w:p w14:paraId="3EE12694">
            <w:pPr>
              <w:pStyle w:val="8"/>
              <w:widowControl w:val="0"/>
              <w:spacing w:line="360" w:lineRule="auto"/>
              <w:jc w:val="center"/>
              <w:rPr>
                <w:rFonts w:hint="default" w:asciiTheme="minorEastAsia" w:hAnsiTheme="minorEastAsia"/>
                <w:sz w:val="21"/>
                <w:szCs w:val="21"/>
                <w:lang w:eastAsia="zh-CN"/>
              </w:rPr>
            </w:pPr>
            <w:r>
              <w:rPr>
                <w:rFonts w:asciiTheme="minorEastAsia" w:hAnsiTheme="minorEastAsia"/>
                <w:sz w:val="21"/>
                <w:szCs w:val="21"/>
                <w:lang w:eastAsia="zh-CN"/>
              </w:rPr>
              <w:t>2</w:t>
            </w:r>
          </w:p>
        </w:tc>
        <w:tc>
          <w:tcPr>
            <w:tcW w:w="1673" w:type="pct"/>
            <w:vAlign w:val="center"/>
          </w:tcPr>
          <w:p w14:paraId="221C6F82">
            <w:pPr>
              <w:pStyle w:val="8"/>
              <w:widowControl w:val="0"/>
              <w:spacing w:line="360" w:lineRule="auto"/>
              <w:jc w:val="center"/>
              <w:rPr>
                <w:rFonts w:hint="default" w:asciiTheme="minorEastAsia" w:hAnsiTheme="minorEastAsia"/>
                <w:sz w:val="21"/>
                <w:szCs w:val="21"/>
                <w:lang w:eastAsia="zh-CN"/>
              </w:rPr>
            </w:pPr>
            <w:r>
              <w:rPr>
                <w:rFonts w:asciiTheme="minorEastAsia" w:hAnsiTheme="minorEastAsia"/>
                <w:sz w:val="21"/>
                <w:szCs w:val="21"/>
              </w:rPr>
              <w:t>方管</w:t>
            </w:r>
          </w:p>
        </w:tc>
        <w:tc>
          <w:tcPr>
            <w:tcW w:w="2163" w:type="pct"/>
            <w:shd w:val="clear" w:color="auto" w:fill="auto"/>
            <w:vAlign w:val="center"/>
          </w:tcPr>
          <w:p w14:paraId="46A7C45D">
            <w:pPr>
              <w:pStyle w:val="8"/>
              <w:widowControl w:val="0"/>
              <w:spacing w:line="360" w:lineRule="auto"/>
              <w:jc w:val="both"/>
              <w:rPr>
                <w:rFonts w:hint="default" w:asciiTheme="minorEastAsia" w:hAnsiTheme="minorEastAsia"/>
                <w:sz w:val="21"/>
                <w:szCs w:val="21"/>
                <w:lang w:eastAsia="zh-CN"/>
              </w:rPr>
            </w:pPr>
            <w:r>
              <w:rPr>
                <w:rFonts w:hint="default" w:asciiTheme="minorEastAsia" w:hAnsiTheme="minorEastAsia"/>
                <w:sz w:val="21"/>
                <w:szCs w:val="21"/>
              </w:rPr>
              <w:t>30-50mm轴向切割段（含完整100×100×4mm横截面）</w:t>
            </w:r>
          </w:p>
        </w:tc>
        <w:tc>
          <w:tcPr>
            <w:tcW w:w="776" w:type="pct"/>
            <w:shd w:val="clear" w:color="auto" w:fill="auto"/>
            <w:vAlign w:val="center"/>
          </w:tcPr>
          <w:p w14:paraId="0D7C73DC">
            <w:pPr>
              <w:pStyle w:val="8"/>
              <w:widowControl w:val="0"/>
              <w:spacing w:line="360" w:lineRule="auto"/>
              <w:jc w:val="center"/>
              <w:rPr>
                <w:rFonts w:hint="default" w:asciiTheme="minorEastAsia" w:hAnsiTheme="minorEastAsia"/>
                <w:sz w:val="21"/>
                <w:szCs w:val="21"/>
                <w:lang w:eastAsia="zh-CN"/>
              </w:rPr>
            </w:pPr>
            <w:r>
              <w:rPr>
                <w:rFonts w:asciiTheme="minorEastAsia" w:hAnsiTheme="minorEastAsia"/>
                <w:sz w:val="21"/>
                <w:szCs w:val="21"/>
                <w:lang w:eastAsia="zh-CN"/>
              </w:rPr>
              <w:t>1件</w:t>
            </w:r>
          </w:p>
        </w:tc>
      </w:tr>
      <w:tr w14:paraId="04AB73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7" w:type="pct"/>
            <w:vAlign w:val="center"/>
          </w:tcPr>
          <w:p w14:paraId="1F6D705A">
            <w:pPr>
              <w:pStyle w:val="8"/>
              <w:widowControl w:val="0"/>
              <w:spacing w:line="360" w:lineRule="auto"/>
              <w:jc w:val="center"/>
              <w:rPr>
                <w:rFonts w:hint="default" w:asciiTheme="minorEastAsia" w:hAnsiTheme="minorEastAsia"/>
                <w:sz w:val="21"/>
                <w:szCs w:val="21"/>
                <w:lang w:eastAsia="zh-CN"/>
              </w:rPr>
            </w:pPr>
            <w:r>
              <w:rPr>
                <w:rFonts w:asciiTheme="minorEastAsia" w:hAnsiTheme="minorEastAsia"/>
                <w:sz w:val="21"/>
                <w:szCs w:val="21"/>
                <w:lang w:eastAsia="zh-CN"/>
              </w:rPr>
              <w:t>3</w:t>
            </w:r>
          </w:p>
        </w:tc>
        <w:tc>
          <w:tcPr>
            <w:tcW w:w="1673" w:type="pct"/>
            <w:vAlign w:val="center"/>
          </w:tcPr>
          <w:p w14:paraId="5ACD569A">
            <w:pPr>
              <w:pStyle w:val="8"/>
              <w:widowControl w:val="0"/>
              <w:spacing w:line="360" w:lineRule="auto"/>
              <w:jc w:val="center"/>
              <w:rPr>
                <w:rFonts w:hint="default" w:asciiTheme="minorEastAsia" w:hAnsiTheme="minorEastAsia"/>
                <w:sz w:val="21"/>
                <w:szCs w:val="21"/>
                <w:lang w:eastAsia="zh-CN"/>
              </w:rPr>
            </w:pPr>
            <w:r>
              <w:rPr>
                <w:rFonts w:asciiTheme="minorEastAsia" w:hAnsiTheme="minorEastAsia"/>
                <w:sz w:val="21"/>
                <w:szCs w:val="21"/>
              </w:rPr>
              <w:t>防火板</w:t>
            </w:r>
          </w:p>
        </w:tc>
        <w:tc>
          <w:tcPr>
            <w:tcW w:w="2163" w:type="pct"/>
            <w:shd w:val="clear" w:color="auto" w:fill="auto"/>
            <w:vAlign w:val="center"/>
          </w:tcPr>
          <w:p w14:paraId="3AB043EC">
            <w:pPr>
              <w:pStyle w:val="4"/>
              <w:widowControl/>
              <w:spacing w:line="429" w:lineRule="atLeast"/>
              <w:rPr>
                <w:rFonts w:hint="eastAsia" w:asciiTheme="minorEastAsia" w:hAnsiTheme="minorEastAsia" w:eastAsiaTheme="minorEastAsia"/>
                <w:kern w:val="0"/>
                <w:sz w:val="21"/>
                <w:szCs w:val="21"/>
                <w:lang w:eastAsia="zh-CN"/>
              </w:rPr>
            </w:pPr>
            <w:r>
              <w:rPr>
                <w:rFonts w:hint="eastAsia" w:asciiTheme="minorEastAsia" w:hAnsiTheme="minorEastAsia"/>
                <w:kern w:val="0"/>
                <w:sz w:val="21"/>
                <w:szCs w:val="21"/>
                <w:lang w:eastAsia="zh-CN"/>
              </w:rPr>
              <w:t>硅酸钙基层：50×50×18mm（18mm完整厚度切片）</w:t>
            </w:r>
          </w:p>
          <w:p w14:paraId="1513107C">
            <w:pPr>
              <w:pStyle w:val="8"/>
              <w:widowControl w:val="0"/>
              <w:spacing w:line="360" w:lineRule="auto"/>
              <w:jc w:val="both"/>
              <w:rPr>
                <w:rFonts w:hint="default" w:asciiTheme="minorEastAsia" w:hAnsiTheme="minorEastAsia"/>
                <w:sz w:val="21"/>
                <w:szCs w:val="21"/>
                <w:lang w:eastAsia="zh-CN"/>
              </w:rPr>
            </w:pPr>
            <w:r>
              <w:rPr>
                <w:rFonts w:asciiTheme="minorEastAsia" w:hAnsiTheme="minorEastAsia"/>
                <w:sz w:val="21"/>
                <w:szCs w:val="21"/>
                <w:lang w:eastAsia="zh-CN"/>
              </w:rPr>
              <w:t>保温</w:t>
            </w:r>
            <w:r>
              <w:rPr>
                <w:rFonts w:hint="default" w:asciiTheme="minorEastAsia" w:hAnsiTheme="minorEastAsia"/>
                <w:sz w:val="21"/>
                <w:szCs w:val="21"/>
              </w:rPr>
              <w:t>复合夹层：50×50×60mm（</w:t>
            </w:r>
            <w:r>
              <w:rPr>
                <w:rFonts w:asciiTheme="minorEastAsia" w:hAnsiTheme="minorEastAsia"/>
                <w:sz w:val="21"/>
                <w:szCs w:val="21"/>
                <w:lang w:eastAsia="zh-CN"/>
              </w:rPr>
              <w:t>厚度≥</w:t>
            </w:r>
            <w:r>
              <w:rPr>
                <w:rFonts w:hint="default" w:asciiTheme="minorEastAsia" w:hAnsiTheme="minorEastAsia"/>
                <w:sz w:val="21"/>
                <w:szCs w:val="21"/>
              </w:rPr>
              <w:t>60mm</w:t>
            </w:r>
            <w:r>
              <w:rPr>
                <w:rFonts w:asciiTheme="minorEastAsia" w:hAnsiTheme="minorEastAsia"/>
                <w:sz w:val="21"/>
                <w:szCs w:val="21"/>
                <w:lang w:eastAsia="zh-CN"/>
              </w:rPr>
              <w:t>，</w:t>
            </w:r>
            <w:r>
              <w:rPr>
                <w:rFonts w:hint="default" w:asciiTheme="minorEastAsia" w:hAnsiTheme="minorEastAsia"/>
                <w:sz w:val="21"/>
                <w:szCs w:val="21"/>
              </w:rPr>
              <w:t>需含完整岩棉+聚氨酯断面结构）</w:t>
            </w:r>
          </w:p>
        </w:tc>
        <w:tc>
          <w:tcPr>
            <w:tcW w:w="776" w:type="pct"/>
            <w:shd w:val="clear" w:color="auto" w:fill="auto"/>
            <w:vAlign w:val="center"/>
          </w:tcPr>
          <w:p w14:paraId="3E3D5DEC">
            <w:pPr>
              <w:pStyle w:val="8"/>
              <w:widowControl w:val="0"/>
              <w:spacing w:line="360" w:lineRule="auto"/>
              <w:jc w:val="center"/>
              <w:rPr>
                <w:rFonts w:hint="default" w:asciiTheme="minorEastAsia" w:hAnsiTheme="minorEastAsia"/>
                <w:sz w:val="21"/>
                <w:szCs w:val="21"/>
                <w:lang w:eastAsia="zh-CN"/>
              </w:rPr>
            </w:pPr>
            <w:r>
              <w:rPr>
                <w:rFonts w:asciiTheme="minorEastAsia" w:hAnsiTheme="minorEastAsia"/>
                <w:sz w:val="21"/>
                <w:szCs w:val="21"/>
                <w:lang w:eastAsia="zh-CN"/>
              </w:rPr>
              <w:t>1件</w:t>
            </w:r>
          </w:p>
        </w:tc>
      </w:tr>
      <w:tr w14:paraId="6E645D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7" w:type="pct"/>
            <w:vAlign w:val="center"/>
          </w:tcPr>
          <w:p w14:paraId="282CF302">
            <w:pPr>
              <w:pStyle w:val="8"/>
              <w:widowControl w:val="0"/>
              <w:spacing w:line="360" w:lineRule="auto"/>
              <w:jc w:val="center"/>
              <w:rPr>
                <w:rFonts w:hint="default" w:asciiTheme="minorEastAsia" w:hAnsiTheme="minorEastAsia"/>
                <w:sz w:val="21"/>
                <w:szCs w:val="21"/>
                <w:lang w:eastAsia="zh-CN"/>
              </w:rPr>
            </w:pPr>
            <w:r>
              <w:rPr>
                <w:rFonts w:asciiTheme="minorEastAsia" w:hAnsiTheme="minorEastAsia"/>
                <w:sz w:val="21"/>
                <w:szCs w:val="21"/>
                <w:lang w:eastAsia="zh-CN"/>
              </w:rPr>
              <w:t>4</w:t>
            </w:r>
          </w:p>
        </w:tc>
        <w:tc>
          <w:tcPr>
            <w:tcW w:w="1673" w:type="pct"/>
            <w:vAlign w:val="center"/>
          </w:tcPr>
          <w:p w14:paraId="144B84AC">
            <w:pPr>
              <w:pStyle w:val="8"/>
              <w:widowControl w:val="0"/>
              <w:spacing w:line="360" w:lineRule="auto"/>
              <w:jc w:val="center"/>
              <w:rPr>
                <w:rFonts w:hint="default" w:asciiTheme="minorEastAsia" w:hAnsiTheme="minorEastAsia"/>
                <w:sz w:val="21"/>
                <w:szCs w:val="21"/>
                <w:lang w:eastAsia="zh-CN"/>
              </w:rPr>
            </w:pPr>
            <w:r>
              <w:rPr>
                <w:rFonts w:asciiTheme="minorEastAsia" w:hAnsiTheme="minorEastAsia"/>
                <w:sz w:val="21"/>
                <w:szCs w:val="21"/>
              </w:rPr>
              <w:t>组合型交流电源电涌保护器</w:t>
            </w:r>
          </w:p>
        </w:tc>
        <w:tc>
          <w:tcPr>
            <w:tcW w:w="2163" w:type="pct"/>
            <w:shd w:val="clear" w:color="auto" w:fill="auto"/>
            <w:vAlign w:val="center"/>
          </w:tcPr>
          <w:p w14:paraId="0C9E97C5">
            <w:pPr>
              <w:pStyle w:val="8"/>
              <w:widowControl w:val="0"/>
              <w:spacing w:line="360" w:lineRule="auto"/>
              <w:jc w:val="both"/>
              <w:rPr>
                <w:rFonts w:hint="default" w:asciiTheme="minorEastAsia" w:hAnsiTheme="minorEastAsia"/>
                <w:sz w:val="21"/>
                <w:szCs w:val="21"/>
                <w:lang w:eastAsia="zh-CN"/>
              </w:rPr>
            </w:pPr>
            <w:r>
              <w:rPr>
                <w:rFonts w:hint="default" w:asciiTheme="minorEastAsia" w:hAnsiTheme="minorEastAsia"/>
                <w:sz w:val="21"/>
                <w:szCs w:val="21"/>
              </w:rPr>
              <w:t>组合型交流电源电涌保护器</w:t>
            </w:r>
          </w:p>
        </w:tc>
        <w:tc>
          <w:tcPr>
            <w:tcW w:w="776" w:type="pct"/>
            <w:shd w:val="clear" w:color="auto" w:fill="auto"/>
            <w:vAlign w:val="center"/>
          </w:tcPr>
          <w:p w14:paraId="3C1A1A61">
            <w:pPr>
              <w:pStyle w:val="8"/>
              <w:widowControl w:val="0"/>
              <w:spacing w:line="360" w:lineRule="auto"/>
              <w:jc w:val="center"/>
              <w:rPr>
                <w:rFonts w:hint="default" w:asciiTheme="minorEastAsia" w:hAnsiTheme="minorEastAsia"/>
                <w:sz w:val="21"/>
                <w:szCs w:val="21"/>
                <w:lang w:eastAsia="zh-CN"/>
              </w:rPr>
            </w:pPr>
            <w:r>
              <w:rPr>
                <w:rFonts w:asciiTheme="minorEastAsia" w:hAnsiTheme="minorEastAsia"/>
                <w:sz w:val="21"/>
                <w:szCs w:val="21"/>
                <w:lang w:eastAsia="zh-CN"/>
              </w:rPr>
              <w:t>1套</w:t>
            </w:r>
          </w:p>
        </w:tc>
      </w:tr>
      <w:tr w14:paraId="2251E4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7" w:type="pct"/>
            <w:vAlign w:val="center"/>
          </w:tcPr>
          <w:p w14:paraId="50F9F6CF">
            <w:pPr>
              <w:pStyle w:val="8"/>
              <w:widowControl w:val="0"/>
              <w:spacing w:line="360" w:lineRule="auto"/>
              <w:jc w:val="center"/>
              <w:rPr>
                <w:rFonts w:hint="default" w:asciiTheme="minorEastAsia" w:hAnsiTheme="minorEastAsia"/>
                <w:sz w:val="21"/>
                <w:szCs w:val="21"/>
                <w:lang w:eastAsia="zh-CN"/>
              </w:rPr>
            </w:pPr>
            <w:r>
              <w:rPr>
                <w:rFonts w:asciiTheme="minorEastAsia" w:hAnsiTheme="minorEastAsia"/>
                <w:sz w:val="21"/>
                <w:szCs w:val="21"/>
                <w:lang w:eastAsia="zh-CN"/>
              </w:rPr>
              <w:t>5</w:t>
            </w:r>
          </w:p>
        </w:tc>
        <w:tc>
          <w:tcPr>
            <w:tcW w:w="1673" w:type="pct"/>
            <w:vAlign w:val="center"/>
          </w:tcPr>
          <w:p w14:paraId="0BE998E3">
            <w:pPr>
              <w:pStyle w:val="8"/>
              <w:widowControl w:val="0"/>
              <w:spacing w:line="360" w:lineRule="auto"/>
              <w:jc w:val="center"/>
              <w:rPr>
                <w:rFonts w:hint="default" w:asciiTheme="minorEastAsia" w:hAnsiTheme="minorEastAsia"/>
                <w:sz w:val="21"/>
                <w:szCs w:val="21"/>
              </w:rPr>
            </w:pPr>
            <w:r>
              <w:rPr>
                <w:rFonts w:asciiTheme="minorEastAsia" w:hAnsiTheme="minorEastAsia"/>
                <w:sz w:val="21"/>
                <w:szCs w:val="21"/>
              </w:rPr>
              <w:t>电动推杆</w:t>
            </w:r>
          </w:p>
        </w:tc>
        <w:tc>
          <w:tcPr>
            <w:tcW w:w="2163" w:type="pct"/>
            <w:shd w:val="clear" w:color="auto" w:fill="auto"/>
            <w:vAlign w:val="center"/>
          </w:tcPr>
          <w:p w14:paraId="2ED0EEEF">
            <w:pPr>
              <w:pStyle w:val="8"/>
              <w:widowControl w:val="0"/>
              <w:spacing w:line="360" w:lineRule="auto"/>
              <w:jc w:val="both"/>
              <w:rPr>
                <w:rFonts w:hint="default" w:asciiTheme="minorEastAsia" w:hAnsiTheme="minorEastAsia"/>
                <w:sz w:val="21"/>
                <w:szCs w:val="21"/>
                <w:lang w:eastAsia="zh-CN"/>
              </w:rPr>
            </w:pPr>
            <w:r>
              <w:rPr>
                <w:rFonts w:asciiTheme="minorEastAsia" w:hAnsiTheme="minorEastAsia"/>
                <w:sz w:val="21"/>
                <w:szCs w:val="21"/>
              </w:rPr>
              <w:t>电动推杆</w:t>
            </w:r>
          </w:p>
        </w:tc>
        <w:tc>
          <w:tcPr>
            <w:tcW w:w="776" w:type="pct"/>
            <w:shd w:val="clear" w:color="auto" w:fill="auto"/>
            <w:vAlign w:val="center"/>
          </w:tcPr>
          <w:p w14:paraId="38445971">
            <w:pPr>
              <w:pStyle w:val="8"/>
              <w:widowControl w:val="0"/>
              <w:spacing w:line="360" w:lineRule="auto"/>
              <w:jc w:val="center"/>
              <w:rPr>
                <w:rFonts w:hint="default" w:asciiTheme="minorEastAsia" w:hAnsiTheme="minorEastAsia"/>
                <w:sz w:val="21"/>
                <w:szCs w:val="21"/>
                <w:lang w:eastAsia="zh-CN"/>
              </w:rPr>
            </w:pPr>
            <w:r>
              <w:rPr>
                <w:rFonts w:asciiTheme="minorEastAsia" w:hAnsiTheme="minorEastAsia"/>
                <w:sz w:val="21"/>
                <w:szCs w:val="21"/>
                <w:lang w:eastAsia="zh-CN"/>
              </w:rPr>
              <w:t>1套</w:t>
            </w:r>
          </w:p>
        </w:tc>
      </w:tr>
      <w:tr w14:paraId="550D05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87" w:type="pct"/>
            <w:vAlign w:val="center"/>
          </w:tcPr>
          <w:p w14:paraId="70A2286A">
            <w:pPr>
              <w:pStyle w:val="8"/>
              <w:widowControl w:val="0"/>
              <w:spacing w:line="360" w:lineRule="auto"/>
              <w:jc w:val="center"/>
              <w:rPr>
                <w:rFonts w:hint="default" w:asciiTheme="minorEastAsia" w:hAnsiTheme="minorEastAsia"/>
                <w:sz w:val="21"/>
                <w:szCs w:val="21"/>
                <w:lang w:eastAsia="zh-CN"/>
              </w:rPr>
            </w:pPr>
            <w:r>
              <w:rPr>
                <w:rFonts w:asciiTheme="minorEastAsia" w:hAnsiTheme="minorEastAsia"/>
                <w:sz w:val="21"/>
                <w:szCs w:val="21"/>
                <w:lang w:eastAsia="zh-CN"/>
              </w:rPr>
              <w:t>6</w:t>
            </w:r>
          </w:p>
        </w:tc>
        <w:tc>
          <w:tcPr>
            <w:tcW w:w="1673" w:type="pct"/>
            <w:vAlign w:val="center"/>
          </w:tcPr>
          <w:p w14:paraId="4E76C0ED">
            <w:pPr>
              <w:pStyle w:val="8"/>
              <w:widowControl w:val="0"/>
              <w:spacing w:line="360" w:lineRule="auto"/>
              <w:jc w:val="center"/>
              <w:rPr>
                <w:rFonts w:hint="default" w:asciiTheme="minorEastAsia" w:hAnsiTheme="minorEastAsia"/>
                <w:sz w:val="21"/>
                <w:szCs w:val="21"/>
              </w:rPr>
            </w:pPr>
            <w:r>
              <w:rPr>
                <w:rFonts w:asciiTheme="minorEastAsia" w:hAnsiTheme="minorEastAsia"/>
                <w:sz w:val="21"/>
                <w:szCs w:val="21"/>
              </w:rPr>
              <w:t>304不锈钢</w:t>
            </w:r>
          </w:p>
        </w:tc>
        <w:tc>
          <w:tcPr>
            <w:tcW w:w="2163" w:type="pct"/>
            <w:shd w:val="clear" w:color="auto" w:fill="auto"/>
            <w:vAlign w:val="center"/>
          </w:tcPr>
          <w:p w14:paraId="25E0AC22">
            <w:pPr>
              <w:pStyle w:val="8"/>
              <w:widowControl w:val="0"/>
              <w:spacing w:line="360" w:lineRule="auto"/>
              <w:jc w:val="both"/>
              <w:rPr>
                <w:rFonts w:hint="default" w:asciiTheme="minorEastAsia" w:hAnsiTheme="minorEastAsia"/>
                <w:sz w:val="21"/>
                <w:szCs w:val="21"/>
                <w:lang w:eastAsia="zh-CN"/>
              </w:rPr>
            </w:pPr>
            <w:r>
              <w:rPr>
                <w:rFonts w:hint="default" w:asciiTheme="minorEastAsia" w:hAnsiTheme="minorEastAsia"/>
                <w:sz w:val="21"/>
                <w:szCs w:val="21"/>
                <w:lang w:eastAsia="zh-CN"/>
              </w:rPr>
              <w:t>板材试片 30</w:t>
            </w:r>
            <w:r>
              <w:rPr>
                <w:rFonts w:asciiTheme="minorEastAsia" w:hAnsiTheme="minorEastAsia"/>
                <w:sz w:val="21"/>
                <w:szCs w:val="21"/>
                <w:lang w:eastAsia="zh-CN"/>
              </w:rPr>
              <w:t>0</w:t>
            </w:r>
            <w:r>
              <w:rPr>
                <w:rFonts w:hint="default" w:asciiTheme="minorEastAsia" w:hAnsiTheme="minorEastAsia"/>
                <w:sz w:val="21"/>
                <w:szCs w:val="21"/>
                <w:lang w:eastAsia="zh-CN"/>
              </w:rPr>
              <w:t>×3</w:t>
            </w:r>
            <w:r>
              <w:rPr>
                <w:rFonts w:asciiTheme="minorEastAsia" w:hAnsiTheme="minorEastAsia"/>
                <w:sz w:val="21"/>
                <w:szCs w:val="21"/>
                <w:lang w:eastAsia="zh-CN"/>
              </w:rPr>
              <w:t>0</w:t>
            </w:r>
            <w:r>
              <w:rPr>
                <w:rFonts w:hint="default" w:asciiTheme="minorEastAsia" w:hAnsiTheme="minorEastAsia"/>
                <w:sz w:val="21"/>
                <w:szCs w:val="21"/>
                <w:lang w:eastAsia="zh-CN"/>
              </w:rPr>
              <w:t>0mm（保留原厂轧制纹路及材质标识）</w:t>
            </w:r>
          </w:p>
        </w:tc>
        <w:tc>
          <w:tcPr>
            <w:tcW w:w="776" w:type="pct"/>
            <w:shd w:val="clear" w:color="auto" w:fill="auto"/>
            <w:vAlign w:val="center"/>
          </w:tcPr>
          <w:p w14:paraId="441A86B4">
            <w:pPr>
              <w:pStyle w:val="8"/>
              <w:widowControl w:val="0"/>
              <w:spacing w:line="360" w:lineRule="auto"/>
              <w:jc w:val="center"/>
              <w:rPr>
                <w:rFonts w:hint="default" w:asciiTheme="minorEastAsia" w:hAnsiTheme="minorEastAsia"/>
                <w:sz w:val="21"/>
                <w:szCs w:val="21"/>
                <w:lang w:eastAsia="zh-CN"/>
              </w:rPr>
            </w:pPr>
            <w:r>
              <w:rPr>
                <w:rFonts w:asciiTheme="minorEastAsia" w:hAnsiTheme="minorEastAsia"/>
                <w:sz w:val="21"/>
                <w:szCs w:val="21"/>
                <w:lang w:eastAsia="zh-CN"/>
              </w:rPr>
              <w:t>1套</w:t>
            </w:r>
          </w:p>
        </w:tc>
      </w:tr>
    </w:tbl>
    <w:p w14:paraId="085C2207">
      <w:pPr>
        <w:pStyle w:val="8"/>
        <w:spacing w:line="360" w:lineRule="auto"/>
        <w:ind w:firstLine="420" w:firstLineChars="200"/>
        <w:rPr>
          <w:rFonts w:hint="default" w:asciiTheme="minorEastAsia" w:hAnsiTheme="minorEastAsia"/>
          <w:sz w:val="21"/>
          <w:szCs w:val="21"/>
        </w:rPr>
      </w:pPr>
      <w:r>
        <w:rPr>
          <w:rFonts w:asciiTheme="minorEastAsia" w:hAnsiTheme="minorEastAsia"/>
          <w:sz w:val="21"/>
          <w:szCs w:val="21"/>
        </w:rPr>
        <w:t>（</w:t>
      </w:r>
      <w:r>
        <w:rPr>
          <w:rFonts w:asciiTheme="minorEastAsia" w:hAnsiTheme="minorEastAsia"/>
          <w:sz w:val="21"/>
          <w:szCs w:val="21"/>
          <w:lang w:eastAsia="zh-CN"/>
        </w:rPr>
        <w:t>4</w:t>
      </w:r>
      <w:r>
        <w:rPr>
          <w:rFonts w:asciiTheme="minorEastAsia" w:hAnsiTheme="minorEastAsia"/>
          <w:sz w:val="21"/>
          <w:szCs w:val="21"/>
        </w:rPr>
        <w:t>）请投标人根据</w:t>
      </w:r>
      <w:r>
        <w:rPr>
          <w:rFonts w:asciiTheme="minorEastAsia" w:hAnsiTheme="minorEastAsia"/>
          <w:sz w:val="21"/>
          <w:szCs w:val="21"/>
          <w:lang w:eastAsia="zh-CN"/>
        </w:rPr>
        <w:t>展</w:t>
      </w:r>
      <w:r>
        <w:rPr>
          <w:rFonts w:asciiTheme="minorEastAsia" w:hAnsiTheme="minorEastAsia"/>
          <w:sz w:val="21"/>
          <w:szCs w:val="21"/>
        </w:rPr>
        <w:t>示要求自行准备相关</w:t>
      </w:r>
      <w:r>
        <w:rPr>
          <w:rFonts w:asciiTheme="minorEastAsia" w:hAnsiTheme="minorEastAsia"/>
          <w:sz w:val="21"/>
          <w:szCs w:val="21"/>
          <w:lang w:eastAsia="zh-CN"/>
        </w:rPr>
        <w:t>展</w:t>
      </w:r>
      <w:r>
        <w:rPr>
          <w:rFonts w:asciiTheme="minorEastAsia" w:hAnsiTheme="minorEastAsia"/>
          <w:sz w:val="21"/>
          <w:szCs w:val="21"/>
        </w:rPr>
        <w:t>示所需的样品，所递交的样品需贴好标识（标识内容应包括投标人名称、项目名称、项目编号、“样品</w:t>
      </w:r>
      <w:r>
        <w:rPr>
          <w:rFonts w:asciiTheme="minorEastAsia" w:hAnsiTheme="minorEastAsia"/>
          <w:sz w:val="21"/>
          <w:szCs w:val="21"/>
          <w:lang w:eastAsia="zh-CN"/>
        </w:rPr>
        <w:t>名称</w:t>
      </w:r>
      <w:r>
        <w:rPr>
          <w:rFonts w:asciiTheme="minorEastAsia" w:hAnsiTheme="minorEastAsia"/>
          <w:sz w:val="21"/>
          <w:szCs w:val="21"/>
        </w:rPr>
        <w:t>”等）。</w:t>
      </w:r>
    </w:p>
    <w:p w14:paraId="51921F6A">
      <w:pPr>
        <w:pStyle w:val="8"/>
        <w:spacing w:line="360" w:lineRule="auto"/>
        <w:ind w:firstLine="420" w:firstLineChars="200"/>
        <w:jc w:val="both"/>
        <w:rPr>
          <w:rFonts w:hint="default" w:asciiTheme="minorEastAsia" w:hAnsiTheme="minorEastAsia"/>
          <w:sz w:val="21"/>
          <w:szCs w:val="21"/>
        </w:rPr>
      </w:pPr>
      <w:r>
        <w:rPr>
          <w:rFonts w:asciiTheme="minorEastAsia" w:hAnsiTheme="minorEastAsia"/>
          <w:sz w:val="21"/>
          <w:szCs w:val="21"/>
        </w:rPr>
        <w:t>（</w:t>
      </w:r>
      <w:r>
        <w:rPr>
          <w:rFonts w:asciiTheme="minorEastAsia" w:hAnsiTheme="minorEastAsia"/>
          <w:sz w:val="21"/>
          <w:szCs w:val="21"/>
          <w:lang w:eastAsia="zh-CN"/>
        </w:rPr>
        <w:t>5</w:t>
      </w:r>
      <w:r>
        <w:rPr>
          <w:rFonts w:asciiTheme="minorEastAsia" w:hAnsiTheme="minorEastAsia"/>
          <w:sz w:val="21"/>
          <w:szCs w:val="21"/>
        </w:rPr>
        <w:t>）采购活动结束后，采购人视情况将对中标人的样品进行封存，作为货物验收的依据。未中标人应在在采购代理机构通知领取之日起7天内领回未中标样品，由未中标人自行到采购代理机构处凭授权书及领取人有效身份证明领取，逾期不领取的视为自动放弃投标样品，由采购代理机构自行处理。</w:t>
      </w:r>
    </w:p>
    <w:p w14:paraId="1F5CF5A0">
      <w:pPr>
        <w:widowControl/>
        <w:jc w:val="left"/>
        <w:rPr>
          <w:rFonts w:ascii="宋体" w:hAnsi="宋体" w:cs="宋体"/>
          <w:b/>
          <w:sz w:val="24"/>
        </w:rPr>
      </w:pPr>
    </w:p>
    <w:p w14:paraId="11BF8CDD">
      <w:pPr>
        <w:widowControl/>
        <w:jc w:val="left"/>
        <w:rPr>
          <w:rFonts w:ascii="宋体" w:hAnsi="宋体" w:cs="宋体"/>
          <w:b/>
          <w:sz w:val="24"/>
        </w:rPr>
      </w:pPr>
      <w:r>
        <w:rPr>
          <w:rFonts w:hint="eastAsia" w:ascii="宋体" w:hAnsi="宋体" w:cs="宋体"/>
          <w:b/>
          <w:sz w:val="24"/>
        </w:rPr>
        <w:t>七、产品质量</w:t>
      </w:r>
      <w:r>
        <w:rPr>
          <w:rFonts w:ascii="宋体" w:hAnsi="宋体" w:cs="宋体"/>
          <w:b/>
          <w:sz w:val="24"/>
        </w:rPr>
        <w:t>要求</w:t>
      </w:r>
    </w:p>
    <w:p w14:paraId="3DBB50F3">
      <w:pPr>
        <w:spacing w:line="360" w:lineRule="auto"/>
        <w:ind w:firstLine="420" w:firstLineChars="200"/>
        <w:jc w:val="left"/>
        <w:outlineLvl w:val="0"/>
        <w:rPr>
          <w:rFonts w:ascii="宋体" w:hAnsi="宋体" w:cs="Calibri"/>
          <w:szCs w:val="21"/>
        </w:rPr>
      </w:pPr>
      <w:r>
        <w:rPr>
          <w:rFonts w:hint="eastAsia" w:ascii="宋体" w:hAnsi="宋体" w:cs="Calibri"/>
          <w:szCs w:val="21"/>
        </w:rPr>
        <w:t>1、产品及</w:t>
      </w:r>
      <w:r>
        <w:rPr>
          <w:rFonts w:ascii="宋体" w:hAnsi="宋体" w:cs="Calibri"/>
          <w:szCs w:val="21"/>
        </w:rPr>
        <w:t>配件设计和供货安装需执行标准，包括但不仅限于以下规范和行业标准</w:t>
      </w:r>
      <w:r>
        <w:rPr>
          <w:rFonts w:hint="eastAsia" w:ascii="宋体" w:hAnsi="宋体" w:cs="Calibri"/>
          <w:szCs w:val="21"/>
        </w:rPr>
        <w:t>（各项规范或标准如有最新版本，以最新版本为准）</w:t>
      </w:r>
      <w:r>
        <w:rPr>
          <w:rFonts w:ascii="宋体" w:hAnsi="宋体" w:cs="Calibri"/>
          <w:szCs w:val="21"/>
        </w:rPr>
        <w:t>：</w:t>
      </w:r>
    </w:p>
    <w:p w14:paraId="561D564A">
      <w:pPr>
        <w:spacing w:line="360" w:lineRule="auto"/>
        <w:ind w:firstLine="420" w:firstLineChars="200"/>
        <w:jc w:val="left"/>
        <w:outlineLvl w:val="0"/>
        <w:rPr>
          <w:rFonts w:ascii="宋体" w:hAnsi="宋体" w:cs="Calibri"/>
          <w:szCs w:val="21"/>
        </w:rPr>
      </w:pPr>
      <w:r>
        <w:rPr>
          <w:rFonts w:ascii="宋体" w:hAnsi="宋体" w:cs="Calibri"/>
          <w:szCs w:val="21"/>
        </w:rPr>
        <w:t>1.1《</w:t>
      </w:r>
      <w:r>
        <w:rPr>
          <w:rFonts w:hint="eastAsia" w:ascii="宋体" w:hAnsi="宋体" w:cs="Calibri"/>
          <w:szCs w:val="21"/>
        </w:rPr>
        <w:t>城市户外广告设施技术规范</w:t>
      </w:r>
      <w:r>
        <w:rPr>
          <w:rFonts w:ascii="宋体" w:hAnsi="宋体" w:cs="Calibri"/>
          <w:szCs w:val="21"/>
        </w:rPr>
        <w:t>》</w:t>
      </w:r>
      <w:r>
        <w:rPr>
          <w:rFonts w:hint="eastAsia" w:ascii="宋体" w:hAnsi="宋体" w:cs="Calibri"/>
          <w:szCs w:val="21"/>
        </w:rPr>
        <w:t>CJJ149-2010</w:t>
      </w:r>
    </w:p>
    <w:p w14:paraId="3E8430D2">
      <w:pPr>
        <w:spacing w:line="360" w:lineRule="auto"/>
        <w:ind w:firstLine="420" w:firstLineChars="200"/>
        <w:jc w:val="left"/>
        <w:outlineLvl w:val="0"/>
        <w:rPr>
          <w:rFonts w:ascii="宋体" w:hAnsi="宋体" w:cs="Calibri"/>
          <w:szCs w:val="21"/>
        </w:rPr>
      </w:pPr>
      <w:r>
        <w:rPr>
          <w:rFonts w:ascii="宋体" w:hAnsi="宋体" w:cs="Calibri"/>
          <w:szCs w:val="21"/>
        </w:rPr>
        <w:t>1.2《</w:t>
      </w:r>
      <w:r>
        <w:rPr>
          <w:rFonts w:hint="eastAsia" w:ascii="宋体" w:hAnsi="宋体" w:cs="Calibri"/>
          <w:szCs w:val="21"/>
        </w:rPr>
        <w:t>户外广告设施钢结构技术规程</w:t>
      </w:r>
      <w:r>
        <w:rPr>
          <w:rFonts w:ascii="宋体" w:hAnsi="宋体" w:cs="Calibri"/>
          <w:szCs w:val="21"/>
        </w:rPr>
        <w:t>》</w:t>
      </w:r>
      <w:r>
        <w:rPr>
          <w:rFonts w:hint="eastAsia" w:ascii="宋体" w:hAnsi="宋体" w:cs="Calibri"/>
          <w:szCs w:val="21"/>
        </w:rPr>
        <w:t>CECS 148</w:t>
      </w:r>
      <w:r>
        <w:rPr>
          <w:rFonts w:ascii="宋体" w:hAnsi="宋体" w:cs="Calibri"/>
          <w:szCs w:val="21"/>
        </w:rPr>
        <w:t>-</w:t>
      </w:r>
      <w:r>
        <w:rPr>
          <w:rFonts w:hint="eastAsia" w:ascii="宋体" w:hAnsi="宋体" w:cs="Calibri"/>
          <w:szCs w:val="21"/>
        </w:rPr>
        <w:t>2003</w:t>
      </w:r>
    </w:p>
    <w:p w14:paraId="7051BD41">
      <w:pPr>
        <w:spacing w:line="360" w:lineRule="auto"/>
        <w:ind w:firstLine="420" w:firstLineChars="200"/>
        <w:jc w:val="left"/>
        <w:outlineLvl w:val="0"/>
        <w:rPr>
          <w:rFonts w:ascii="宋体" w:hAnsi="宋体" w:cs="Calibri"/>
          <w:szCs w:val="21"/>
        </w:rPr>
      </w:pPr>
      <w:r>
        <w:rPr>
          <w:rFonts w:ascii="宋体" w:hAnsi="宋体" w:cs="Calibri"/>
          <w:szCs w:val="21"/>
        </w:rPr>
        <w:t>1.3《</w:t>
      </w:r>
      <w:r>
        <w:rPr>
          <w:rFonts w:hint="eastAsia" w:ascii="宋体" w:hAnsi="宋体" w:cs="Calibri"/>
          <w:szCs w:val="21"/>
        </w:rPr>
        <w:t>城市户外广告设施巡检监管信息系统</w:t>
      </w:r>
      <w:r>
        <w:rPr>
          <w:rFonts w:ascii="宋体" w:hAnsi="宋体" w:cs="Calibri"/>
          <w:szCs w:val="21"/>
        </w:rPr>
        <w:t>》</w:t>
      </w:r>
      <w:r>
        <w:rPr>
          <w:rFonts w:hint="eastAsia" w:ascii="宋体" w:hAnsi="宋体" w:cs="Calibri"/>
          <w:szCs w:val="21"/>
        </w:rPr>
        <w:t>CJ/T 532-2018</w:t>
      </w:r>
    </w:p>
    <w:p w14:paraId="0AD66612">
      <w:pPr>
        <w:spacing w:line="360" w:lineRule="auto"/>
        <w:ind w:firstLine="420" w:firstLineChars="200"/>
        <w:jc w:val="left"/>
        <w:outlineLvl w:val="0"/>
        <w:rPr>
          <w:rFonts w:ascii="宋体" w:hAnsi="宋体" w:cs="Calibri"/>
          <w:szCs w:val="21"/>
        </w:rPr>
      </w:pPr>
      <w:r>
        <w:rPr>
          <w:rFonts w:ascii="宋体" w:hAnsi="宋体" w:cs="Calibri"/>
          <w:szCs w:val="21"/>
        </w:rPr>
        <w:t xml:space="preserve">1.4 </w:t>
      </w:r>
      <w:r>
        <w:rPr>
          <w:rFonts w:hint="eastAsia" w:ascii="宋体" w:hAnsi="宋体" w:cs="Calibri"/>
          <w:szCs w:val="21"/>
        </w:rPr>
        <w:t>《城市居住区规划设计规范》GB50180-93（2022年版）</w:t>
      </w:r>
    </w:p>
    <w:p w14:paraId="5E1672F7">
      <w:pPr>
        <w:spacing w:line="360" w:lineRule="auto"/>
        <w:ind w:firstLine="420" w:firstLineChars="200"/>
        <w:jc w:val="left"/>
        <w:outlineLvl w:val="0"/>
        <w:rPr>
          <w:rFonts w:ascii="宋体" w:hAnsi="宋体" w:cs="Calibri"/>
          <w:szCs w:val="21"/>
        </w:rPr>
      </w:pPr>
      <w:r>
        <w:rPr>
          <w:rFonts w:ascii="宋体" w:hAnsi="宋体" w:cs="Calibri"/>
          <w:szCs w:val="21"/>
        </w:rPr>
        <w:t xml:space="preserve">1.5 </w:t>
      </w:r>
      <w:r>
        <w:rPr>
          <w:rFonts w:hint="eastAsia" w:ascii="宋体" w:hAnsi="宋体" w:cs="Calibri"/>
          <w:szCs w:val="21"/>
        </w:rPr>
        <w:t>《民用建筑电气设计标准》GB51348-2019</w:t>
      </w:r>
    </w:p>
    <w:p w14:paraId="1E4550F0">
      <w:pPr>
        <w:spacing w:line="360" w:lineRule="auto"/>
        <w:ind w:firstLine="420" w:firstLineChars="200"/>
        <w:jc w:val="left"/>
        <w:outlineLvl w:val="0"/>
        <w:rPr>
          <w:rFonts w:ascii="宋体" w:hAnsi="宋体" w:cs="Calibri"/>
          <w:szCs w:val="21"/>
        </w:rPr>
      </w:pPr>
      <w:r>
        <w:rPr>
          <w:rFonts w:ascii="宋体" w:hAnsi="宋体" w:cs="Calibri"/>
          <w:szCs w:val="21"/>
        </w:rPr>
        <w:t xml:space="preserve">1.6 </w:t>
      </w:r>
      <w:r>
        <w:rPr>
          <w:rFonts w:hint="eastAsia" w:ascii="宋体" w:hAnsi="宋体" w:cs="Calibri"/>
          <w:szCs w:val="21"/>
        </w:rPr>
        <w:t>《建筑照明设计标准》GB50034-2024</w:t>
      </w:r>
    </w:p>
    <w:p w14:paraId="643ECD8B">
      <w:pPr>
        <w:spacing w:line="360" w:lineRule="auto"/>
        <w:ind w:firstLine="420" w:firstLineChars="200"/>
        <w:jc w:val="left"/>
        <w:outlineLvl w:val="0"/>
        <w:rPr>
          <w:rFonts w:ascii="宋体" w:hAnsi="宋体" w:cs="Calibri"/>
          <w:szCs w:val="21"/>
        </w:rPr>
      </w:pPr>
      <w:r>
        <w:rPr>
          <w:rFonts w:ascii="宋体" w:hAnsi="宋体" w:cs="Calibri"/>
          <w:szCs w:val="21"/>
        </w:rPr>
        <w:t xml:space="preserve">1.7 </w:t>
      </w:r>
      <w:r>
        <w:rPr>
          <w:rFonts w:hint="eastAsia" w:ascii="宋体" w:hAnsi="宋体" w:cs="Calibri"/>
          <w:szCs w:val="21"/>
        </w:rPr>
        <w:t>《低压配电设计标准》GB50054-2023</w:t>
      </w:r>
    </w:p>
    <w:p w14:paraId="58603CD7">
      <w:pPr>
        <w:spacing w:line="360" w:lineRule="auto"/>
        <w:ind w:firstLine="420" w:firstLineChars="200"/>
        <w:jc w:val="left"/>
        <w:outlineLvl w:val="0"/>
        <w:rPr>
          <w:rFonts w:ascii="宋体" w:hAnsi="宋体" w:cs="Calibri"/>
          <w:szCs w:val="21"/>
        </w:rPr>
      </w:pPr>
      <w:r>
        <w:rPr>
          <w:rFonts w:ascii="宋体" w:hAnsi="宋体" w:cs="Calibri"/>
          <w:szCs w:val="21"/>
        </w:rPr>
        <w:t xml:space="preserve">1.8 </w:t>
      </w:r>
      <w:r>
        <w:rPr>
          <w:rFonts w:hint="eastAsia" w:ascii="宋体" w:hAnsi="宋体" w:cs="Calibri"/>
          <w:szCs w:val="21"/>
        </w:rPr>
        <w:t>《建筑物防雷设计规范》GB50057-94(2000年版)</w:t>
      </w:r>
    </w:p>
    <w:p w14:paraId="7F0ADACB">
      <w:pPr>
        <w:spacing w:line="360" w:lineRule="auto"/>
        <w:ind w:firstLine="420" w:firstLineChars="200"/>
        <w:jc w:val="left"/>
        <w:outlineLvl w:val="0"/>
        <w:rPr>
          <w:rFonts w:ascii="宋体" w:hAnsi="宋体" w:cs="Calibri"/>
          <w:szCs w:val="21"/>
        </w:rPr>
      </w:pPr>
      <w:r>
        <w:rPr>
          <w:rFonts w:ascii="宋体" w:hAnsi="宋体" w:cs="Calibri"/>
          <w:szCs w:val="21"/>
        </w:rPr>
        <w:t xml:space="preserve">1.9 </w:t>
      </w:r>
      <w:r>
        <w:rPr>
          <w:rFonts w:hint="eastAsia" w:ascii="宋体" w:hAnsi="宋体" w:cs="Calibri"/>
          <w:szCs w:val="21"/>
        </w:rPr>
        <w:t>《建筑钢结构焊接技术规程》JGJ81-2019</w:t>
      </w:r>
    </w:p>
    <w:p w14:paraId="5E78A404">
      <w:pPr>
        <w:spacing w:line="360" w:lineRule="auto"/>
        <w:ind w:firstLine="420" w:firstLineChars="200"/>
        <w:jc w:val="left"/>
        <w:outlineLvl w:val="0"/>
        <w:rPr>
          <w:rFonts w:ascii="宋体" w:hAnsi="宋体" w:cs="Calibri"/>
          <w:szCs w:val="21"/>
        </w:rPr>
      </w:pPr>
      <w:r>
        <w:rPr>
          <w:rFonts w:ascii="宋体" w:hAnsi="宋体" w:cs="Calibri"/>
          <w:szCs w:val="21"/>
        </w:rPr>
        <w:t>1.10</w:t>
      </w:r>
      <w:r>
        <w:rPr>
          <w:rFonts w:hint="eastAsia" w:ascii="宋体" w:hAnsi="宋体" w:cs="Calibri"/>
          <w:szCs w:val="21"/>
        </w:rPr>
        <w:t>《钢结构工程施工质量验收规范》GB50205-2020</w:t>
      </w:r>
    </w:p>
    <w:p w14:paraId="55391A79">
      <w:pPr>
        <w:spacing w:line="360" w:lineRule="auto"/>
        <w:ind w:firstLine="420" w:firstLineChars="200"/>
        <w:jc w:val="left"/>
        <w:outlineLvl w:val="0"/>
        <w:rPr>
          <w:rFonts w:ascii="宋体" w:hAnsi="宋体" w:cs="Calibri"/>
          <w:szCs w:val="21"/>
        </w:rPr>
      </w:pPr>
      <w:r>
        <w:rPr>
          <w:rFonts w:ascii="宋体" w:hAnsi="宋体" w:cs="Calibri"/>
          <w:szCs w:val="21"/>
        </w:rPr>
        <w:t>1.11</w:t>
      </w:r>
      <w:r>
        <w:rPr>
          <w:rFonts w:hint="eastAsia" w:ascii="宋体" w:hAnsi="宋体" w:cs="Calibri"/>
          <w:szCs w:val="21"/>
        </w:rPr>
        <w:t>《建筑电气工程施工质量验收规范》GB50303-2015</w:t>
      </w:r>
    </w:p>
    <w:p w14:paraId="0AB978D0">
      <w:pPr>
        <w:spacing w:line="360" w:lineRule="auto"/>
        <w:ind w:firstLine="420" w:firstLineChars="200"/>
        <w:jc w:val="left"/>
        <w:outlineLvl w:val="0"/>
        <w:rPr>
          <w:rFonts w:ascii="宋体" w:hAnsi="宋体" w:cs="宋体"/>
          <w:b/>
          <w:szCs w:val="21"/>
        </w:rPr>
      </w:pPr>
      <w:r>
        <w:rPr>
          <w:rFonts w:ascii="宋体" w:hAnsi="宋体" w:cs="Calibri"/>
          <w:szCs w:val="21"/>
        </w:rPr>
        <w:t>1.12</w:t>
      </w:r>
      <w:r>
        <w:rPr>
          <w:rFonts w:hint="eastAsia" w:ascii="宋体" w:hAnsi="宋体" w:cs="Calibri"/>
          <w:szCs w:val="21"/>
        </w:rPr>
        <w:t>《电气装置安装工程接地装置施工及验收规范》GB50169-2016</w:t>
      </w:r>
    </w:p>
    <w:p w14:paraId="085C89C6">
      <w:pPr>
        <w:tabs>
          <w:tab w:val="left" w:pos="709"/>
        </w:tabs>
        <w:adjustRightInd w:val="0"/>
        <w:snapToGrid w:val="0"/>
        <w:spacing w:line="360" w:lineRule="auto"/>
        <w:ind w:firstLine="420" w:firstLineChars="200"/>
        <w:rPr>
          <w:rFonts w:ascii="宋体" w:hAnsi="宋体" w:cs="宋体"/>
          <w:szCs w:val="21"/>
        </w:rPr>
      </w:pPr>
      <w:bookmarkStart w:id="10" w:name="_Toc40104441"/>
      <w:bookmarkStart w:id="11" w:name="_Toc47449137"/>
      <w:bookmarkStart w:id="12" w:name="_Toc47110355"/>
      <w:bookmarkStart w:id="13" w:name="_Toc40113646"/>
      <w:r>
        <w:rPr>
          <w:rFonts w:hint="eastAsia" w:ascii="宋体" w:hAnsi="宋体" w:cs="宋体"/>
          <w:szCs w:val="21"/>
        </w:rPr>
        <w:t>2、所有产品必须是厂商原装、全新的产品，符合国家及该产品的出厂标准，并符合招标文件及投标文件的要求。验收时产品必须完好无破损，数量、质量及指标不低于投标文件中的规格要求。</w:t>
      </w:r>
    </w:p>
    <w:p w14:paraId="611E2BF9">
      <w:pPr>
        <w:tabs>
          <w:tab w:val="left" w:pos="709"/>
        </w:tabs>
        <w:adjustRightInd w:val="0"/>
        <w:snapToGrid w:val="0"/>
        <w:spacing w:line="360" w:lineRule="auto"/>
        <w:ind w:firstLine="420" w:firstLineChars="200"/>
        <w:rPr>
          <w:rFonts w:ascii="宋体" w:hAnsi="宋体" w:cs="宋体"/>
          <w:szCs w:val="21"/>
        </w:rPr>
      </w:pPr>
      <w:r>
        <w:rPr>
          <w:rFonts w:hint="eastAsia" w:ascii="宋体" w:hAnsi="宋体" w:cs="宋体"/>
          <w:szCs w:val="21"/>
        </w:rPr>
        <w:t>3、产品整体外形美观，结构坚固，防风、防锈、防水、防盗、隔热效果好并且易保洁。具备隐藏式垃圾分类投放功能、垃圾桶和环卫工具存放功能、垃圾桶洗桶功能、垃圾分类宣传功能。废弃家私和建筑废物存放点设置分区，与周边环境融合。</w:t>
      </w:r>
    </w:p>
    <w:p w14:paraId="5D89CE64">
      <w:pPr>
        <w:tabs>
          <w:tab w:val="left" w:pos="709"/>
        </w:tabs>
        <w:adjustRightInd w:val="0"/>
        <w:snapToGrid w:val="0"/>
        <w:spacing w:line="360" w:lineRule="auto"/>
        <w:ind w:firstLine="420" w:firstLineChars="200"/>
        <w:rPr>
          <w:rFonts w:ascii="宋体" w:hAnsi="宋体" w:cs="宋体"/>
          <w:szCs w:val="21"/>
        </w:rPr>
      </w:pPr>
      <w:r>
        <w:rPr>
          <w:rFonts w:hint="eastAsia" w:ascii="宋体" w:hAnsi="宋体" w:cs="宋体"/>
          <w:szCs w:val="21"/>
        </w:rPr>
        <w:t>4、如中标供应</w:t>
      </w:r>
      <w:r>
        <w:rPr>
          <w:rFonts w:hint="eastAsia" w:ascii="宋体" w:hAnsi="宋体" w:cs="宋体"/>
          <w:szCs w:val="21"/>
          <w:lang w:eastAsia="zh-Hans"/>
        </w:rPr>
        <w:t>商</w:t>
      </w:r>
      <w:r>
        <w:rPr>
          <w:rFonts w:hint="eastAsia" w:ascii="宋体" w:hAnsi="宋体" w:cs="宋体"/>
          <w:szCs w:val="21"/>
        </w:rPr>
        <w:t>所提交的产品出现货不对板或有瑕疵影响正常使用等情况，采购人</w:t>
      </w:r>
      <w:r>
        <w:rPr>
          <w:rFonts w:hint="eastAsia" w:ascii="宋体" w:hAnsi="宋体" w:cs="宋体"/>
          <w:szCs w:val="21"/>
          <w:lang w:eastAsia="zh-Hans"/>
        </w:rPr>
        <w:t>有权</w:t>
      </w:r>
      <w:r>
        <w:rPr>
          <w:rFonts w:hint="eastAsia" w:ascii="宋体" w:hAnsi="宋体" w:cs="宋体"/>
          <w:szCs w:val="21"/>
        </w:rPr>
        <w:t>无条件退货，</w:t>
      </w:r>
      <w:r>
        <w:rPr>
          <w:rFonts w:hint="eastAsia" w:ascii="宋体" w:hAnsi="宋体" w:cs="宋体"/>
          <w:szCs w:val="21"/>
          <w:lang w:eastAsia="zh-Hans"/>
        </w:rPr>
        <w:t>要求中标供应商在规定时间内重新提供，直至验收合格，或选择</w:t>
      </w:r>
      <w:r>
        <w:rPr>
          <w:rFonts w:hint="eastAsia" w:ascii="宋体" w:hAnsi="宋体" w:cs="宋体"/>
          <w:szCs w:val="21"/>
        </w:rPr>
        <w:t>单方面无条件解除合同。</w:t>
      </w:r>
      <w:bookmarkEnd w:id="10"/>
      <w:bookmarkEnd w:id="11"/>
      <w:bookmarkEnd w:id="12"/>
      <w:bookmarkEnd w:id="13"/>
    </w:p>
    <w:p w14:paraId="0ABFB17E">
      <w:pPr>
        <w:tabs>
          <w:tab w:val="left" w:pos="709"/>
        </w:tabs>
        <w:adjustRightInd w:val="0"/>
        <w:snapToGrid w:val="0"/>
        <w:spacing w:line="360" w:lineRule="auto"/>
        <w:ind w:firstLine="420" w:firstLineChars="200"/>
        <w:rPr>
          <w:rFonts w:ascii="宋体" w:hAnsi="宋体" w:cs="宋体"/>
          <w:szCs w:val="21"/>
        </w:rPr>
      </w:pPr>
      <w:bookmarkStart w:id="14" w:name="_Toc47110356"/>
      <w:bookmarkStart w:id="15" w:name="_Toc40113647"/>
      <w:bookmarkStart w:id="16" w:name="_Toc47449138"/>
      <w:bookmarkStart w:id="17" w:name="_Toc40104442"/>
      <w:r>
        <w:rPr>
          <w:rFonts w:hint="eastAsia" w:ascii="宋体" w:hAnsi="宋体" w:cs="宋体"/>
          <w:szCs w:val="21"/>
        </w:rPr>
        <w:t>5、产品外观清洁，标记编号及盘面显示等字体清晰、明确。</w:t>
      </w:r>
      <w:bookmarkEnd w:id="14"/>
      <w:bookmarkEnd w:id="15"/>
      <w:bookmarkEnd w:id="16"/>
      <w:bookmarkEnd w:id="17"/>
      <w:bookmarkStart w:id="18" w:name="_Toc40104443"/>
      <w:bookmarkStart w:id="19" w:name="_Toc47110357"/>
      <w:bookmarkStart w:id="20" w:name="_Toc40113648"/>
      <w:bookmarkStart w:id="21" w:name="_Toc47449139"/>
      <w:r>
        <w:rPr>
          <w:rFonts w:hint="eastAsia" w:ascii="宋体" w:hAnsi="宋体" w:cs="宋体"/>
          <w:szCs w:val="21"/>
        </w:rPr>
        <w:t>对于影响日常使用的必要组成部分，中标供应商都应提供并且明确列出。</w:t>
      </w:r>
      <w:bookmarkEnd w:id="18"/>
      <w:bookmarkEnd w:id="19"/>
      <w:bookmarkEnd w:id="20"/>
      <w:bookmarkEnd w:id="21"/>
    </w:p>
    <w:p w14:paraId="7708D61C">
      <w:pPr>
        <w:tabs>
          <w:tab w:val="left" w:pos="709"/>
        </w:tabs>
        <w:adjustRightInd w:val="0"/>
        <w:snapToGrid w:val="0"/>
        <w:spacing w:line="360" w:lineRule="auto"/>
        <w:ind w:firstLine="420" w:firstLineChars="200"/>
        <w:rPr>
          <w:rFonts w:ascii="宋体" w:hAnsi="宋体" w:cs="宋体"/>
          <w:szCs w:val="21"/>
        </w:rPr>
      </w:pPr>
      <w:bookmarkStart w:id="22" w:name="_Toc40113649"/>
      <w:bookmarkStart w:id="23" w:name="_Toc40104444"/>
      <w:bookmarkStart w:id="24" w:name="_Toc47110358"/>
      <w:bookmarkStart w:id="25" w:name="_Toc47449140"/>
      <w:r>
        <w:rPr>
          <w:rFonts w:hint="eastAsia" w:ascii="宋体" w:hAnsi="宋体" w:cs="宋体"/>
          <w:szCs w:val="21"/>
        </w:rPr>
        <w:t>6、中标供应商在实际供货时，若未能达到招标文件和投标文件中的有关要求，</w:t>
      </w:r>
      <w:bookmarkEnd w:id="22"/>
      <w:bookmarkEnd w:id="23"/>
      <w:r>
        <w:rPr>
          <w:rFonts w:hint="eastAsia" w:ascii="宋体" w:hAnsi="宋体" w:cs="宋体"/>
          <w:szCs w:val="21"/>
        </w:rPr>
        <w:t>采购人有权拒绝验收，中标供应商必须无条件退货。因货物出现质量问题给采购人造成损失的，采购人有权单方面终止合同，并向中标供应商索</w:t>
      </w:r>
      <w:r>
        <w:rPr>
          <w:rFonts w:hint="eastAsia" w:ascii="宋体" w:hAnsi="宋体" w:cs="宋体"/>
          <w:szCs w:val="21"/>
          <w:lang w:eastAsia="zh-Hans"/>
        </w:rPr>
        <w:t>赔</w:t>
      </w:r>
      <w:r>
        <w:rPr>
          <w:rFonts w:hint="eastAsia" w:ascii="宋体" w:hAnsi="宋体" w:cs="宋体"/>
          <w:szCs w:val="21"/>
        </w:rPr>
        <w:t>。</w:t>
      </w:r>
      <w:bookmarkEnd w:id="24"/>
      <w:bookmarkEnd w:id="25"/>
    </w:p>
    <w:p w14:paraId="290AD7E0">
      <w:pPr>
        <w:tabs>
          <w:tab w:val="left" w:pos="709"/>
        </w:tabs>
        <w:adjustRightInd w:val="0"/>
        <w:snapToGrid w:val="0"/>
        <w:spacing w:line="360" w:lineRule="auto"/>
        <w:ind w:firstLine="420" w:firstLineChars="200"/>
        <w:rPr>
          <w:rFonts w:ascii="宋体" w:hAnsi="宋体" w:cs="宋体"/>
          <w:szCs w:val="21"/>
        </w:rPr>
      </w:pPr>
      <w:bookmarkStart w:id="26" w:name="_Toc47449141"/>
      <w:bookmarkStart w:id="27" w:name="_Toc47110359"/>
      <w:r>
        <w:rPr>
          <w:rFonts w:hint="eastAsia" w:ascii="宋体" w:hAnsi="宋体" w:cs="宋体"/>
          <w:szCs w:val="21"/>
        </w:rPr>
        <w:t>7、采购人有权对中标供应商提供的产品进行抽检及质量检测，检测结果应符合相关质量要求、招标文件中的参数要求以及国家相关强制性要求。如因产品的质量问题发生争议，由广东省或广州市质检部门进行质量鉴定，鉴定费由中标供应商承担。</w:t>
      </w:r>
      <w:bookmarkEnd w:id="26"/>
      <w:bookmarkEnd w:id="27"/>
    </w:p>
    <w:p w14:paraId="20086ED7">
      <w:pPr>
        <w:tabs>
          <w:tab w:val="left" w:pos="709"/>
        </w:tabs>
        <w:adjustRightInd w:val="0"/>
        <w:snapToGrid w:val="0"/>
        <w:spacing w:line="360" w:lineRule="auto"/>
        <w:ind w:firstLine="422" w:firstLineChars="200"/>
        <w:rPr>
          <w:rFonts w:ascii="宋体" w:hAnsi="宋体" w:cs="宋体"/>
          <w:b/>
          <w:szCs w:val="21"/>
        </w:rPr>
      </w:pPr>
      <w:bookmarkStart w:id="28" w:name="_Toc47449142"/>
      <w:bookmarkStart w:id="29" w:name="_Toc47110360"/>
      <w:r>
        <w:rPr>
          <w:rFonts w:hint="eastAsia" w:ascii="宋体" w:hAnsi="宋体" w:cs="宋体"/>
          <w:b/>
          <w:szCs w:val="21"/>
        </w:rPr>
        <w:t>★8、中标供应商所提供的货物需按照采购人要求印刷文字图案等内容。（须提供承诺函，</w:t>
      </w:r>
      <w:r>
        <w:rPr>
          <w:rFonts w:ascii="宋体" w:hAnsi="宋体" w:cs="宋体"/>
          <w:b/>
          <w:szCs w:val="21"/>
        </w:rPr>
        <w:t>格式自拟</w:t>
      </w:r>
      <w:r>
        <w:rPr>
          <w:rFonts w:hint="eastAsia" w:ascii="宋体" w:hAnsi="宋体" w:cs="宋体"/>
          <w:b/>
          <w:szCs w:val="21"/>
        </w:rPr>
        <w:t>）</w:t>
      </w:r>
      <w:bookmarkEnd w:id="28"/>
      <w:bookmarkEnd w:id="29"/>
    </w:p>
    <w:p w14:paraId="7E90E600">
      <w:pPr>
        <w:tabs>
          <w:tab w:val="left" w:pos="709"/>
        </w:tabs>
        <w:adjustRightInd w:val="0"/>
        <w:snapToGrid w:val="0"/>
        <w:spacing w:line="360" w:lineRule="auto"/>
        <w:ind w:firstLine="420" w:firstLineChars="200"/>
        <w:rPr>
          <w:rFonts w:ascii="宋体" w:hAnsi="宋体" w:cs="宋体"/>
          <w:szCs w:val="21"/>
        </w:rPr>
      </w:pPr>
      <w:r>
        <w:rPr>
          <w:rFonts w:hint="eastAsia" w:ascii="宋体" w:hAnsi="宋体" w:cs="宋体"/>
          <w:szCs w:val="21"/>
        </w:rPr>
        <w:t>9、居民在使用本项目的设施设备中，如因设施设备质量问题或其他中标供应商原因导致发生的用电、用水安全事故时，一切责任由中标供应商承担。</w:t>
      </w:r>
    </w:p>
    <w:p w14:paraId="17D47B2C">
      <w:pPr>
        <w:tabs>
          <w:tab w:val="left" w:pos="709"/>
        </w:tabs>
        <w:adjustRightInd w:val="0"/>
        <w:snapToGrid w:val="0"/>
        <w:spacing w:line="360" w:lineRule="auto"/>
        <w:ind w:firstLine="420" w:firstLineChars="200"/>
        <w:rPr>
          <w:rFonts w:ascii="宋体" w:hAnsi="宋体" w:cs="宋体"/>
          <w:sz w:val="24"/>
        </w:rPr>
      </w:pPr>
      <w:r>
        <w:rPr>
          <w:rFonts w:hint="eastAsia" w:ascii="宋体" w:hAnsi="宋体" w:cs="宋体"/>
          <w:szCs w:val="21"/>
        </w:rPr>
        <w:t>10、产品整体外形美观，满足绿化、美化、亮化的要求并与周边环境相协调，结构坚固，防风、防锈、防水、防盗、隔热效果好并且易保洁。具备隐藏式垃圾分类投放功能、垃圾桶和环卫工具存放功能、垃圾桶洗桶功能、垃圾分类宣传功能。</w:t>
      </w:r>
    </w:p>
    <w:p w14:paraId="52A62F3E">
      <w:pPr>
        <w:widowControl/>
        <w:jc w:val="left"/>
        <w:rPr>
          <w:rFonts w:ascii="宋体" w:hAnsi="宋体" w:cs="宋体"/>
          <w:b/>
          <w:sz w:val="24"/>
        </w:rPr>
      </w:pPr>
    </w:p>
    <w:p w14:paraId="6B3B6DD3">
      <w:pPr>
        <w:pStyle w:val="3"/>
        <w:kinsoku w:val="0"/>
        <w:overflowPunct w:val="0"/>
        <w:spacing w:line="360" w:lineRule="auto"/>
        <w:rPr>
          <w:rFonts w:ascii="宋体" w:hAnsi="宋体" w:cs="宋体"/>
          <w:b/>
          <w:sz w:val="24"/>
        </w:rPr>
      </w:pPr>
      <w:r>
        <w:rPr>
          <w:rFonts w:hint="eastAsia" w:ascii="宋体" w:hAnsi="宋体" w:cs="宋体"/>
          <w:b/>
          <w:sz w:val="24"/>
        </w:rPr>
        <w:t>八、包装、运输及保管要求</w:t>
      </w:r>
    </w:p>
    <w:p w14:paraId="12089AA1">
      <w:pPr>
        <w:pStyle w:val="10"/>
        <w:tabs>
          <w:tab w:val="left" w:pos="605"/>
        </w:tabs>
        <w:kinsoku w:val="0"/>
        <w:overflowPunct w:val="0"/>
        <w:spacing w:line="360" w:lineRule="auto"/>
        <w:rPr>
          <w:rFonts w:ascii="宋体" w:hAnsi="宋体" w:cs="宋体"/>
          <w:szCs w:val="21"/>
        </w:rPr>
      </w:pPr>
      <w:r>
        <w:rPr>
          <w:rFonts w:hint="eastAsia" w:ascii="宋体" w:hAnsi="宋体" w:cs="宋体"/>
          <w:szCs w:val="21"/>
        </w:rPr>
        <w:t>1.中标人提供的货物必须符合中华人民共和国国家标准、行业标准、地方标准、货物生产商的产品质量标准、有关部门制定的相关技术规范、符合产品说明书表明的质量状况和使用性能、国家规定的安全和环保要求（标准不一致的，以较高为准）。</w:t>
      </w:r>
    </w:p>
    <w:p w14:paraId="3684FBFA">
      <w:pPr>
        <w:pStyle w:val="10"/>
        <w:tabs>
          <w:tab w:val="left" w:pos="605"/>
        </w:tabs>
        <w:kinsoku w:val="0"/>
        <w:overflowPunct w:val="0"/>
        <w:spacing w:line="360" w:lineRule="auto"/>
        <w:rPr>
          <w:rFonts w:ascii="宋体" w:hAnsi="宋体" w:cs="宋体"/>
          <w:szCs w:val="21"/>
        </w:rPr>
      </w:pPr>
      <w:r>
        <w:rPr>
          <w:rFonts w:hint="eastAsia" w:ascii="宋体" w:hAnsi="宋体" w:cs="宋体"/>
          <w:szCs w:val="21"/>
        </w:rPr>
        <w:t>2、中标人提供的货物的包装必须是制造商原厂包装，其包装均应有良好的防湿、防锈、防潮、防雨、防腐及防碰撞的措施，且必须要符合相关法律、法规的要求。凡由于包装不良造成的损失和由此产生的费用均由中标人承担。</w:t>
      </w:r>
    </w:p>
    <w:p w14:paraId="4E5F349F">
      <w:pPr>
        <w:pStyle w:val="10"/>
        <w:tabs>
          <w:tab w:val="left" w:pos="605"/>
        </w:tabs>
        <w:kinsoku w:val="0"/>
        <w:overflowPunct w:val="0"/>
        <w:spacing w:line="360" w:lineRule="auto"/>
        <w:rPr>
          <w:rFonts w:ascii="宋体" w:hAnsi="宋体" w:cs="宋体"/>
          <w:szCs w:val="21"/>
        </w:rPr>
      </w:pPr>
      <w:r>
        <w:rPr>
          <w:rFonts w:hint="eastAsia" w:ascii="宋体" w:hAnsi="宋体" w:cs="宋体"/>
          <w:szCs w:val="21"/>
        </w:rPr>
        <w:t>4.中标人负责将设备材料货到现场过程中的全部运输，包括装卸车、货物现场的搬运；运输包装应根据产品的特点及国家相关标准标注有相应的运输标志。</w:t>
      </w:r>
    </w:p>
    <w:p w14:paraId="12D36C74">
      <w:pPr>
        <w:pStyle w:val="10"/>
        <w:tabs>
          <w:tab w:val="left" w:pos="605"/>
        </w:tabs>
        <w:kinsoku w:val="0"/>
        <w:overflowPunct w:val="0"/>
        <w:spacing w:line="360" w:lineRule="auto"/>
        <w:rPr>
          <w:rFonts w:ascii="宋体" w:hAnsi="宋体" w:cs="宋体"/>
          <w:szCs w:val="21"/>
        </w:rPr>
      </w:pPr>
      <w:r>
        <w:rPr>
          <w:rFonts w:hint="eastAsia" w:ascii="宋体" w:hAnsi="宋体" w:cs="宋体"/>
          <w:szCs w:val="21"/>
        </w:rPr>
        <w:t>5.各种设备必须提供装箱清单，按装箱清单验收货物。</w:t>
      </w:r>
    </w:p>
    <w:p w14:paraId="316B7BB1">
      <w:pPr>
        <w:pStyle w:val="10"/>
        <w:tabs>
          <w:tab w:val="left" w:pos="605"/>
        </w:tabs>
        <w:kinsoku w:val="0"/>
        <w:overflowPunct w:val="0"/>
        <w:spacing w:line="360" w:lineRule="auto"/>
        <w:rPr>
          <w:rFonts w:ascii="宋体" w:hAnsi="宋体" w:cs="宋体"/>
          <w:szCs w:val="21"/>
        </w:rPr>
      </w:pPr>
      <w:r>
        <w:rPr>
          <w:rFonts w:hint="eastAsia" w:ascii="宋体" w:hAnsi="宋体" w:cs="宋体"/>
          <w:szCs w:val="21"/>
        </w:rPr>
        <w:t>6.货物在现场的保管由中标人负责，直至项目安装、验收完毕。</w:t>
      </w:r>
    </w:p>
    <w:p w14:paraId="3D7FCABE">
      <w:pPr>
        <w:pStyle w:val="10"/>
        <w:tabs>
          <w:tab w:val="left" w:pos="605"/>
        </w:tabs>
        <w:kinsoku w:val="0"/>
        <w:overflowPunct w:val="0"/>
        <w:spacing w:line="360" w:lineRule="auto"/>
        <w:rPr>
          <w:rFonts w:ascii="宋体" w:hAnsi="宋体" w:cs="宋体"/>
          <w:szCs w:val="21"/>
        </w:rPr>
      </w:pPr>
      <w:r>
        <w:rPr>
          <w:rFonts w:hint="eastAsia" w:ascii="宋体" w:hAnsi="宋体" w:cs="宋体"/>
          <w:szCs w:val="21"/>
        </w:rPr>
        <w:t>7.设备至采购人指定的使用现场的包装发运等环节和费用均由中标人负责。</w:t>
      </w:r>
    </w:p>
    <w:p w14:paraId="192342B4">
      <w:pPr>
        <w:spacing w:line="360" w:lineRule="auto"/>
        <w:outlineLvl w:val="1"/>
        <w:rPr>
          <w:rFonts w:ascii="宋体" w:hAnsi="宋体" w:cs="宋体"/>
          <w:b/>
          <w:sz w:val="24"/>
        </w:rPr>
      </w:pPr>
      <w:r>
        <w:rPr>
          <w:rFonts w:hint="eastAsia" w:ascii="宋体" w:hAnsi="宋体" w:cs="宋体"/>
          <w:b/>
          <w:sz w:val="24"/>
        </w:rPr>
        <w:t>九、安装与调试要求</w:t>
      </w:r>
    </w:p>
    <w:p w14:paraId="78C2A331">
      <w:pPr>
        <w:tabs>
          <w:tab w:val="left" w:pos="709"/>
        </w:tabs>
        <w:adjustRightInd w:val="0"/>
        <w:snapToGrid w:val="0"/>
        <w:spacing w:line="360" w:lineRule="auto"/>
        <w:ind w:firstLine="420" w:firstLineChars="200"/>
        <w:rPr>
          <w:rFonts w:ascii="宋体" w:hAnsi="宋体" w:cs="宋体"/>
          <w:szCs w:val="21"/>
        </w:rPr>
      </w:pPr>
      <w:r>
        <w:rPr>
          <w:rFonts w:hint="eastAsia" w:ascii="宋体" w:hAnsi="宋体" w:cs="宋体"/>
          <w:szCs w:val="21"/>
        </w:rPr>
        <w:t xml:space="preserve">1、中标供应商须按照采购人要求制定和完善实施方案，根据现场实际设计平面图和外立面效果图，直至得到采购人认可，并定期向采购人通报项目进度及后续工作情况。 </w:t>
      </w:r>
    </w:p>
    <w:p w14:paraId="5DFB8AA8">
      <w:pPr>
        <w:tabs>
          <w:tab w:val="left" w:pos="709"/>
        </w:tabs>
        <w:adjustRightInd w:val="0"/>
        <w:snapToGrid w:val="0"/>
        <w:spacing w:line="360" w:lineRule="auto"/>
        <w:ind w:firstLine="420" w:firstLineChars="200"/>
        <w:rPr>
          <w:rFonts w:ascii="宋体" w:hAnsi="宋体" w:cs="宋体"/>
          <w:szCs w:val="21"/>
        </w:rPr>
      </w:pPr>
      <w:r>
        <w:rPr>
          <w:rFonts w:hint="eastAsia" w:ascii="宋体" w:hAnsi="宋体" w:cs="宋体"/>
          <w:szCs w:val="21"/>
        </w:rPr>
        <w:t>2、中标供应商必须按项目进度安排计划，派出适当的技术人员到安装现场负责免费安装和调试工作。在安装施工期间，严格遵守采购人的有关规定，</w:t>
      </w:r>
      <w:r>
        <w:rPr>
          <w:rFonts w:hint="eastAsia" w:ascii="宋体" w:hAnsi="宋体" w:cs="宋体"/>
          <w:szCs w:val="21"/>
          <w:lang w:eastAsia="zh-Hans"/>
        </w:rPr>
        <w:t>施工人员遵照安全施工规范要求，保护周围设施设备和环境绿地</w:t>
      </w:r>
      <w:r>
        <w:rPr>
          <w:rFonts w:hint="eastAsia" w:ascii="宋体" w:hAnsi="宋体" w:cs="宋体"/>
          <w:szCs w:val="21"/>
        </w:rPr>
        <w:t xml:space="preserve">。 </w:t>
      </w:r>
    </w:p>
    <w:p w14:paraId="1603329D">
      <w:pPr>
        <w:tabs>
          <w:tab w:val="left" w:pos="709"/>
        </w:tabs>
        <w:adjustRightInd w:val="0"/>
        <w:snapToGrid w:val="0"/>
        <w:spacing w:line="360" w:lineRule="auto"/>
        <w:ind w:firstLine="420" w:firstLineChars="200"/>
        <w:rPr>
          <w:rFonts w:ascii="宋体" w:hAnsi="宋体" w:cs="宋体"/>
          <w:szCs w:val="21"/>
        </w:rPr>
      </w:pPr>
      <w:r>
        <w:rPr>
          <w:rFonts w:hint="eastAsia" w:ascii="宋体" w:hAnsi="宋体" w:cs="宋体"/>
          <w:szCs w:val="21"/>
        </w:rPr>
        <w:t>3、中标供应商提供的货物必须是原装、全新的、</w:t>
      </w:r>
      <w:r>
        <w:rPr>
          <w:rFonts w:hint="eastAsia" w:ascii="宋体" w:hAnsi="宋体" w:cs="宋体"/>
          <w:szCs w:val="21"/>
          <w:lang w:eastAsia="zh-Hans"/>
        </w:rPr>
        <w:t>外表无划损、权利来源清晰可追溯、可在中国境内安全合法使用，技术参数、</w:t>
      </w:r>
      <w:r>
        <w:rPr>
          <w:rFonts w:hint="eastAsia" w:ascii="宋体" w:hAnsi="宋体" w:cs="宋体"/>
          <w:szCs w:val="21"/>
        </w:rPr>
        <w:t>型号、性能及质量指标符合或优于国家及招标文件提出的有关技术、质量、安全标准、要求，制作质量合格。</w:t>
      </w:r>
    </w:p>
    <w:p w14:paraId="13B973E0">
      <w:pPr>
        <w:tabs>
          <w:tab w:val="left" w:pos="709"/>
        </w:tabs>
        <w:adjustRightInd w:val="0"/>
        <w:snapToGrid w:val="0"/>
        <w:spacing w:line="360" w:lineRule="auto"/>
        <w:ind w:firstLine="420" w:firstLineChars="200"/>
        <w:rPr>
          <w:rFonts w:ascii="宋体" w:hAnsi="宋体" w:cs="宋体"/>
          <w:szCs w:val="21"/>
        </w:rPr>
      </w:pPr>
      <w:r>
        <w:rPr>
          <w:rFonts w:hint="eastAsia" w:ascii="宋体" w:hAnsi="宋体" w:cs="宋体"/>
          <w:szCs w:val="21"/>
        </w:rPr>
        <w:t>4、中标供应商须根据场地实际情况，拆除旧有设施（含恢复部分原有监控设施安装调试）</w:t>
      </w:r>
      <w:r>
        <w:rPr>
          <w:rFonts w:hint="eastAsia" w:ascii="宋体" w:hAnsi="宋体" w:cs="宋体"/>
          <w:color w:val="0000FF"/>
          <w:szCs w:val="21"/>
        </w:rPr>
        <w:t>，</w:t>
      </w:r>
      <w:r>
        <w:rPr>
          <w:rFonts w:hint="eastAsia" w:ascii="宋体" w:hAnsi="宋体" w:cs="宋体"/>
          <w:szCs w:val="21"/>
        </w:rPr>
        <w:t>对投放点地面做高差平整进和硬质化处理（硬地基础：做水泥基本预埋并铺设户外防滑地砖，场地基础施工需要满足国家标准施工规范工程强制性要求和行业验收标准，场地基础须防水、防冻、防腐、防滑。）</w:t>
      </w:r>
    </w:p>
    <w:p w14:paraId="4C9F0CC0">
      <w:pPr>
        <w:tabs>
          <w:tab w:val="left" w:pos="709"/>
        </w:tabs>
        <w:adjustRightInd w:val="0"/>
        <w:snapToGrid w:val="0"/>
        <w:spacing w:line="360" w:lineRule="auto"/>
        <w:ind w:firstLine="420" w:firstLineChars="200"/>
        <w:rPr>
          <w:rFonts w:ascii="宋体" w:hAnsi="宋体" w:cs="宋体"/>
          <w:szCs w:val="21"/>
        </w:rPr>
      </w:pPr>
      <w:r>
        <w:rPr>
          <w:rFonts w:hint="eastAsia" w:ascii="宋体" w:hAnsi="宋体" w:cs="宋体"/>
          <w:szCs w:val="21"/>
        </w:rPr>
        <w:t>5、在项目实施产品安装前，中标供应商须与环卫、城管、路政等相关部门沟通协商好，需要办理相关行政许可的，采购人可提供协助，具体事宜由中标供应商自行办理。</w:t>
      </w:r>
    </w:p>
    <w:p w14:paraId="0CB8FA52">
      <w:pPr>
        <w:tabs>
          <w:tab w:val="left" w:pos="709"/>
        </w:tabs>
        <w:adjustRightInd w:val="0"/>
        <w:snapToGrid w:val="0"/>
        <w:spacing w:line="360" w:lineRule="auto"/>
        <w:ind w:firstLine="420" w:firstLineChars="200"/>
        <w:rPr>
          <w:rFonts w:ascii="宋体" w:hAnsi="宋体" w:cs="宋体"/>
          <w:szCs w:val="21"/>
        </w:rPr>
      </w:pPr>
      <w:r>
        <w:rPr>
          <w:rFonts w:hint="eastAsia" w:ascii="宋体" w:hAnsi="宋体" w:cs="宋体"/>
          <w:szCs w:val="21"/>
        </w:rPr>
        <w:t>6、中标供应商须建立安全责任制度，在项目执行过程中应注意用电、用水安全，应指定和落实安全生产及安全文明施工措施，确保安装过程不出现人身安全事故。</w:t>
      </w:r>
    </w:p>
    <w:p w14:paraId="2F67C3BA">
      <w:pPr>
        <w:tabs>
          <w:tab w:val="left" w:pos="709"/>
        </w:tabs>
        <w:adjustRightInd w:val="0"/>
        <w:snapToGrid w:val="0"/>
        <w:spacing w:line="360" w:lineRule="auto"/>
        <w:ind w:firstLine="420" w:firstLineChars="200"/>
        <w:rPr>
          <w:rFonts w:ascii="宋体" w:hAnsi="宋体" w:cs="宋体"/>
          <w:szCs w:val="21"/>
        </w:rPr>
      </w:pPr>
      <w:r>
        <w:rPr>
          <w:rFonts w:hint="eastAsia" w:ascii="宋体" w:hAnsi="宋体" w:cs="宋体"/>
          <w:szCs w:val="21"/>
        </w:rPr>
        <w:t>7、中标供应商工作人员在安装时</w:t>
      </w:r>
      <w:r>
        <w:rPr>
          <w:rFonts w:hint="eastAsia" w:ascii="宋体" w:hAnsi="宋体" w:cs="宋体"/>
          <w:bCs/>
          <w:szCs w:val="21"/>
        </w:rPr>
        <w:t>应严格遵守国家、省、市有关施工安全以及文明施工、深夜施工、环卫和城管等规定。</w:t>
      </w:r>
      <w:r>
        <w:rPr>
          <w:rFonts w:hint="eastAsia" w:ascii="宋体" w:hAnsi="宋体" w:cs="宋体"/>
          <w:szCs w:val="21"/>
        </w:rPr>
        <w:t>须安全操作，注意人身安全，遵守各项安全责任制度的规定以及现场的规章制度，严格管理工作人员，服从采购人安排。因工作人员操作不规范出现的安全责任事故全部由中标供应商承担。</w:t>
      </w:r>
    </w:p>
    <w:p w14:paraId="3ACC894B">
      <w:pPr>
        <w:tabs>
          <w:tab w:val="left" w:pos="709"/>
        </w:tabs>
        <w:adjustRightInd w:val="0"/>
        <w:snapToGrid w:val="0"/>
        <w:spacing w:line="360" w:lineRule="auto"/>
        <w:ind w:firstLine="420" w:firstLineChars="200"/>
        <w:rPr>
          <w:rFonts w:ascii="宋体" w:hAnsi="宋体" w:cs="宋体"/>
          <w:sz w:val="24"/>
        </w:rPr>
      </w:pPr>
      <w:r>
        <w:rPr>
          <w:rFonts w:hint="eastAsia" w:ascii="宋体" w:hAnsi="宋体" w:cs="宋体"/>
          <w:szCs w:val="21"/>
        </w:rPr>
        <w:t>8、货物</w:t>
      </w:r>
      <w:r>
        <w:rPr>
          <w:rFonts w:hint="eastAsia" w:ascii="宋体" w:hAnsi="宋体" w:cs="宋体"/>
          <w:szCs w:val="21"/>
          <w:lang w:eastAsia="zh-Hans"/>
        </w:rPr>
        <w:t>验收合格前</w:t>
      </w:r>
      <w:r>
        <w:rPr>
          <w:rFonts w:hint="eastAsia" w:ascii="宋体" w:hAnsi="宋体" w:cs="宋体"/>
          <w:szCs w:val="21"/>
        </w:rPr>
        <w:t>在安装现场的物资保管由中标供应商负责，中标供应商必须依照招标文件的要求和投标文件的承诺，将货物、系统安装并调试至正常运行的最佳状态。</w:t>
      </w:r>
    </w:p>
    <w:p w14:paraId="67AC942D"/>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3"/>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710650B"/>
    <w:rsid w:val="18F63794"/>
    <w:rsid w:val="5710650B"/>
    <w:rsid w:val="64A801D5"/>
    <w:rsid w:val="66EE635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iPriority="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7">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2">
    <w:name w:val="Normal Indent"/>
    <w:basedOn w:val="1"/>
    <w:next w:val="1"/>
    <w:qFormat/>
    <w:uiPriority w:val="0"/>
    <w:pPr>
      <w:spacing w:line="360" w:lineRule="auto"/>
      <w:ind w:firstLine="420"/>
    </w:pPr>
    <w:rPr>
      <w:rFonts w:ascii="Calibri" w:hAnsi="Calibri" w:cs="Times New Roman"/>
      <w:sz w:val="24"/>
      <w:szCs w:val="22"/>
    </w:rPr>
  </w:style>
  <w:style w:type="paragraph" w:styleId="3">
    <w:name w:val="Body Text"/>
    <w:basedOn w:val="1"/>
    <w:unhideWhenUsed/>
    <w:qFormat/>
    <w:uiPriority w:val="1"/>
    <w:pPr>
      <w:ind w:left="106"/>
    </w:pPr>
    <w:rPr>
      <w:sz w:val="19"/>
    </w:rPr>
  </w:style>
  <w:style w:type="paragraph" w:styleId="4">
    <w:name w:val="Normal (Web)"/>
    <w:basedOn w:val="1"/>
    <w:qFormat/>
    <w:uiPriority w:val="0"/>
    <w:rPr>
      <w:sz w:val="24"/>
    </w:rPr>
  </w:style>
  <w:style w:type="table" w:styleId="6">
    <w:name w:val="Table Grid"/>
    <w:basedOn w:val="5"/>
    <w:semiHidden/>
    <w:unhideWhenUsed/>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8">
    <w:name w:val="null3"/>
    <w:hidden/>
    <w:qFormat/>
    <w:uiPriority w:val="0"/>
    <w:rPr>
      <w:rFonts w:hint="eastAsia" w:asciiTheme="minorHAnsi" w:hAnsiTheme="minorHAnsi" w:eastAsiaTheme="minorEastAsia" w:cstheme="minorBidi"/>
      <w:lang w:val="en-US" w:eastAsia="zh-Hans" w:bidi="ar-SA"/>
    </w:rPr>
  </w:style>
  <w:style w:type="paragraph" w:customStyle="1" w:styleId="9">
    <w:name w:val="_Style 8"/>
    <w:basedOn w:val="1"/>
    <w:next w:val="10"/>
    <w:qFormat/>
    <w:uiPriority w:val="0"/>
    <w:pPr>
      <w:ind w:firstLine="420" w:firstLineChars="200"/>
    </w:pPr>
    <w:rPr>
      <w:rFonts w:ascii="Calibri" w:hAnsi="Calibri"/>
      <w:szCs w:val="22"/>
      <w:lang w:val="zh-CN"/>
    </w:rPr>
  </w:style>
  <w:style w:type="paragraph" w:styleId="10">
    <w:name w:val="List Paragraph"/>
    <w:basedOn w:val="1"/>
    <w:qFormat/>
    <w:uiPriority w:val="99"/>
    <w:pPr>
      <w:ind w:firstLine="420" w:firstLineChars="200"/>
    </w:pPr>
  </w:style>
  <w:style w:type="paragraph" w:customStyle="1" w:styleId="11">
    <w:name w:val="Table Paragraph"/>
    <w:basedOn w:val="1"/>
    <w:qFormat/>
    <w:uiPriority w:val="0"/>
    <w:pPr>
      <w:autoSpaceDE w:val="0"/>
      <w:autoSpaceDN w:val="0"/>
      <w:jc w:val="left"/>
    </w:pPr>
    <w:rPr>
      <w:rFonts w:ascii="宋体" w:hAnsi="宋体" w:cs="宋体"/>
      <w:kern w:val="0"/>
      <w:sz w:val="22"/>
      <w:szCs w:val="22"/>
      <w:lang w:val="zh-CN" w:bidi="zh-CN"/>
    </w:rPr>
  </w:style>
  <w:style w:type="paragraph" w:customStyle="1" w:styleId="12">
    <w:name w:val="首行缩进"/>
    <w:basedOn w:val="1"/>
    <w:qFormat/>
    <w:uiPriority w:val="0"/>
    <w:pPr>
      <w:spacing w:line="360" w:lineRule="auto"/>
      <w:ind w:firstLine="480" w:firstLineChars="200"/>
      <w:jc w:val="left"/>
    </w:pPr>
    <w:rPr>
      <w:rFonts w:ascii="宋体" w:hAnsi="宋体"/>
      <w:sz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8" Type="http://schemas.openxmlformats.org/officeDocument/2006/relationships/fontTable" Target="fontTable.xml"/><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jpeg"/><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image" Target="media/image14.jpeg"/><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jpeg"/><Relationship Id="rId11" Type="http://schemas.openxmlformats.org/officeDocument/2006/relationships/image" Target="NULL" TargetMode="External"/><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796</Words>
  <Characters>855</Characters>
  <Lines>0</Lines>
  <Paragraphs>0</Paragraphs>
  <TotalTime>0</TotalTime>
  <ScaleCrop>false</ScaleCrop>
  <LinksUpToDate>false</LinksUpToDate>
  <CharactersWithSpaces>857</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2025-06-03T10:13:00Z</dcterms:created>
  <dc:creator>胡</dc:creator>
  <cp:lastModifiedBy>Administrator</cp:lastModifiedBy>
  <dcterms:modified xsi:type="dcterms:W3CDTF">2025-06-10T09:08:53Z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ICV">
    <vt:lpwstr>F338AFD1C22E49DBBF38A535178E98C2_13</vt:lpwstr>
  </property>
  <property fmtid="{D5CDD505-2E9C-101B-9397-08002B2CF9AE}" pid="4" name="KSOTemplateDocerSaveRecord">
    <vt:lpwstr>eyJoZGlkIjoiZDI0NjJlZDhiM2UzNDFjMTFmNWYxM2FlMjBjNjRiZGEiLCJ1c2VySWQiOiI1MDM4ODc5MTcifQ==</vt:lpwstr>
  </property>
</Properties>
</file>