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0494F0">
      <w:pPr>
        <w:jc w:val="center"/>
        <w:outlineLvl w:val="0"/>
        <w:rPr>
          <w:color w:val="auto"/>
          <w:highlight w:val="none"/>
        </w:rPr>
      </w:pPr>
      <w:bookmarkStart w:id="4" w:name="_GoBack"/>
      <w:r>
        <w:rPr>
          <w:b/>
          <w:color w:val="auto"/>
          <w:sz w:val="36"/>
          <w:highlight w:val="none"/>
        </w:rPr>
        <w:t>第五章 合同文本</w:t>
      </w:r>
    </w:p>
    <w:p w14:paraId="53A26257">
      <w:pPr>
        <w:rPr>
          <w:color w:val="auto"/>
          <w:highlight w:val="none"/>
        </w:rPr>
      </w:pPr>
    </w:p>
    <w:p w14:paraId="7EA302F7">
      <w:pPr>
        <w:pStyle w:val="4"/>
        <w:spacing w:after="0"/>
        <w:jc w:val="center"/>
        <w:rPr>
          <w:rFonts w:ascii="宋体" w:hAnsi="宋体" w:cs="宋体"/>
          <w:b/>
          <w:bCs/>
          <w:color w:val="auto"/>
          <w:spacing w:val="-20"/>
          <w:kern w:val="44"/>
          <w:sz w:val="48"/>
          <w:szCs w:val="48"/>
          <w:highlight w:val="none"/>
        </w:rPr>
      </w:pPr>
    </w:p>
    <w:p w14:paraId="7AE8A991">
      <w:pPr>
        <w:pStyle w:val="4"/>
        <w:spacing w:after="0"/>
        <w:jc w:val="center"/>
        <w:rPr>
          <w:rFonts w:ascii="宋体" w:hAnsi="宋体" w:cs="宋体"/>
          <w:b/>
          <w:bCs/>
          <w:color w:val="auto"/>
          <w:spacing w:val="-20"/>
          <w:kern w:val="44"/>
          <w:sz w:val="48"/>
          <w:szCs w:val="48"/>
          <w:highlight w:val="none"/>
        </w:rPr>
      </w:pPr>
      <w:r>
        <w:rPr>
          <w:rFonts w:hint="eastAsia" w:ascii="宋体" w:hAnsi="宋体" w:cs="宋体"/>
          <w:b/>
          <w:bCs/>
          <w:color w:val="auto"/>
          <w:spacing w:val="-20"/>
          <w:kern w:val="44"/>
          <w:sz w:val="48"/>
          <w:szCs w:val="48"/>
          <w:highlight w:val="none"/>
        </w:rPr>
        <w:t>政府采购货物买卖合同</w:t>
      </w:r>
    </w:p>
    <w:p w14:paraId="7C9386D9">
      <w:pPr>
        <w:rPr>
          <w:rFonts w:ascii="宋体" w:hAnsi="宋体" w:cs="宋体"/>
          <w:b/>
          <w:bCs/>
          <w:color w:val="auto"/>
          <w:spacing w:val="-20"/>
          <w:kern w:val="44"/>
          <w:sz w:val="40"/>
          <w:szCs w:val="40"/>
          <w:highlight w:val="none"/>
        </w:rPr>
      </w:pPr>
    </w:p>
    <w:p w14:paraId="4F43C39E">
      <w:pPr>
        <w:rPr>
          <w:rFonts w:ascii="宋体" w:hAnsi="宋体" w:cs="宋体"/>
          <w:b/>
          <w:bCs/>
          <w:color w:val="auto"/>
          <w:spacing w:val="-20"/>
          <w:kern w:val="44"/>
          <w:sz w:val="40"/>
          <w:szCs w:val="40"/>
          <w:highlight w:val="none"/>
        </w:rPr>
      </w:pPr>
    </w:p>
    <w:p w14:paraId="1D5F0DBD">
      <w:pPr>
        <w:rPr>
          <w:rFonts w:ascii="宋体" w:hAnsi="宋体" w:cs="宋体"/>
          <w:b/>
          <w:bCs/>
          <w:color w:val="auto"/>
          <w:spacing w:val="-20"/>
          <w:kern w:val="44"/>
          <w:sz w:val="40"/>
          <w:szCs w:val="40"/>
          <w:highlight w:val="none"/>
        </w:rPr>
      </w:pPr>
    </w:p>
    <w:p w14:paraId="378A9C31">
      <w:pPr>
        <w:spacing w:line="360" w:lineRule="auto"/>
        <w:ind w:left="420" w:leftChars="200"/>
        <w:rPr>
          <w:color w:val="auto"/>
          <w:sz w:val="32"/>
          <w:szCs w:val="32"/>
          <w:highlight w:val="none"/>
        </w:rPr>
      </w:pPr>
      <w:r>
        <w:rPr>
          <w:rFonts w:hint="eastAsia" w:ascii="宋体" w:hAnsi="宋体" w:cs="宋体"/>
          <w:color w:val="auto"/>
          <w:kern w:val="0"/>
          <w:sz w:val="32"/>
          <w:szCs w:val="32"/>
          <w:highlight w:val="none"/>
        </w:rPr>
        <w:t>项目名称：</w:t>
      </w:r>
      <w:r>
        <w:rPr>
          <w:rFonts w:hint="eastAsia"/>
          <w:color w:val="auto"/>
          <w:sz w:val="32"/>
          <w:szCs w:val="32"/>
          <w:highlight w:val="none"/>
          <w:u w:val="single"/>
        </w:rPr>
        <w:t xml:space="preserve"> 广东石油化工学院2025年图书馆纸质图书采购项目</w:t>
      </w:r>
    </w:p>
    <w:p w14:paraId="0BD46BAD">
      <w:pPr>
        <w:spacing w:line="360" w:lineRule="auto"/>
        <w:ind w:left="420" w:leftChars="200"/>
        <w:rPr>
          <w:color w:val="auto"/>
          <w:sz w:val="32"/>
          <w:szCs w:val="32"/>
          <w:highlight w:val="none"/>
          <w:u w:val="single"/>
        </w:rPr>
      </w:pPr>
      <w:r>
        <w:rPr>
          <w:rFonts w:hint="eastAsia"/>
          <w:color w:val="auto"/>
          <w:sz w:val="32"/>
          <w:szCs w:val="32"/>
          <w:highlight w:val="none"/>
        </w:rPr>
        <w:t>合同编号：</w:t>
      </w:r>
      <w:r>
        <w:rPr>
          <w:rFonts w:hint="eastAsia"/>
          <w:color w:val="auto"/>
          <w:sz w:val="32"/>
          <w:szCs w:val="32"/>
          <w:highlight w:val="none"/>
          <w:u w:val="single"/>
        </w:rPr>
        <w:t xml:space="preserve">                             </w:t>
      </w:r>
    </w:p>
    <w:p w14:paraId="7496FAF4">
      <w:pPr>
        <w:spacing w:line="360" w:lineRule="auto"/>
        <w:ind w:left="420" w:leftChars="200"/>
        <w:rPr>
          <w:rFonts w:eastAsia="华文楷体"/>
          <w:color w:val="auto"/>
          <w:highlight w:val="none"/>
        </w:rPr>
      </w:pPr>
      <w:r>
        <w:rPr>
          <w:rFonts w:hint="eastAsia"/>
          <w:color w:val="auto"/>
          <w:sz w:val="32"/>
          <w:szCs w:val="32"/>
          <w:highlight w:val="none"/>
        </w:rPr>
        <w:t>采购包号：</w:t>
      </w:r>
      <w:r>
        <w:rPr>
          <w:rFonts w:hint="eastAsia"/>
          <w:color w:val="auto"/>
          <w:sz w:val="32"/>
          <w:szCs w:val="32"/>
          <w:highlight w:val="none"/>
          <w:u w:val="single"/>
        </w:rPr>
        <w:t xml:space="preserve">                             </w:t>
      </w:r>
    </w:p>
    <w:p w14:paraId="66ACFD88">
      <w:pPr>
        <w:spacing w:line="360" w:lineRule="auto"/>
        <w:ind w:left="420" w:leftChars="200"/>
        <w:rPr>
          <w:color w:val="auto"/>
          <w:sz w:val="32"/>
          <w:szCs w:val="32"/>
          <w:highlight w:val="none"/>
        </w:rPr>
      </w:pPr>
      <w:r>
        <w:rPr>
          <w:rFonts w:hint="eastAsia"/>
          <w:color w:val="auto"/>
          <w:sz w:val="32"/>
          <w:szCs w:val="32"/>
          <w:highlight w:val="none"/>
        </w:rPr>
        <w:t>甲    方：</w:t>
      </w:r>
      <w:r>
        <w:rPr>
          <w:rFonts w:hint="eastAsia"/>
          <w:color w:val="auto"/>
          <w:sz w:val="32"/>
          <w:szCs w:val="32"/>
          <w:highlight w:val="none"/>
          <w:u w:val="single"/>
        </w:rPr>
        <w:t xml:space="preserve"> 广东石油化工学院            </w:t>
      </w:r>
    </w:p>
    <w:p w14:paraId="022BA914">
      <w:pPr>
        <w:spacing w:line="360" w:lineRule="auto"/>
        <w:ind w:left="420" w:leftChars="200"/>
        <w:rPr>
          <w:color w:val="auto"/>
          <w:sz w:val="32"/>
          <w:szCs w:val="32"/>
          <w:highlight w:val="none"/>
          <w:u w:val="single"/>
        </w:rPr>
      </w:pPr>
      <w:r>
        <w:rPr>
          <w:rFonts w:hint="eastAsia"/>
          <w:color w:val="auto"/>
          <w:sz w:val="32"/>
          <w:szCs w:val="32"/>
          <w:highlight w:val="none"/>
        </w:rPr>
        <w:t>乙    方：</w:t>
      </w:r>
      <w:r>
        <w:rPr>
          <w:rFonts w:hint="eastAsia"/>
          <w:color w:val="auto"/>
          <w:sz w:val="32"/>
          <w:szCs w:val="32"/>
          <w:highlight w:val="none"/>
          <w:u w:val="single"/>
        </w:rPr>
        <w:t xml:space="preserve">                             </w:t>
      </w:r>
    </w:p>
    <w:p w14:paraId="7051CE9F">
      <w:pPr>
        <w:spacing w:line="360" w:lineRule="auto"/>
        <w:ind w:left="420" w:leftChars="200"/>
        <w:rPr>
          <w:color w:val="auto"/>
          <w:sz w:val="32"/>
          <w:szCs w:val="32"/>
          <w:highlight w:val="none"/>
        </w:rPr>
      </w:pPr>
      <w:r>
        <w:rPr>
          <w:rFonts w:hint="eastAsia"/>
          <w:color w:val="auto"/>
          <w:sz w:val="32"/>
          <w:szCs w:val="32"/>
          <w:highlight w:val="none"/>
        </w:rPr>
        <w:t>签订时间：</w:t>
      </w:r>
      <w:r>
        <w:rPr>
          <w:rFonts w:hint="eastAsia"/>
          <w:color w:val="auto"/>
          <w:sz w:val="32"/>
          <w:szCs w:val="32"/>
          <w:highlight w:val="none"/>
          <w:u w:val="single"/>
        </w:rPr>
        <w:t xml:space="preserve">      </w:t>
      </w:r>
      <w:r>
        <w:rPr>
          <w:color w:val="auto"/>
          <w:sz w:val="32"/>
          <w:szCs w:val="32"/>
          <w:highlight w:val="none"/>
          <w:u w:val="single"/>
        </w:rPr>
        <w:t xml:space="preserve">           </w:t>
      </w:r>
      <w:r>
        <w:rPr>
          <w:rFonts w:hint="eastAsia"/>
          <w:color w:val="auto"/>
          <w:sz w:val="32"/>
          <w:szCs w:val="32"/>
          <w:highlight w:val="none"/>
          <w:u w:val="single"/>
        </w:rPr>
        <w:t xml:space="preserve">            </w:t>
      </w:r>
    </w:p>
    <w:p w14:paraId="07388BC4">
      <w:pPr>
        <w:rPr>
          <w:color w:val="auto"/>
          <w:highlight w:val="none"/>
        </w:rPr>
      </w:pPr>
    </w:p>
    <w:p w14:paraId="65BA14CB">
      <w:pPr>
        <w:rPr>
          <w:rFonts w:eastAsia="黑体"/>
          <w:color w:val="auto"/>
          <w:sz w:val="44"/>
          <w:szCs w:val="44"/>
          <w:highlight w:val="none"/>
        </w:rPr>
      </w:pPr>
      <w:r>
        <w:rPr>
          <w:rFonts w:eastAsia="黑体"/>
          <w:color w:val="auto"/>
          <w:sz w:val="44"/>
          <w:szCs w:val="44"/>
          <w:highlight w:val="none"/>
        </w:rPr>
        <w:br w:type="page"/>
      </w:r>
    </w:p>
    <w:p w14:paraId="3312460B">
      <w:pPr>
        <w:rPr>
          <w:rFonts w:eastAsia="黑体"/>
          <w:color w:val="auto"/>
          <w:sz w:val="44"/>
          <w:szCs w:val="44"/>
          <w:highlight w:val="none"/>
        </w:rPr>
      </w:pPr>
    </w:p>
    <w:p w14:paraId="591C5C7A">
      <w:pPr>
        <w:rPr>
          <w:rFonts w:eastAsia="黑体"/>
          <w:color w:val="auto"/>
          <w:sz w:val="44"/>
          <w:szCs w:val="44"/>
          <w:highlight w:val="none"/>
        </w:rPr>
      </w:pPr>
    </w:p>
    <w:p w14:paraId="4CB99D4B">
      <w:pPr>
        <w:jc w:val="center"/>
        <w:rPr>
          <w:rFonts w:eastAsia="黑体"/>
          <w:color w:val="auto"/>
          <w:sz w:val="44"/>
          <w:szCs w:val="44"/>
          <w:highlight w:val="none"/>
        </w:rPr>
      </w:pPr>
      <w:r>
        <w:rPr>
          <w:rFonts w:hint="eastAsia" w:eastAsia="黑体"/>
          <w:color w:val="auto"/>
          <w:sz w:val="44"/>
          <w:szCs w:val="44"/>
          <w:highlight w:val="none"/>
        </w:rPr>
        <w:t>使 用 说 明</w:t>
      </w:r>
    </w:p>
    <w:p w14:paraId="1485F595">
      <w:pPr>
        <w:ind w:firstLine="640" w:firstLineChars="200"/>
        <w:rPr>
          <w:rFonts w:ascii="仿宋_GB2312" w:hAnsi="仿宋_GB2312" w:eastAsia="仿宋_GB2312" w:cs="仿宋_GB2312"/>
          <w:color w:val="auto"/>
          <w:sz w:val="32"/>
          <w:szCs w:val="32"/>
          <w:highlight w:val="none"/>
        </w:rPr>
      </w:pPr>
    </w:p>
    <w:p w14:paraId="693C9233">
      <w:pPr>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1.本合同标准文本适用于购买现成货物的采购项目，不包括需要供应商定制开发、创新研发的货物采购项目。</w:t>
      </w:r>
    </w:p>
    <w:p w14:paraId="6977E935">
      <w:pPr>
        <w:rPr>
          <w:rFonts w:eastAsia="黑体"/>
          <w:color w:val="auto"/>
          <w:sz w:val="44"/>
          <w:szCs w:val="44"/>
          <w:highlight w:val="none"/>
        </w:rPr>
      </w:pPr>
      <w:r>
        <w:rPr>
          <w:rFonts w:hint="eastAsia" w:eastAsia="黑体"/>
          <w:color w:val="auto"/>
          <w:sz w:val="44"/>
          <w:szCs w:val="44"/>
          <w:highlight w:val="none"/>
        </w:rPr>
        <w:t xml:space="preserve">   </w:t>
      </w:r>
      <w:r>
        <w:rPr>
          <w:rFonts w:hint="eastAsia" w:ascii="仿宋_GB2312" w:hAnsi="仿宋_GB2312" w:eastAsia="仿宋_GB2312" w:cs="仿宋_GB2312"/>
          <w:color w:val="auto"/>
          <w:sz w:val="32"/>
          <w:szCs w:val="32"/>
          <w:highlight w:val="none"/>
        </w:rPr>
        <w:t>2.本合同标准文本为政府采购货物买卖合同编制提供参考，可以结合采购项目具体情况，对文本作必要的调整修订后使用。</w:t>
      </w:r>
    </w:p>
    <w:p w14:paraId="277ED0EC">
      <w:pPr>
        <w:ind w:firstLine="640" w:firstLineChars="20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3.本合同标准文本各条款中，如涉及填写多家供应商、制造商，多种采购标的、分包主要内容等信息的，可根据采购项目具体情况添加信息项。</w:t>
      </w:r>
    </w:p>
    <w:p w14:paraId="44CD2714">
      <w:pPr>
        <w:ind w:firstLine="880" w:firstLineChars="200"/>
        <w:rPr>
          <w:rFonts w:eastAsia="黑体"/>
          <w:color w:val="auto"/>
          <w:sz w:val="44"/>
          <w:szCs w:val="44"/>
          <w:highlight w:val="none"/>
        </w:rPr>
        <w:sectPr>
          <w:footerReference r:id="rId3" w:type="default"/>
          <w:pgSz w:w="11906" w:h="16838"/>
          <w:pgMar w:top="1440" w:right="1800" w:bottom="1440" w:left="1800" w:header="851" w:footer="992" w:gutter="0"/>
          <w:pgNumType w:fmt="decimal" w:start="1"/>
          <w:cols w:space="425" w:num="1"/>
          <w:docGrid w:type="lines" w:linePitch="312" w:charSpace="0"/>
        </w:sectPr>
      </w:pPr>
    </w:p>
    <w:p w14:paraId="49F7941A">
      <w:pPr>
        <w:rPr>
          <w:color w:val="auto"/>
          <w:highlight w:val="none"/>
        </w:rPr>
      </w:pPr>
      <w:bookmarkStart w:id="0" w:name="_Toc22209"/>
    </w:p>
    <w:p w14:paraId="07D6C08C">
      <w:pPr>
        <w:pStyle w:val="3"/>
        <w:adjustRightInd w:val="0"/>
        <w:snapToGrid w:val="0"/>
        <w:spacing w:line="400" w:lineRule="exact"/>
        <w:jc w:val="center"/>
        <w:rPr>
          <w:rFonts w:ascii="黑体" w:hAnsi="华文中宋" w:eastAsia="黑体"/>
          <w:b w:val="0"/>
          <w:bCs w:val="0"/>
          <w:color w:val="auto"/>
          <w:sz w:val="28"/>
          <w:szCs w:val="28"/>
          <w:highlight w:val="none"/>
        </w:rPr>
      </w:pPr>
      <w:r>
        <w:rPr>
          <w:rFonts w:hint="eastAsia" w:ascii="黑体" w:hAnsi="黑体" w:eastAsia="黑体"/>
          <w:b w:val="0"/>
          <w:bCs w:val="0"/>
          <w:color w:val="auto"/>
          <w:sz w:val="28"/>
          <w:szCs w:val="28"/>
          <w:highlight w:val="none"/>
        </w:rPr>
        <w:t xml:space="preserve">第一节 </w:t>
      </w:r>
      <w:r>
        <w:rPr>
          <w:rFonts w:hint="eastAsia" w:ascii="黑体" w:hAnsi="华文中宋" w:eastAsia="黑体"/>
          <w:b w:val="0"/>
          <w:bCs w:val="0"/>
          <w:color w:val="auto"/>
          <w:sz w:val="28"/>
          <w:szCs w:val="28"/>
          <w:highlight w:val="none"/>
        </w:rPr>
        <w:t>政府采购合同协议书</w:t>
      </w:r>
      <w:bookmarkEnd w:id="0"/>
    </w:p>
    <w:p w14:paraId="41D68831">
      <w:pPr>
        <w:rPr>
          <w:color w:val="auto"/>
          <w:highlight w:val="none"/>
        </w:rPr>
      </w:pPr>
    </w:p>
    <w:p w14:paraId="4C1F8F9C">
      <w:pPr>
        <w:adjustRightInd w:val="0"/>
        <w:snapToGrid w:val="0"/>
        <w:spacing w:line="400" w:lineRule="exact"/>
        <w:rPr>
          <w:rFonts w:ascii="宋体" w:hAnsi="宋体"/>
          <w:color w:val="auto"/>
          <w:szCs w:val="21"/>
          <w:highlight w:val="none"/>
        </w:rPr>
      </w:pPr>
      <w:r>
        <w:rPr>
          <w:rFonts w:hint="eastAsia" w:ascii="宋体" w:hAnsi="宋体"/>
          <w:color w:val="auto"/>
          <w:szCs w:val="21"/>
          <w:highlight w:val="none"/>
        </w:rPr>
        <w:t>甲方（全称）：</w:t>
      </w:r>
      <w:r>
        <w:rPr>
          <w:rFonts w:hint="eastAsia" w:ascii="宋体" w:hAnsi="宋体"/>
          <w:color w:val="auto"/>
          <w:szCs w:val="21"/>
          <w:highlight w:val="none"/>
          <w:u w:val="single"/>
        </w:rPr>
        <w:t xml:space="preserve">   广东石油化工学院  </w:t>
      </w:r>
    </w:p>
    <w:p w14:paraId="61565FAB">
      <w:pPr>
        <w:adjustRightInd w:val="0"/>
        <w:snapToGrid w:val="0"/>
        <w:spacing w:line="400" w:lineRule="exact"/>
        <w:rPr>
          <w:rFonts w:ascii="宋体" w:hAnsi="宋体"/>
          <w:color w:val="auto"/>
          <w:szCs w:val="21"/>
          <w:highlight w:val="none"/>
        </w:rPr>
      </w:pPr>
      <w:r>
        <w:rPr>
          <w:rFonts w:hint="eastAsia" w:ascii="宋体" w:hAnsi="宋体"/>
          <w:color w:val="auto"/>
          <w:szCs w:val="21"/>
          <w:highlight w:val="none"/>
        </w:rPr>
        <w:t>乙方（全称）：</w:t>
      </w:r>
      <w:r>
        <w:rPr>
          <w:rFonts w:hint="eastAsia" w:ascii="宋体" w:hAnsi="宋体"/>
          <w:color w:val="auto"/>
          <w:szCs w:val="21"/>
          <w:highlight w:val="none"/>
          <w:u w:val="single"/>
        </w:rPr>
        <w:t xml:space="preserve">                       </w:t>
      </w:r>
      <w:r>
        <w:rPr>
          <w:rFonts w:hint="eastAsia" w:ascii="宋体" w:hAnsi="宋体"/>
          <w:color w:val="auto"/>
          <w:szCs w:val="21"/>
          <w:highlight w:val="none"/>
        </w:rPr>
        <w:t>（供应商）</w:t>
      </w:r>
    </w:p>
    <w:p w14:paraId="7BD6C51F">
      <w:pPr>
        <w:spacing w:line="400" w:lineRule="exact"/>
        <w:rPr>
          <w:rFonts w:eastAsia="宋体"/>
          <w:color w:val="auto"/>
          <w:highlight w:val="none"/>
        </w:rPr>
      </w:pPr>
    </w:p>
    <w:p w14:paraId="5FA4617C">
      <w:pPr>
        <w:pStyle w:val="5"/>
        <w:adjustRightInd w:val="0"/>
        <w:snapToGrid w:val="0"/>
        <w:spacing w:after="0" w:line="400" w:lineRule="exact"/>
        <w:ind w:left="0" w:leftChars="0" w:firstLine="420" w:firstLineChars="200"/>
        <w:rPr>
          <w:rFonts w:ascii="宋体" w:hAnsi="宋体"/>
          <w:color w:val="auto"/>
          <w:szCs w:val="21"/>
          <w:highlight w:val="none"/>
        </w:rPr>
      </w:pPr>
      <w:r>
        <w:rPr>
          <w:rFonts w:hint="eastAsia" w:ascii="宋体" w:hAnsi="宋体"/>
          <w:color w:val="auto"/>
          <w:szCs w:val="21"/>
          <w:highlight w:val="none"/>
        </w:rPr>
        <w:t xml:space="preserve">依据《中华人民共和国民法典》、《中华人民共和国政府采购法》等有关的法律法规，以及本采购项目的招标文件、乙方的《投标（响应）文件》及《中标（成交）通知书》，甲乙双方同意签订本合同。具体情况及要求如下：     </w:t>
      </w:r>
    </w:p>
    <w:p w14:paraId="20213954">
      <w:pPr>
        <w:numPr>
          <w:ilvl w:val="0"/>
          <w:numId w:val="1"/>
        </w:numPr>
        <w:adjustRightInd w:val="0"/>
        <w:snapToGrid w:val="0"/>
        <w:spacing w:line="400" w:lineRule="exact"/>
        <w:ind w:firstLine="422" w:firstLineChars="200"/>
        <w:rPr>
          <w:rFonts w:ascii="宋体" w:hAnsi="宋体"/>
          <w:b/>
          <w:color w:val="auto"/>
          <w:szCs w:val="21"/>
          <w:highlight w:val="none"/>
        </w:rPr>
      </w:pPr>
      <w:r>
        <w:rPr>
          <w:rFonts w:hint="eastAsia" w:ascii="宋体" w:hAnsi="宋体"/>
          <w:b/>
          <w:color w:val="auto"/>
          <w:szCs w:val="21"/>
          <w:highlight w:val="none"/>
        </w:rPr>
        <w:t>项目信息</w:t>
      </w:r>
    </w:p>
    <w:p w14:paraId="0B377322">
      <w:pPr>
        <w:pStyle w:val="5"/>
        <w:numPr>
          <w:ilvl w:val="0"/>
          <w:numId w:val="2"/>
        </w:numPr>
        <w:adjustRightInd w:val="0"/>
        <w:snapToGrid w:val="0"/>
        <w:spacing w:after="0" w:line="400" w:lineRule="exact"/>
        <w:ind w:left="0" w:leftChars="0" w:firstLine="420" w:firstLineChars="200"/>
        <w:rPr>
          <w:rFonts w:ascii="宋体" w:hAnsi="宋体"/>
          <w:color w:val="auto"/>
          <w:szCs w:val="21"/>
          <w:highlight w:val="none"/>
          <w:u w:val="single"/>
        </w:rPr>
      </w:pPr>
      <w:r>
        <w:rPr>
          <w:rFonts w:hint="eastAsia" w:ascii="宋体" w:hAnsi="宋体"/>
          <w:color w:val="auto"/>
          <w:szCs w:val="21"/>
          <w:highlight w:val="none"/>
        </w:rPr>
        <w:t>采购项目名称：</w:t>
      </w:r>
      <w:r>
        <w:rPr>
          <w:rFonts w:ascii="宋体" w:hAnsi="宋体"/>
          <w:color w:val="auto"/>
          <w:szCs w:val="21"/>
          <w:highlight w:val="none"/>
          <w:u w:val="single"/>
        </w:rPr>
        <w:t xml:space="preserve">  </w:t>
      </w:r>
      <w:r>
        <w:rPr>
          <w:rFonts w:hint="eastAsia" w:ascii="宋体" w:hAnsi="宋体"/>
          <w:color w:val="auto"/>
          <w:szCs w:val="21"/>
          <w:highlight w:val="none"/>
          <w:u w:val="single"/>
        </w:rPr>
        <w:t>广东石油化工学院2025年图书馆纸质图书采购项目</w:t>
      </w:r>
      <w:r>
        <w:rPr>
          <w:rFonts w:ascii="宋体" w:hAnsi="宋体"/>
          <w:color w:val="auto"/>
          <w:szCs w:val="21"/>
          <w:highlight w:val="none"/>
          <w:u w:val="single"/>
        </w:rPr>
        <w:t xml:space="preserve">    </w:t>
      </w:r>
    </w:p>
    <w:p w14:paraId="3B0CDBEB">
      <w:pPr>
        <w:pStyle w:val="5"/>
        <w:numPr>
          <w:ilvl w:val="255"/>
          <w:numId w:val="0"/>
        </w:numPr>
        <w:tabs>
          <w:tab w:val="left" w:pos="999"/>
        </w:tabs>
        <w:adjustRightInd w:val="0"/>
        <w:snapToGrid w:val="0"/>
        <w:spacing w:after="0" w:line="400" w:lineRule="exact"/>
        <w:rPr>
          <w:rFonts w:ascii="宋体" w:hAnsi="宋体" w:eastAsia="宋体"/>
          <w:color w:val="auto"/>
          <w:szCs w:val="21"/>
          <w:highlight w:val="none"/>
        </w:rPr>
      </w:pPr>
      <w:r>
        <w:rPr>
          <w:rFonts w:hint="eastAsia" w:ascii="宋体" w:hAnsi="宋体"/>
          <w:color w:val="auto"/>
          <w:szCs w:val="21"/>
          <w:highlight w:val="none"/>
        </w:rPr>
        <w:t xml:space="preserve">         采购项目编号：</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0877-25GZTP2ZC0205    </w:t>
      </w:r>
      <w:r>
        <w:rPr>
          <w:rFonts w:ascii="宋体" w:hAnsi="宋体"/>
          <w:color w:val="auto"/>
          <w:szCs w:val="21"/>
          <w:highlight w:val="none"/>
          <w:u w:val="single"/>
        </w:rPr>
        <w:t xml:space="preserve">           </w:t>
      </w:r>
    </w:p>
    <w:p w14:paraId="5700CCC2">
      <w:pPr>
        <w:pStyle w:val="5"/>
        <w:adjustRightInd w:val="0"/>
        <w:snapToGrid w:val="0"/>
        <w:spacing w:after="0" w:line="400" w:lineRule="exact"/>
        <w:ind w:left="0" w:leftChars="0" w:firstLine="420" w:firstLineChars="200"/>
        <w:rPr>
          <w:rFonts w:ascii="宋体" w:hAnsi="宋体"/>
          <w:color w:val="auto"/>
          <w:szCs w:val="21"/>
          <w:highlight w:val="none"/>
        </w:rPr>
      </w:pPr>
      <w:r>
        <w:rPr>
          <w:rFonts w:hint="eastAsia" w:ascii="宋体" w:hAnsi="宋体"/>
          <w:color w:val="auto"/>
          <w:szCs w:val="21"/>
          <w:highlight w:val="none"/>
        </w:rPr>
        <w:t>（2）采购计划编号：</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ascii="宋体" w:hAnsi="宋体"/>
          <w:color w:val="auto"/>
          <w:szCs w:val="21"/>
          <w:highlight w:val="none"/>
        </w:rPr>
        <w:t xml:space="preserve"> </w:t>
      </w:r>
    </w:p>
    <w:p w14:paraId="0D03FB6E">
      <w:pPr>
        <w:adjustRightInd w:val="0"/>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（3）项目内容：</w:t>
      </w:r>
    </w:p>
    <w:p w14:paraId="1B5CB85D">
      <w:pPr>
        <w:numPr>
          <w:ilvl w:val="255"/>
          <w:numId w:val="0"/>
        </w:numPr>
        <w:adjustRightInd w:val="0"/>
        <w:snapToGrid w:val="0"/>
        <w:spacing w:line="400" w:lineRule="exact"/>
        <w:ind w:firstLine="420" w:firstLineChars="200"/>
        <w:rPr>
          <w:rFonts w:ascii="宋体" w:hAnsi="宋体"/>
          <w:color w:val="auto"/>
          <w:szCs w:val="21"/>
          <w:highlight w:val="none"/>
          <w:u w:val="single"/>
        </w:rPr>
      </w:pPr>
      <w:r>
        <w:rPr>
          <w:rFonts w:hint="eastAsia" w:ascii="宋体" w:hAnsi="宋体"/>
          <w:color w:val="auto"/>
          <w:szCs w:val="21"/>
          <w:highlight w:val="none"/>
        </w:rPr>
        <w:t xml:space="preserve">     采购标的及数量：</w:t>
      </w:r>
      <w:r>
        <w:rPr>
          <w:rFonts w:hint="eastAsia" w:ascii="宋体" w:hAnsi="宋体"/>
          <w:color w:val="auto"/>
          <w:szCs w:val="21"/>
          <w:highlight w:val="none"/>
          <w:u w:val="single"/>
        </w:rPr>
        <w:t xml:space="preserve"> 采购包1： 国内出版纸质图书（自然科学类）1批  </w:t>
      </w:r>
    </w:p>
    <w:p w14:paraId="6FDEFA18">
      <w:pPr>
        <w:numPr>
          <w:ilvl w:val="255"/>
          <w:numId w:val="0"/>
        </w:numPr>
        <w:adjustRightInd w:val="0"/>
        <w:snapToGrid w:val="0"/>
        <w:spacing w:line="400" w:lineRule="exact"/>
        <w:ind w:firstLine="420" w:firstLineChars="200"/>
        <w:rPr>
          <w:rFonts w:ascii="宋体" w:hAnsi="宋体" w:cs="宋体"/>
          <w:color w:val="auto"/>
          <w:szCs w:val="21"/>
          <w:highlight w:val="none"/>
          <w:lang w:val="en"/>
        </w:rPr>
      </w:pPr>
      <w:r>
        <w:rPr>
          <w:rFonts w:hint="eastAsia" w:ascii="宋体" w:hAnsi="宋体"/>
          <w:color w:val="auto"/>
          <w:szCs w:val="21"/>
          <w:highlight w:val="none"/>
        </w:rPr>
        <w:t xml:space="preserve">                     </w:t>
      </w:r>
      <w:r>
        <w:rPr>
          <w:rFonts w:hint="eastAsia" w:ascii="宋体" w:hAnsi="宋体"/>
          <w:color w:val="auto"/>
          <w:szCs w:val="21"/>
          <w:highlight w:val="none"/>
          <w:u w:val="single"/>
        </w:rPr>
        <w:t xml:space="preserve">或采购包2：国内出版纸质图书（社会科学类）1批 </w:t>
      </w:r>
      <w:r>
        <w:rPr>
          <w:rFonts w:hint="eastAsia" w:ascii="宋体" w:hAnsi="宋体"/>
          <w:color w:val="auto"/>
          <w:szCs w:val="21"/>
          <w:highlight w:val="none"/>
        </w:rPr>
        <w:t xml:space="preserve">  </w:t>
      </w:r>
    </w:p>
    <w:p w14:paraId="20CBBC42">
      <w:pPr>
        <w:adjustRightInd w:val="0"/>
        <w:snapToGrid w:val="0"/>
        <w:spacing w:line="400" w:lineRule="exact"/>
        <w:ind w:firstLine="945" w:firstLineChars="450"/>
        <w:rPr>
          <w:rFonts w:ascii="宋体" w:hAnsi="宋体"/>
          <w:color w:val="auto"/>
          <w:szCs w:val="21"/>
          <w:highlight w:val="none"/>
          <w:u w:val="single"/>
        </w:rPr>
      </w:pPr>
      <w:r>
        <w:rPr>
          <w:rFonts w:hint="eastAsia" w:ascii="宋体" w:hAnsi="宋体"/>
          <w:color w:val="auto"/>
          <w:szCs w:val="21"/>
          <w:highlight w:val="none"/>
        </w:rPr>
        <w:t>采购标的的技术要求、商务要求具体见附件。</w:t>
      </w:r>
    </w:p>
    <w:p w14:paraId="6231A88A">
      <w:pPr>
        <w:pStyle w:val="2"/>
        <w:numPr>
          <w:ilvl w:val="255"/>
          <w:numId w:val="0"/>
        </w:numPr>
        <w:snapToGrid w:val="0"/>
        <w:rPr>
          <w:rFonts w:asciiTheme="minorEastAsia" w:hAnsiTheme="minorEastAsia" w:eastAsiaTheme="minorEastAsia" w:cstheme="minorEastAsia"/>
          <w:color w:val="auto"/>
          <w:sz w:val="21"/>
          <w:highlight w:val="none"/>
        </w:rPr>
      </w:pPr>
      <w:r>
        <w:rPr>
          <w:rFonts w:hint="eastAsia" w:asciiTheme="minorEastAsia" w:hAnsiTheme="minorEastAsia" w:eastAsiaTheme="minorEastAsia" w:cstheme="minorEastAsia"/>
          <w:color w:val="auto"/>
          <w:sz w:val="21"/>
          <w:highlight w:val="none"/>
        </w:rPr>
        <w:t xml:space="preserve">    （</w:t>
      </w:r>
      <w:r>
        <w:rPr>
          <w:rFonts w:asciiTheme="minorEastAsia" w:hAnsiTheme="minorEastAsia" w:eastAsiaTheme="minorEastAsia" w:cstheme="minorEastAsia"/>
          <w:color w:val="auto"/>
          <w:sz w:val="21"/>
          <w:highlight w:val="none"/>
          <w:lang w:val="en"/>
        </w:rPr>
        <w:t>4</w:t>
      </w:r>
      <w:r>
        <w:rPr>
          <w:rFonts w:hint="eastAsia" w:asciiTheme="minorEastAsia" w:hAnsiTheme="minorEastAsia" w:eastAsiaTheme="minorEastAsia" w:cstheme="minorEastAsia"/>
          <w:color w:val="auto"/>
          <w:sz w:val="21"/>
          <w:highlight w:val="none"/>
        </w:rPr>
        <w:t>）政府采购组织形式：</w:t>
      </w:r>
      <w:r>
        <w:rPr>
          <w:rFonts w:hint="eastAsia" w:asciiTheme="minorEastAsia" w:hAnsiTheme="minorEastAsia" w:eastAsiaTheme="minorEastAsia" w:cstheme="minorEastAsia"/>
          <w:color w:val="auto"/>
          <w:sz w:val="21"/>
          <w:highlight w:val="none"/>
        </w:rPr>
        <w:sym w:font="Wingdings" w:char="00A8"/>
      </w:r>
      <w:r>
        <w:rPr>
          <w:rFonts w:hint="eastAsia" w:asciiTheme="minorEastAsia" w:hAnsiTheme="minorEastAsia" w:eastAsiaTheme="minorEastAsia" w:cstheme="minorEastAsia"/>
          <w:color w:val="auto"/>
          <w:sz w:val="21"/>
          <w:highlight w:val="none"/>
        </w:rPr>
        <w:t xml:space="preserve">政府集中采购  </w:t>
      </w:r>
      <w:r>
        <w:rPr>
          <w:rFonts w:hint="eastAsia" w:asciiTheme="minorEastAsia" w:hAnsiTheme="minorEastAsia" w:eastAsiaTheme="minorEastAsia" w:cstheme="minorEastAsia"/>
          <w:color w:val="auto"/>
          <w:sz w:val="21"/>
          <w:highlight w:val="none"/>
        </w:rPr>
        <w:sym w:font="Wingdings" w:char="00A8"/>
      </w:r>
      <w:r>
        <w:rPr>
          <w:rFonts w:hint="eastAsia" w:asciiTheme="minorEastAsia" w:hAnsiTheme="minorEastAsia" w:eastAsiaTheme="minorEastAsia" w:cstheme="minorEastAsia"/>
          <w:color w:val="auto"/>
          <w:sz w:val="21"/>
          <w:highlight w:val="none"/>
        </w:rPr>
        <w:t xml:space="preserve">部门集中采购  </w:t>
      </w:r>
      <w:r>
        <w:rPr>
          <w:rFonts w:hint="eastAsia" w:asciiTheme="minorEastAsia" w:hAnsiTheme="minorEastAsia" w:eastAsiaTheme="minorEastAsia" w:cstheme="minorEastAsia"/>
          <w:color w:val="auto"/>
          <w:sz w:val="21"/>
          <w:highlight w:val="none"/>
        </w:rPr>
        <w:sym w:font="Wingdings" w:char="00FE"/>
      </w:r>
      <w:r>
        <w:rPr>
          <w:rFonts w:hint="eastAsia" w:asciiTheme="minorEastAsia" w:hAnsiTheme="minorEastAsia" w:eastAsiaTheme="minorEastAsia" w:cstheme="minorEastAsia"/>
          <w:color w:val="auto"/>
          <w:sz w:val="21"/>
          <w:highlight w:val="none"/>
        </w:rPr>
        <w:t>分散采购</w:t>
      </w:r>
    </w:p>
    <w:p w14:paraId="5A2F802F">
      <w:pPr>
        <w:pStyle w:val="2"/>
        <w:numPr>
          <w:ilvl w:val="255"/>
          <w:numId w:val="0"/>
        </w:numPr>
        <w:snapToGrid w:val="0"/>
        <w:ind w:firstLine="420"/>
        <w:rPr>
          <w:rFonts w:asciiTheme="minorEastAsia" w:hAnsiTheme="minorEastAsia" w:eastAsiaTheme="minorEastAsia" w:cstheme="minorEastAsia"/>
          <w:color w:val="auto"/>
          <w:sz w:val="21"/>
          <w:highlight w:val="none"/>
        </w:rPr>
      </w:pPr>
      <w:r>
        <w:rPr>
          <w:rFonts w:hint="eastAsia" w:asciiTheme="minorEastAsia" w:hAnsiTheme="minorEastAsia" w:eastAsiaTheme="minorEastAsia" w:cstheme="minorEastAsia"/>
          <w:color w:val="auto"/>
          <w:sz w:val="21"/>
          <w:highlight w:val="none"/>
        </w:rPr>
        <w:t>（</w:t>
      </w:r>
      <w:r>
        <w:rPr>
          <w:rFonts w:asciiTheme="minorEastAsia" w:hAnsiTheme="minorEastAsia" w:eastAsiaTheme="minorEastAsia" w:cstheme="minorEastAsia"/>
          <w:color w:val="auto"/>
          <w:sz w:val="21"/>
          <w:highlight w:val="none"/>
          <w:lang w:val="en"/>
        </w:rPr>
        <w:t>5</w:t>
      </w:r>
      <w:r>
        <w:rPr>
          <w:rFonts w:hint="eastAsia" w:asciiTheme="minorEastAsia" w:hAnsiTheme="minorEastAsia" w:eastAsiaTheme="minorEastAsia" w:cstheme="minorEastAsia"/>
          <w:color w:val="auto"/>
          <w:sz w:val="21"/>
          <w:highlight w:val="none"/>
        </w:rPr>
        <w:t>）政府采购方式：</w:t>
      </w:r>
      <w:r>
        <w:rPr>
          <w:rFonts w:hint="eastAsia" w:asciiTheme="minorEastAsia" w:hAnsiTheme="minorEastAsia" w:eastAsiaTheme="minorEastAsia" w:cstheme="minorEastAsia"/>
          <w:color w:val="auto"/>
          <w:sz w:val="21"/>
          <w:highlight w:val="none"/>
        </w:rPr>
        <w:sym w:font="Wingdings" w:char="00FE"/>
      </w:r>
      <w:r>
        <w:rPr>
          <w:rFonts w:hint="eastAsia" w:asciiTheme="minorEastAsia" w:hAnsiTheme="minorEastAsia" w:eastAsiaTheme="minorEastAsia" w:cstheme="minorEastAsia"/>
          <w:color w:val="auto"/>
          <w:sz w:val="21"/>
          <w:highlight w:val="none"/>
        </w:rPr>
        <w:t xml:space="preserve">公开招标 </w:t>
      </w:r>
      <w:r>
        <w:rPr>
          <w:rFonts w:hint="eastAsia" w:asciiTheme="minorEastAsia" w:hAnsiTheme="minorEastAsia" w:eastAsiaTheme="minorEastAsia" w:cstheme="minorEastAsia"/>
          <w:color w:val="auto"/>
          <w:sz w:val="21"/>
          <w:highlight w:val="none"/>
        </w:rPr>
        <w:sym w:font="Wingdings" w:char="00A8"/>
      </w:r>
      <w:r>
        <w:rPr>
          <w:rFonts w:hint="eastAsia" w:asciiTheme="minorEastAsia" w:hAnsiTheme="minorEastAsia" w:eastAsiaTheme="minorEastAsia" w:cstheme="minorEastAsia"/>
          <w:color w:val="auto"/>
          <w:sz w:val="21"/>
          <w:highlight w:val="none"/>
        </w:rPr>
        <w:t xml:space="preserve">邀请招标 </w:t>
      </w:r>
      <w:r>
        <w:rPr>
          <w:rFonts w:hint="eastAsia" w:asciiTheme="minorEastAsia" w:hAnsiTheme="minorEastAsia" w:eastAsiaTheme="minorEastAsia" w:cstheme="minorEastAsia"/>
          <w:color w:val="auto"/>
          <w:sz w:val="21"/>
          <w:highlight w:val="none"/>
        </w:rPr>
        <w:sym w:font="Wingdings" w:char="00A8"/>
      </w:r>
      <w:r>
        <w:rPr>
          <w:rFonts w:hint="eastAsia" w:asciiTheme="minorEastAsia" w:hAnsiTheme="minorEastAsia" w:eastAsiaTheme="minorEastAsia" w:cstheme="minorEastAsia"/>
          <w:color w:val="auto"/>
          <w:sz w:val="21"/>
          <w:highlight w:val="none"/>
        </w:rPr>
        <w:t xml:space="preserve">竞争性谈判 </w:t>
      </w:r>
      <w:r>
        <w:rPr>
          <w:rFonts w:hint="eastAsia" w:asciiTheme="minorEastAsia" w:hAnsiTheme="minorEastAsia" w:eastAsiaTheme="minorEastAsia" w:cstheme="minorEastAsia"/>
          <w:color w:val="auto"/>
          <w:sz w:val="21"/>
          <w:highlight w:val="none"/>
        </w:rPr>
        <w:sym w:font="Wingdings" w:char="00A8"/>
      </w:r>
      <w:r>
        <w:rPr>
          <w:rFonts w:hint="eastAsia" w:asciiTheme="minorEastAsia" w:hAnsiTheme="minorEastAsia" w:eastAsiaTheme="minorEastAsia" w:cstheme="minorEastAsia"/>
          <w:color w:val="auto"/>
          <w:sz w:val="21"/>
          <w:highlight w:val="none"/>
        </w:rPr>
        <w:t>竞争性磋商</w:t>
      </w:r>
    </w:p>
    <w:p w14:paraId="31B11E9A">
      <w:pPr>
        <w:pStyle w:val="2"/>
        <w:numPr>
          <w:ilvl w:val="255"/>
          <w:numId w:val="0"/>
        </w:numPr>
        <w:snapToGrid w:val="0"/>
        <w:ind w:firstLine="420"/>
        <w:rPr>
          <w:rFonts w:ascii="宋体" w:hAnsi="宋体" w:eastAsia="宋体" w:cs="宋体"/>
          <w:color w:val="auto"/>
          <w:sz w:val="21"/>
          <w:highlight w:val="none"/>
          <w:u w:val="single"/>
        </w:rPr>
      </w:pPr>
      <w:r>
        <w:rPr>
          <w:rFonts w:hint="eastAsia" w:ascii="宋体" w:hAnsi="宋体" w:cs="宋体"/>
          <w:color w:val="auto"/>
          <w:highlight w:val="none"/>
        </w:rPr>
        <w:t xml:space="preserve">                  </w:t>
      </w:r>
      <w:r>
        <w:rPr>
          <w:rFonts w:hint="eastAsia" w:asciiTheme="minorEastAsia" w:hAnsiTheme="minorEastAsia" w:eastAsiaTheme="minorEastAsia" w:cstheme="minorEastAsia"/>
          <w:color w:val="auto"/>
          <w:sz w:val="21"/>
          <w:highlight w:val="none"/>
        </w:rPr>
        <w:sym w:font="Wingdings" w:char="00A8"/>
      </w:r>
      <w:r>
        <w:rPr>
          <w:rFonts w:hint="eastAsia" w:asciiTheme="minorEastAsia" w:hAnsiTheme="minorEastAsia" w:eastAsiaTheme="minorEastAsia" w:cstheme="minorEastAsia"/>
          <w:color w:val="auto"/>
          <w:sz w:val="21"/>
          <w:highlight w:val="none"/>
        </w:rPr>
        <w:t xml:space="preserve">询价 </w:t>
      </w:r>
      <w:r>
        <w:rPr>
          <w:rFonts w:hint="eastAsia" w:asciiTheme="minorEastAsia" w:hAnsiTheme="minorEastAsia" w:eastAsiaTheme="minorEastAsia" w:cstheme="minorEastAsia"/>
          <w:color w:val="auto"/>
          <w:sz w:val="21"/>
          <w:highlight w:val="none"/>
        </w:rPr>
        <w:sym w:font="Wingdings" w:char="00A8"/>
      </w:r>
      <w:r>
        <w:rPr>
          <w:rFonts w:hint="eastAsia" w:asciiTheme="minorEastAsia" w:hAnsiTheme="minorEastAsia" w:eastAsiaTheme="minorEastAsia" w:cstheme="minorEastAsia"/>
          <w:color w:val="auto"/>
          <w:sz w:val="21"/>
          <w:highlight w:val="none"/>
        </w:rPr>
        <w:t xml:space="preserve">单一来源 </w:t>
      </w:r>
      <w:r>
        <w:rPr>
          <w:rFonts w:hint="eastAsia" w:asciiTheme="minorEastAsia" w:hAnsiTheme="minorEastAsia" w:eastAsiaTheme="minorEastAsia" w:cstheme="minorEastAsia"/>
          <w:color w:val="auto"/>
          <w:sz w:val="21"/>
          <w:highlight w:val="none"/>
        </w:rPr>
        <w:sym w:font="Wingdings" w:char="00A8"/>
      </w:r>
      <w:r>
        <w:rPr>
          <w:rFonts w:hint="eastAsia" w:asciiTheme="minorEastAsia" w:hAnsiTheme="minorEastAsia" w:eastAsiaTheme="minorEastAsia" w:cstheme="minorEastAsia"/>
          <w:color w:val="auto"/>
          <w:sz w:val="21"/>
          <w:highlight w:val="none"/>
        </w:rPr>
        <w:t xml:space="preserve">框架协议 </w:t>
      </w:r>
      <w:r>
        <w:rPr>
          <w:rFonts w:hint="eastAsia" w:asciiTheme="minorEastAsia" w:hAnsiTheme="minorEastAsia" w:eastAsiaTheme="minorEastAsia" w:cstheme="minorEastAsia"/>
          <w:color w:val="auto"/>
          <w:sz w:val="21"/>
          <w:highlight w:val="none"/>
        </w:rPr>
        <w:sym w:font="Wingdings" w:char="00A8"/>
      </w:r>
      <w:r>
        <w:rPr>
          <w:rFonts w:hint="eastAsia" w:asciiTheme="minorEastAsia" w:hAnsiTheme="minorEastAsia" w:eastAsiaTheme="minorEastAsia" w:cstheme="minorEastAsia"/>
          <w:color w:val="auto"/>
          <w:sz w:val="21"/>
          <w:highlight w:val="none"/>
        </w:rPr>
        <w:t>其他：</w:t>
      </w:r>
      <w:r>
        <w:rPr>
          <w:rFonts w:hint="eastAsia" w:ascii="宋体" w:hAnsi="宋体" w:eastAsia="宋体" w:cs="宋体"/>
          <w:color w:val="auto"/>
          <w:sz w:val="21"/>
          <w:highlight w:val="none"/>
          <w:u w:val="single"/>
        </w:rPr>
        <w:t xml:space="preserve">          </w:t>
      </w:r>
    </w:p>
    <w:p w14:paraId="0D2ED776">
      <w:pPr>
        <w:pStyle w:val="2"/>
        <w:numPr>
          <w:ilvl w:val="255"/>
          <w:numId w:val="0"/>
        </w:numPr>
        <w:snapToGrid w:val="0"/>
        <w:ind w:firstLine="420"/>
        <w:rPr>
          <w:rFonts w:ascii="宋体" w:hAnsi="宋体" w:eastAsia="宋体" w:cs="宋体"/>
          <w:color w:val="auto"/>
          <w:sz w:val="21"/>
          <w:highlight w:val="none"/>
        </w:rPr>
      </w:pPr>
      <w:r>
        <w:rPr>
          <w:rFonts w:hint="eastAsia" w:ascii="宋体" w:hAnsi="宋体" w:eastAsia="宋体" w:cs="宋体"/>
          <w:color w:val="auto"/>
          <w:sz w:val="21"/>
          <w:highlight w:val="none"/>
        </w:rPr>
        <w:t>（注：在框架协议采购的第二阶段，可选择使用该合同文本）</w:t>
      </w:r>
    </w:p>
    <w:p w14:paraId="7C51DBA4">
      <w:pPr>
        <w:pStyle w:val="2"/>
        <w:numPr>
          <w:ilvl w:val="255"/>
          <w:numId w:val="0"/>
        </w:numPr>
        <w:snapToGrid w:val="0"/>
        <w:ind w:firstLine="220" w:firstLineChars="100"/>
        <w:rPr>
          <w:rFonts w:ascii="宋体" w:hAnsi="宋体" w:eastAsia="宋体" w:cs="Times New Roman"/>
          <w:color w:val="auto"/>
          <w:kern w:val="2"/>
          <w:sz w:val="21"/>
          <w:highlight w:val="none"/>
        </w:rPr>
      </w:pPr>
      <w:r>
        <w:rPr>
          <w:rFonts w:hint="eastAsia" w:ascii="宋体" w:hAnsi="宋体"/>
          <w:color w:val="auto"/>
          <w:highlight w:val="none"/>
        </w:rPr>
        <w:t xml:space="preserve"> （</w:t>
      </w:r>
      <w:r>
        <w:rPr>
          <w:rFonts w:ascii="宋体" w:hAnsi="宋体"/>
          <w:color w:val="auto"/>
          <w:highlight w:val="none"/>
          <w:lang w:val="en"/>
        </w:rPr>
        <w:t>6</w:t>
      </w:r>
      <w:r>
        <w:rPr>
          <w:rFonts w:hint="eastAsia" w:ascii="宋体" w:hAnsi="宋体"/>
          <w:color w:val="auto"/>
          <w:highlight w:val="none"/>
        </w:rPr>
        <w:t>）</w:t>
      </w:r>
      <w:r>
        <w:rPr>
          <w:rFonts w:hint="eastAsia" w:ascii="宋体" w:hAnsi="宋体" w:eastAsia="宋体" w:cs="Times New Roman"/>
          <w:color w:val="auto"/>
          <w:kern w:val="2"/>
          <w:sz w:val="21"/>
          <w:highlight w:val="none"/>
        </w:rPr>
        <w:t>中标（成交）采购标的制造商是否为中小企业：</w:t>
      </w:r>
      <w:r>
        <w:rPr>
          <w:rFonts w:hint="eastAsia" w:ascii="宋体" w:hAnsi="宋体" w:eastAsia="宋体" w:cs="Times New Roman"/>
          <w:color w:val="auto"/>
          <w:kern w:val="2"/>
          <w:sz w:val="21"/>
          <w:highlight w:val="none"/>
        </w:rPr>
        <w:sym w:font="Wingdings" w:char="00A8"/>
      </w:r>
      <w:r>
        <w:rPr>
          <w:rFonts w:hint="eastAsia" w:ascii="宋体" w:hAnsi="宋体" w:eastAsia="宋体" w:cs="Times New Roman"/>
          <w:color w:val="auto"/>
          <w:kern w:val="2"/>
          <w:sz w:val="21"/>
          <w:highlight w:val="none"/>
        </w:rPr>
        <w:t xml:space="preserve">是      </w:t>
      </w:r>
      <w:r>
        <w:rPr>
          <w:rFonts w:hint="eastAsia" w:ascii="宋体" w:hAnsi="宋体" w:eastAsia="宋体" w:cs="Times New Roman"/>
          <w:color w:val="auto"/>
          <w:kern w:val="2"/>
          <w:sz w:val="21"/>
          <w:highlight w:val="none"/>
        </w:rPr>
        <w:sym w:font="Wingdings" w:char="00A8"/>
      </w:r>
      <w:r>
        <w:rPr>
          <w:rFonts w:hint="eastAsia" w:ascii="宋体" w:hAnsi="宋体" w:eastAsia="宋体" w:cs="Times New Roman"/>
          <w:color w:val="auto"/>
          <w:kern w:val="2"/>
          <w:sz w:val="21"/>
          <w:highlight w:val="none"/>
        </w:rPr>
        <w:t>否</w:t>
      </w:r>
    </w:p>
    <w:p w14:paraId="336D13E3">
      <w:pPr>
        <w:numPr>
          <w:ilvl w:val="255"/>
          <w:numId w:val="0"/>
        </w:numPr>
        <w:adjustRightInd w:val="0"/>
        <w:snapToGrid w:val="0"/>
        <w:spacing w:line="400" w:lineRule="exact"/>
        <w:rPr>
          <w:rFonts w:ascii="宋体" w:hAnsi="宋体"/>
          <w:iCs/>
          <w:color w:val="auto"/>
          <w:szCs w:val="21"/>
          <w:highlight w:val="none"/>
        </w:rPr>
      </w:pPr>
      <w:r>
        <w:rPr>
          <w:rFonts w:hint="eastAsia" w:ascii="宋体" w:hAnsi="宋体"/>
          <w:color w:val="auto"/>
          <w:szCs w:val="21"/>
          <w:highlight w:val="none"/>
        </w:rPr>
        <w:t xml:space="preserve">         本合同是否为专门面向中小企业的采购合同（中小企业预留合同）：</w:t>
      </w:r>
      <w:r>
        <w:rPr>
          <w:rFonts w:hint="eastAsia" w:ascii="宋体" w:hAnsi="宋体"/>
          <w:iCs/>
          <w:color w:val="auto"/>
          <w:szCs w:val="21"/>
          <w:highlight w:val="none"/>
        </w:rPr>
        <w:sym w:font="Wingdings" w:char="00A8"/>
      </w:r>
      <w:r>
        <w:rPr>
          <w:rFonts w:hint="eastAsia" w:ascii="宋体" w:hAnsi="宋体"/>
          <w:iCs/>
          <w:color w:val="auto"/>
          <w:szCs w:val="21"/>
          <w:highlight w:val="none"/>
        </w:rPr>
        <w:t xml:space="preserve">是    </w:t>
      </w:r>
      <w:r>
        <w:rPr>
          <w:rFonts w:hint="eastAsia" w:ascii="宋体" w:hAnsi="宋体"/>
          <w:iCs/>
          <w:color w:val="auto"/>
          <w:szCs w:val="21"/>
          <w:highlight w:val="none"/>
        </w:rPr>
        <w:sym w:font="Wingdings" w:char="00FE"/>
      </w:r>
      <w:r>
        <w:rPr>
          <w:rFonts w:hint="eastAsia" w:ascii="宋体" w:hAnsi="宋体"/>
          <w:iCs/>
          <w:color w:val="auto"/>
          <w:szCs w:val="21"/>
          <w:highlight w:val="none"/>
        </w:rPr>
        <w:t>否</w:t>
      </w:r>
    </w:p>
    <w:p w14:paraId="3BD30C03">
      <w:pPr>
        <w:numPr>
          <w:ilvl w:val="255"/>
          <w:numId w:val="0"/>
        </w:numPr>
        <w:adjustRightInd w:val="0"/>
        <w:snapToGrid w:val="0"/>
        <w:spacing w:line="400" w:lineRule="exact"/>
        <w:rPr>
          <w:rFonts w:ascii="宋体" w:hAnsi="宋体"/>
          <w:iCs/>
          <w:color w:val="auto"/>
          <w:szCs w:val="21"/>
          <w:highlight w:val="none"/>
        </w:rPr>
      </w:pPr>
      <w:r>
        <w:rPr>
          <w:rFonts w:hint="eastAsia"/>
          <w:color w:val="auto"/>
          <w:highlight w:val="none"/>
        </w:rPr>
        <w:t xml:space="preserve">         若本项目不专门面向中小企业采购，是否给予小微企业评审优惠：</w:t>
      </w:r>
      <w:r>
        <w:rPr>
          <w:rFonts w:hint="eastAsia" w:ascii="宋体" w:hAnsi="宋体"/>
          <w:iCs/>
          <w:color w:val="auto"/>
          <w:szCs w:val="21"/>
          <w:highlight w:val="none"/>
        </w:rPr>
        <w:sym w:font="Wingdings" w:char="00FE"/>
      </w:r>
      <w:r>
        <w:rPr>
          <w:rFonts w:hint="eastAsia" w:ascii="宋体" w:hAnsi="宋体"/>
          <w:iCs/>
          <w:color w:val="auto"/>
          <w:szCs w:val="21"/>
          <w:highlight w:val="none"/>
        </w:rPr>
        <w:t xml:space="preserve">是   </w:t>
      </w:r>
      <w:r>
        <w:rPr>
          <w:rFonts w:hint="eastAsia" w:ascii="宋体" w:hAnsi="宋体"/>
          <w:iCs/>
          <w:color w:val="auto"/>
          <w:szCs w:val="21"/>
          <w:highlight w:val="none"/>
        </w:rPr>
        <w:sym w:font="Wingdings" w:char="00A8"/>
      </w:r>
      <w:r>
        <w:rPr>
          <w:rFonts w:hint="eastAsia" w:ascii="宋体" w:hAnsi="宋体"/>
          <w:iCs/>
          <w:color w:val="auto"/>
          <w:szCs w:val="21"/>
          <w:highlight w:val="none"/>
        </w:rPr>
        <w:t>否</w:t>
      </w:r>
    </w:p>
    <w:p w14:paraId="210DDBF4">
      <w:pPr>
        <w:numPr>
          <w:ilvl w:val="255"/>
          <w:numId w:val="0"/>
        </w:numPr>
        <w:adjustRightInd w:val="0"/>
        <w:snapToGrid w:val="0"/>
        <w:spacing w:line="400" w:lineRule="exact"/>
        <w:rPr>
          <w:rFonts w:ascii="宋体" w:hAnsi="宋体"/>
          <w:iCs/>
          <w:color w:val="auto"/>
          <w:szCs w:val="21"/>
          <w:highlight w:val="none"/>
        </w:rPr>
      </w:pPr>
      <w:r>
        <w:rPr>
          <w:rFonts w:hint="eastAsia"/>
          <w:color w:val="auto"/>
          <w:highlight w:val="none"/>
        </w:rPr>
        <w:t xml:space="preserve">         中标（成交）采购标的制造商是否为残疾人福利性单位：</w:t>
      </w:r>
      <w:r>
        <w:rPr>
          <w:rFonts w:hint="eastAsia" w:ascii="宋体" w:hAnsi="宋体"/>
          <w:iCs/>
          <w:color w:val="auto"/>
          <w:szCs w:val="21"/>
          <w:highlight w:val="none"/>
        </w:rPr>
        <w:sym w:font="Wingdings" w:char="00A8"/>
      </w:r>
      <w:r>
        <w:rPr>
          <w:rFonts w:hint="eastAsia" w:ascii="宋体" w:hAnsi="宋体"/>
          <w:iCs/>
          <w:color w:val="auto"/>
          <w:szCs w:val="21"/>
          <w:highlight w:val="none"/>
        </w:rPr>
        <w:t xml:space="preserve">是   </w:t>
      </w:r>
      <w:r>
        <w:rPr>
          <w:rFonts w:hint="eastAsia" w:ascii="宋体" w:hAnsi="宋体"/>
          <w:iCs/>
          <w:color w:val="auto"/>
          <w:szCs w:val="21"/>
          <w:highlight w:val="none"/>
        </w:rPr>
        <w:sym w:font="Wingdings" w:char="00A8"/>
      </w:r>
      <w:r>
        <w:rPr>
          <w:rFonts w:hint="eastAsia" w:ascii="宋体" w:hAnsi="宋体"/>
          <w:iCs/>
          <w:color w:val="auto"/>
          <w:szCs w:val="21"/>
          <w:highlight w:val="none"/>
        </w:rPr>
        <w:t>否</w:t>
      </w:r>
    </w:p>
    <w:p w14:paraId="0EF02B90">
      <w:pPr>
        <w:snapToGrid w:val="0"/>
        <w:spacing w:line="400" w:lineRule="exact"/>
        <w:rPr>
          <w:color w:val="auto"/>
          <w:highlight w:val="none"/>
        </w:rPr>
      </w:pPr>
      <w:r>
        <w:rPr>
          <w:rFonts w:hint="eastAsia"/>
          <w:color w:val="auto"/>
          <w:highlight w:val="none"/>
        </w:rPr>
        <w:t xml:space="preserve">         中标（成交）采购标的制造商是否为监狱企业：</w:t>
      </w:r>
      <w:r>
        <w:rPr>
          <w:rFonts w:hint="eastAsia" w:ascii="宋体" w:hAnsi="宋体"/>
          <w:iCs/>
          <w:color w:val="auto"/>
          <w:szCs w:val="21"/>
          <w:highlight w:val="none"/>
        </w:rPr>
        <w:sym w:font="Wingdings" w:char="00A8"/>
      </w:r>
      <w:r>
        <w:rPr>
          <w:rFonts w:hint="eastAsia" w:ascii="宋体" w:hAnsi="宋体"/>
          <w:iCs/>
          <w:color w:val="auto"/>
          <w:szCs w:val="21"/>
          <w:highlight w:val="none"/>
        </w:rPr>
        <w:t xml:space="preserve">是       </w:t>
      </w:r>
      <w:r>
        <w:rPr>
          <w:rFonts w:hint="eastAsia" w:ascii="宋体" w:hAnsi="宋体"/>
          <w:iCs/>
          <w:color w:val="auto"/>
          <w:szCs w:val="21"/>
          <w:highlight w:val="none"/>
        </w:rPr>
        <w:sym w:font="Wingdings" w:char="00A8"/>
      </w:r>
      <w:r>
        <w:rPr>
          <w:rFonts w:hint="eastAsia" w:ascii="宋体" w:hAnsi="宋体"/>
          <w:iCs/>
          <w:color w:val="auto"/>
          <w:szCs w:val="21"/>
          <w:highlight w:val="none"/>
        </w:rPr>
        <w:t>否</w:t>
      </w:r>
    </w:p>
    <w:p w14:paraId="7A122BCA">
      <w:pPr>
        <w:adjustRightInd w:val="0"/>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w:t>
      </w:r>
      <w:r>
        <w:rPr>
          <w:rFonts w:ascii="宋体" w:hAnsi="宋体"/>
          <w:color w:val="auto"/>
          <w:szCs w:val="21"/>
          <w:highlight w:val="none"/>
          <w:lang w:val="en"/>
        </w:rPr>
        <w:t>7</w:t>
      </w:r>
      <w:r>
        <w:rPr>
          <w:rFonts w:hint="eastAsia" w:ascii="宋体" w:hAnsi="宋体"/>
          <w:color w:val="auto"/>
          <w:szCs w:val="21"/>
          <w:highlight w:val="none"/>
        </w:rPr>
        <w:t>）合同是否分包：</w:t>
      </w:r>
      <w:r>
        <w:rPr>
          <w:rFonts w:hint="eastAsia" w:ascii="宋体" w:hAnsi="宋体"/>
          <w:iCs/>
          <w:color w:val="auto"/>
          <w:szCs w:val="21"/>
          <w:highlight w:val="none"/>
        </w:rPr>
        <w:sym w:font="Wingdings" w:char="00A8"/>
      </w:r>
      <w:r>
        <w:rPr>
          <w:rFonts w:hint="eastAsia" w:ascii="宋体" w:hAnsi="宋体"/>
          <w:iCs/>
          <w:color w:val="auto"/>
          <w:szCs w:val="21"/>
          <w:highlight w:val="none"/>
        </w:rPr>
        <w:t xml:space="preserve">是       </w:t>
      </w:r>
      <w:r>
        <w:rPr>
          <w:rFonts w:hint="eastAsia" w:ascii="宋体" w:hAnsi="宋体"/>
          <w:iCs/>
          <w:color w:val="auto"/>
          <w:szCs w:val="21"/>
          <w:highlight w:val="none"/>
        </w:rPr>
        <w:sym w:font="Wingdings" w:char="00FE"/>
      </w:r>
      <w:r>
        <w:rPr>
          <w:rFonts w:hint="eastAsia" w:ascii="宋体" w:hAnsi="宋体"/>
          <w:iCs/>
          <w:color w:val="auto"/>
          <w:szCs w:val="21"/>
          <w:highlight w:val="none"/>
        </w:rPr>
        <w:t>否</w:t>
      </w:r>
    </w:p>
    <w:p w14:paraId="021C56E6">
      <w:pPr>
        <w:adjustRightInd w:val="0"/>
        <w:snapToGrid w:val="0"/>
        <w:spacing w:line="400" w:lineRule="exact"/>
        <w:ind w:firstLine="840" w:firstLineChars="400"/>
        <w:rPr>
          <w:rFonts w:ascii="宋体" w:hAnsi="宋体"/>
          <w:color w:val="auto"/>
          <w:szCs w:val="21"/>
          <w:highlight w:val="none"/>
          <w:u w:val="single"/>
        </w:rPr>
      </w:pPr>
      <w:r>
        <w:rPr>
          <w:rFonts w:hint="eastAsia" w:ascii="宋体" w:hAnsi="宋体"/>
          <w:color w:val="auto"/>
          <w:szCs w:val="21"/>
          <w:highlight w:val="none"/>
        </w:rPr>
        <w:t xml:space="preserve"> 分包主要内容：</w:t>
      </w:r>
      <w:r>
        <w:rPr>
          <w:rFonts w:hint="eastAsia" w:ascii="宋体" w:hAnsi="宋体"/>
          <w:color w:val="auto"/>
          <w:szCs w:val="21"/>
          <w:highlight w:val="none"/>
          <w:u w:val="single"/>
        </w:rPr>
        <w:t xml:space="preserve">                                            </w:t>
      </w:r>
    </w:p>
    <w:p w14:paraId="48AEE53B">
      <w:pPr>
        <w:adjustRightInd w:val="0"/>
        <w:snapToGrid w:val="0"/>
        <w:spacing w:line="400" w:lineRule="exact"/>
        <w:ind w:firstLine="840" w:firstLineChars="400"/>
        <w:rPr>
          <w:rFonts w:ascii="宋体" w:hAnsi="宋体"/>
          <w:color w:val="auto"/>
          <w:szCs w:val="21"/>
          <w:highlight w:val="none"/>
        </w:rPr>
      </w:pPr>
      <w:r>
        <w:rPr>
          <w:rFonts w:hint="eastAsia" w:ascii="宋体" w:hAnsi="宋体"/>
          <w:color w:val="auto"/>
          <w:szCs w:val="21"/>
          <w:highlight w:val="none"/>
        </w:rPr>
        <w:t xml:space="preserve"> 分包供应商/制造商名称（如供应商和制造商不同，请分别填写）：</w:t>
      </w:r>
    </w:p>
    <w:p w14:paraId="0F75BA06">
      <w:pPr>
        <w:adjustRightInd w:val="0"/>
        <w:snapToGrid w:val="0"/>
        <w:spacing w:line="400" w:lineRule="exact"/>
        <w:ind w:firstLine="840" w:firstLineChars="400"/>
        <w:rPr>
          <w:rFonts w:ascii="宋体" w:hAnsi="宋体"/>
          <w:color w:val="auto"/>
          <w:szCs w:val="21"/>
          <w:highlight w:val="none"/>
          <w:u w:val="single"/>
        </w:rPr>
      </w:pPr>
      <w:r>
        <w:rPr>
          <w:rFonts w:hint="eastAsia" w:ascii="宋体" w:hAnsi="宋体"/>
          <w:color w:val="auto"/>
          <w:szCs w:val="21"/>
          <w:highlight w:val="none"/>
        </w:rPr>
        <w:t xml:space="preserve"> </w:t>
      </w:r>
      <w:r>
        <w:rPr>
          <w:rFonts w:hint="eastAsia" w:ascii="宋体" w:hAnsi="宋体"/>
          <w:color w:val="auto"/>
          <w:szCs w:val="21"/>
          <w:highlight w:val="none"/>
          <w:u w:val="single"/>
        </w:rPr>
        <w:t xml:space="preserve">                                                          </w:t>
      </w:r>
    </w:p>
    <w:p w14:paraId="48EFB254">
      <w:pPr>
        <w:adjustRightInd w:val="0"/>
        <w:snapToGrid w:val="0"/>
        <w:spacing w:line="400" w:lineRule="exact"/>
        <w:ind w:firstLine="840" w:firstLineChars="400"/>
        <w:rPr>
          <w:rFonts w:ascii="宋体" w:hAnsi="宋体"/>
          <w:color w:val="auto"/>
          <w:szCs w:val="21"/>
          <w:highlight w:val="none"/>
        </w:rPr>
      </w:pPr>
      <w:r>
        <w:rPr>
          <w:rFonts w:hint="eastAsia" w:ascii="宋体" w:hAnsi="宋体"/>
          <w:color w:val="auto"/>
          <w:szCs w:val="21"/>
          <w:highlight w:val="none"/>
        </w:rPr>
        <w:t xml:space="preserve"> 分包供应商/制造商类型（如果供应商和制造商不同，只填写制造商类型）：</w:t>
      </w:r>
    </w:p>
    <w:p w14:paraId="1F2644F3">
      <w:pPr>
        <w:adjustRightInd w:val="0"/>
        <w:snapToGrid w:val="0"/>
        <w:spacing w:line="400" w:lineRule="exact"/>
        <w:ind w:firstLine="840" w:firstLineChars="400"/>
        <w:rPr>
          <w:rFonts w:ascii="宋体" w:hAnsi="宋体"/>
          <w:iCs/>
          <w:color w:val="auto"/>
          <w:szCs w:val="21"/>
          <w:highlight w:val="none"/>
        </w:rPr>
      </w:pPr>
      <w:r>
        <w:rPr>
          <w:rFonts w:hint="eastAsia" w:ascii="宋体" w:hAnsi="宋体"/>
          <w:iCs/>
          <w:color w:val="auto"/>
          <w:szCs w:val="21"/>
          <w:highlight w:val="none"/>
        </w:rPr>
        <w:t xml:space="preserve"> </w:t>
      </w:r>
      <w:r>
        <w:rPr>
          <w:rFonts w:hint="eastAsia" w:ascii="宋体" w:hAnsi="宋体"/>
          <w:iCs/>
          <w:color w:val="auto"/>
          <w:szCs w:val="21"/>
          <w:highlight w:val="none"/>
        </w:rPr>
        <w:sym w:font="Wingdings" w:char="00A8"/>
      </w:r>
      <w:r>
        <w:rPr>
          <w:rFonts w:hint="eastAsia" w:ascii="宋体" w:hAnsi="宋体"/>
          <w:iCs/>
          <w:color w:val="auto"/>
          <w:szCs w:val="21"/>
          <w:highlight w:val="none"/>
        </w:rPr>
        <w:t xml:space="preserve">大型企业  </w:t>
      </w:r>
      <w:r>
        <w:rPr>
          <w:rFonts w:hint="eastAsia" w:ascii="宋体" w:hAnsi="宋体"/>
          <w:iCs/>
          <w:color w:val="auto"/>
          <w:szCs w:val="21"/>
          <w:highlight w:val="none"/>
        </w:rPr>
        <w:sym w:font="Wingdings" w:char="00A8"/>
      </w:r>
      <w:r>
        <w:rPr>
          <w:rFonts w:hint="eastAsia" w:ascii="宋体" w:hAnsi="宋体"/>
          <w:iCs/>
          <w:color w:val="auto"/>
          <w:szCs w:val="21"/>
          <w:highlight w:val="none"/>
        </w:rPr>
        <w:t xml:space="preserve">中型企业  </w:t>
      </w:r>
      <w:r>
        <w:rPr>
          <w:rFonts w:hint="eastAsia" w:ascii="宋体" w:hAnsi="宋体"/>
          <w:iCs/>
          <w:color w:val="auto"/>
          <w:szCs w:val="21"/>
          <w:highlight w:val="none"/>
        </w:rPr>
        <w:sym w:font="Wingdings" w:char="00A8"/>
      </w:r>
      <w:r>
        <w:rPr>
          <w:rFonts w:hint="eastAsia" w:ascii="宋体" w:hAnsi="宋体"/>
          <w:iCs/>
          <w:color w:val="auto"/>
          <w:szCs w:val="21"/>
          <w:highlight w:val="none"/>
        </w:rPr>
        <w:t xml:space="preserve">小微型企业  </w:t>
      </w:r>
    </w:p>
    <w:p w14:paraId="45DB9E2F">
      <w:pPr>
        <w:adjustRightInd w:val="0"/>
        <w:snapToGrid w:val="0"/>
        <w:spacing w:line="400" w:lineRule="exact"/>
        <w:ind w:firstLine="840" w:firstLineChars="400"/>
        <w:rPr>
          <w:rFonts w:eastAsia="华文楷体"/>
          <w:color w:val="auto"/>
          <w:highlight w:val="none"/>
        </w:rPr>
      </w:pPr>
      <w:r>
        <w:rPr>
          <w:rFonts w:hint="eastAsia" w:ascii="宋体" w:hAnsi="宋体"/>
          <w:iCs/>
          <w:color w:val="auto"/>
          <w:szCs w:val="21"/>
          <w:highlight w:val="none"/>
        </w:rPr>
        <w:t xml:space="preserve"> </w:t>
      </w:r>
      <w:r>
        <w:rPr>
          <w:rFonts w:hint="eastAsia" w:ascii="宋体" w:hAnsi="宋体"/>
          <w:iCs/>
          <w:color w:val="auto"/>
          <w:szCs w:val="21"/>
          <w:highlight w:val="none"/>
        </w:rPr>
        <w:sym w:font="Wingdings" w:char="00A8"/>
      </w:r>
      <w:r>
        <w:rPr>
          <w:rFonts w:hint="eastAsia" w:ascii="宋体" w:hAnsi="宋体"/>
          <w:iCs/>
          <w:color w:val="auto"/>
          <w:szCs w:val="21"/>
          <w:highlight w:val="none"/>
        </w:rPr>
        <w:t xml:space="preserve">残疾人福利性单位 </w:t>
      </w:r>
      <w:r>
        <w:rPr>
          <w:rFonts w:hint="eastAsia" w:ascii="宋体" w:hAnsi="宋体"/>
          <w:iCs/>
          <w:color w:val="auto"/>
          <w:szCs w:val="21"/>
          <w:highlight w:val="none"/>
        </w:rPr>
        <w:sym w:font="Wingdings" w:char="00A8"/>
      </w:r>
      <w:r>
        <w:rPr>
          <w:rFonts w:hint="eastAsia" w:ascii="宋体" w:hAnsi="宋体"/>
          <w:iCs/>
          <w:color w:val="auto"/>
          <w:szCs w:val="21"/>
          <w:highlight w:val="none"/>
        </w:rPr>
        <w:t xml:space="preserve">监狱企业 </w:t>
      </w:r>
      <w:r>
        <w:rPr>
          <w:rFonts w:hint="eastAsia" w:ascii="宋体" w:hAnsi="宋体"/>
          <w:iCs/>
          <w:color w:val="auto"/>
          <w:szCs w:val="21"/>
          <w:highlight w:val="none"/>
        </w:rPr>
        <w:sym w:font="Wingdings" w:char="00A8"/>
      </w:r>
      <w:r>
        <w:rPr>
          <w:rFonts w:hint="eastAsia" w:ascii="宋体" w:hAnsi="宋体"/>
          <w:iCs/>
          <w:color w:val="auto"/>
          <w:szCs w:val="21"/>
          <w:highlight w:val="none"/>
        </w:rPr>
        <w:t>其他</w:t>
      </w:r>
    </w:p>
    <w:p w14:paraId="276D85BF">
      <w:pPr>
        <w:numPr>
          <w:ilvl w:val="255"/>
          <w:numId w:val="0"/>
        </w:numPr>
        <w:adjustRightInd w:val="0"/>
        <w:snapToGrid w:val="0"/>
        <w:spacing w:line="400" w:lineRule="exact"/>
        <w:rPr>
          <w:rFonts w:ascii="宋体" w:hAnsi="宋体" w:cs="宋体"/>
          <w:iCs/>
          <w:color w:val="auto"/>
          <w:szCs w:val="21"/>
          <w:highlight w:val="none"/>
        </w:rPr>
      </w:pPr>
      <w:r>
        <w:rPr>
          <w:rFonts w:hint="eastAsia" w:ascii="宋体" w:hAnsi="宋体"/>
          <w:color w:val="auto"/>
          <w:szCs w:val="21"/>
          <w:highlight w:val="none"/>
        </w:rPr>
        <w:t xml:space="preserve">    </w:t>
      </w:r>
      <w:r>
        <w:rPr>
          <w:rFonts w:hint="eastAsia" w:ascii="宋体" w:hAnsi="宋体" w:cs="宋体"/>
          <w:color w:val="auto"/>
          <w:szCs w:val="21"/>
          <w:highlight w:val="none"/>
        </w:rPr>
        <w:t>（</w:t>
      </w:r>
      <w:r>
        <w:rPr>
          <w:rFonts w:ascii="宋体" w:hAnsi="宋体" w:cs="宋体"/>
          <w:color w:val="auto"/>
          <w:szCs w:val="21"/>
          <w:highlight w:val="none"/>
          <w:lang w:val="en"/>
        </w:rPr>
        <w:t>8</w:t>
      </w:r>
      <w:r>
        <w:rPr>
          <w:rFonts w:hint="eastAsia" w:ascii="宋体" w:hAnsi="宋体" w:cs="宋体"/>
          <w:color w:val="auto"/>
          <w:szCs w:val="21"/>
          <w:highlight w:val="none"/>
        </w:rPr>
        <w:t>）中标（成交）供应商是否为外商投资企业：</w:t>
      </w:r>
      <w:r>
        <w:rPr>
          <w:rFonts w:hint="eastAsia" w:ascii="宋体" w:hAnsi="宋体" w:cs="宋体"/>
          <w:iCs/>
          <w:color w:val="auto"/>
          <w:szCs w:val="21"/>
          <w:highlight w:val="none"/>
        </w:rPr>
        <w:sym w:font="Wingdings" w:char="00A8"/>
      </w:r>
      <w:r>
        <w:rPr>
          <w:rFonts w:hint="eastAsia" w:ascii="宋体" w:hAnsi="宋体" w:cs="宋体"/>
          <w:iCs/>
          <w:color w:val="auto"/>
          <w:szCs w:val="21"/>
          <w:highlight w:val="none"/>
        </w:rPr>
        <w:t xml:space="preserve">是       </w:t>
      </w:r>
      <w:r>
        <w:rPr>
          <w:rFonts w:hint="eastAsia" w:ascii="宋体" w:hAnsi="宋体" w:cs="宋体"/>
          <w:iCs/>
          <w:color w:val="auto"/>
          <w:szCs w:val="21"/>
          <w:highlight w:val="none"/>
        </w:rPr>
        <w:sym w:font="Wingdings" w:char="00FE"/>
      </w:r>
      <w:r>
        <w:rPr>
          <w:rFonts w:hint="eastAsia" w:ascii="宋体" w:hAnsi="宋体" w:cs="宋体"/>
          <w:iCs/>
          <w:color w:val="auto"/>
          <w:szCs w:val="21"/>
          <w:highlight w:val="none"/>
        </w:rPr>
        <w:t>否</w:t>
      </w:r>
    </w:p>
    <w:p w14:paraId="0B32B5F1">
      <w:pPr>
        <w:pStyle w:val="2"/>
        <w:tabs>
          <w:tab w:val="left" w:pos="1340"/>
        </w:tabs>
        <w:ind w:firstLine="420"/>
        <w:rPr>
          <w:rFonts w:ascii="宋体" w:hAnsi="宋体" w:eastAsia="宋体" w:cs="宋体"/>
          <w:color w:val="auto"/>
          <w:sz w:val="21"/>
          <w:highlight w:val="none"/>
          <w:u w:val="single"/>
        </w:rPr>
      </w:pPr>
      <w:r>
        <w:rPr>
          <w:rFonts w:hint="eastAsia" w:ascii="宋体" w:hAnsi="宋体" w:eastAsia="宋体" w:cs="宋体"/>
          <w:color w:val="auto"/>
          <w:sz w:val="21"/>
          <w:highlight w:val="none"/>
        </w:rPr>
        <w:t xml:space="preserve">     外商投资企业类型：</w:t>
      </w:r>
      <w:r>
        <w:rPr>
          <w:rFonts w:hint="eastAsia" w:ascii="宋体" w:hAnsi="宋体" w:eastAsia="宋体" w:cs="宋体"/>
          <w:iCs/>
          <w:color w:val="auto"/>
          <w:sz w:val="21"/>
          <w:highlight w:val="none"/>
        </w:rPr>
        <w:sym w:font="Wingdings" w:char="00A8"/>
      </w:r>
      <w:r>
        <w:rPr>
          <w:rFonts w:hint="eastAsia" w:ascii="宋体" w:hAnsi="宋体" w:eastAsia="宋体" w:cs="宋体"/>
          <w:color w:val="auto"/>
          <w:sz w:val="21"/>
          <w:highlight w:val="none"/>
        </w:rPr>
        <w:t xml:space="preserve">全部由外国投资者投资  </w:t>
      </w:r>
      <w:r>
        <w:rPr>
          <w:rFonts w:hint="eastAsia" w:ascii="宋体" w:hAnsi="宋体" w:eastAsia="宋体" w:cs="宋体"/>
          <w:iCs/>
          <w:color w:val="auto"/>
          <w:sz w:val="21"/>
          <w:highlight w:val="none"/>
        </w:rPr>
        <w:sym w:font="Wingdings" w:char="00A8"/>
      </w:r>
      <w:r>
        <w:rPr>
          <w:rFonts w:hint="eastAsia" w:ascii="宋体" w:hAnsi="宋体" w:eastAsia="宋体" w:cs="宋体"/>
          <w:iCs/>
          <w:color w:val="auto"/>
          <w:sz w:val="21"/>
          <w:highlight w:val="none"/>
        </w:rPr>
        <w:t>部分由外国投资者投资</w:t>
      </w:r>
    </w:p>
    <w:p w14:paraId="4ABAAB9C">
      <w:pPr>
        <w:numPr>
          <w:ilvl w:val="255"/>
          <w:numId w:val="0"/>
        </w:numPr>
        <w:adjustRightInd w:val="0"/>
        <w:snapToGrid w:val="0"/>
        <w:spacing w:line="400" w:lineRule="exact"/>
        <w:ind w:firstLine="420" w:firstLineChars="200"/>
        <w:rPr>
          <w:rFonts w:ascii="宋体" w:hAnsi="宋体" w:eastAsia="宋体" w:cs="宋体"/>
          <w:color w:val="auto"/>
          <w:szCs w:val="21"/>
          <w:highlight w:val="none"/>
        </w:rPr>
      </w:pPr>
      <w:r>
        <w:rPr>
          <w:rFonts w:hint="eastAsia" w:ascii="宋体" w:hAnsi="宋体" w:eastAsia="宋体" w:cs="宋体"/>
          <w:color w:val="auto"/>
          <w:szCs w:val="21"/>
          <w:highlight w:val="none"/>
        </w:rPr>
        <w:t>（</w:t>
      </w:r>
      <w:r>
        <w:rPr>
          <w:rFonts w:ascii="宋体" w:hAnsi="宋体" w:cs="宋体"/>
          <w:color w:val="auto"/>
          <w:szCs w:val="21"/>
          <w:highlight w:val="none"/>
          <w:lang w:val="en"/>
        </w:rPr>
        <w:t>9</w:t>
      </w:r>
      <w:r>
        <w:rPr>
          <w:rFonts w:hint="eastAsia" w:ascii="宋体" w:hAnsi="宋体" w:eastAsia="宋体" w:cs="宋体"/>
          <w:color w:val="auto"/>
          <w:szCs w:val="21"/>
          <w:highlight w:val="none"/>
        </w:rPr>
        <w:t>）是否涉及进口产品：</w:t>
      </w:r>
    </w:p>
    <w:p w14:paraId="3DB035AB">
      <w:pPr>
        <w:numPr>
          <w:ilvl w:val="255"/>
          <w:numId w:val="0"/>
        </w:numPr>
        <w:adjustRightInd w:val="0"/>
        <w:snapToGrid w:val="0"/>
        <w:spacing w:line="400" w:lineRule="exact"/>
        <w:ind w:firstLine="840" w:firstLineChars="400"/>
        <w:rPr>
          <w:rFonts w:ascii="宋体" w:hAnsi="宋体" w:eastAsia="宋体" w:cs="宋体"/>
          <w:color w:val="auto"/>
          <w:szCs w:val="21"/>
          <w:highlight w:val="none"/>
          <w:u w:val="single"/>
        </w:rPr>
      </w:pPr>
      <w:r>
        <w:rPr>
          <w:rFonts w:hint="eastAsia" w:ascii="宋体" w:hAnsi="宋体" w:cs="宋体"/>
          <w:color w:val="auto"/>
          <w:szCs w:val="21"/>
          <w:highlight w:val="none"/>
        </w:rPr>
        <w:t xml:space="preserve"> </w:t>
      </w:r>
      <w:r>
        <w:rPr>
          <w:rFonts w:hint="eastAsia" w:ascii="宋体" w:hAnsi="宋体" w:eastAsia="宋体" w:cs="宋体"/>
          <w:color w:val="auto"/>
          <w:szCs w:val="21"/>
          <w:highlight w:val="none"/>
        </w:rPr>
        <w:sym w:font="Wingdings" w:char="00A8"/>
      </w:r>
      <w:r>
        <w:rPr>
          <w:rFonts w:hint="eastAsia" w:ascii="宋体" w:hAnsi="宋体" w:eastAsia="宋体" w:cs="宋体"/>
          <w:color w:val="auto"/>
          <w:szCs w:val="21"/>
          <w:highlight w:val="none"/>
        </w:rPr>
        <w:t>是，</w:t>
      </w:r>
      <w:r>
        <w:rPr>
          <w:rFonts w:hint="eastAsia" w:ascii="宋体" w:hAnsi="宋体" w:cs="宋体"/>
          <w:color w:val="auto"/>
          <w:szCs w:val="21"/>
          <w:highlight w:val="none"/>
        </w:rPr>
        <w:t>《政府采购品目分类目录》底级品目名称</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 xml:space="preserve"> </w:t>
      </w:r>
      <w:r>
        <w:rPr>
          <w:rFonts w:hint="eastAsia" w:ascii="宋体" w:hAnsi="宋体" w:cs="宋体"/>
          <w:color w:val="auto"/>
          <w:szCs w:val="21"/>
          <w:highlight w:val="none"/>
        </w:rPr>
        <w:t>金额：</w:t>
      </w:r>
      <w:r>
        <w:rPr>
          <w:rFonts w:hint="eastAsia" w:ascii="宋体" w:hAnsi="宋体" w:eastAsia="宋体" w:cs="宋体"/>
          <w:color w:val="auto"/>
          <w:szCs w:val="21"/>
          <w:highlight w:val="none"/>
          <w:u w:val="single"/>
        </w:rPr>
        <w:t xml:space="preserve">  </w:t>
      </w:r>
      <w:r>
        <w:rPr>
          <w:rFonts w:hint="eastAsia" w:ascii="宋体" w:hAnsi="宋体" w:cs="宋体"/>
          <w:color w:val="auto"/>
          <w:szCs w:val="21"/>
          <w:highlight w:val="none"/>
          <w:u w:val="single"/>
        </w:rPr>
        <w:t xml:space="preserve">     </w:t>
      </w:r>
      <w:r>
        <w:rPr>
          <w:rFonts w:hint="eastAsia" w:ascii="宋体" w:hAnsi="宋体" w:eastAsia="宋体" w:cs="宋体"/>
          <w:color w:val="auto"/>
          <w:szCs w:val="21"/>
          <w:highlight w:val="none"/>
          <w:u w:val="single"/>
        </w:rPr>
        <w:t xml:space="preserve"> </w:t>
      </w:r>
    </w:p>
    <w:p w14:paraId="291B6704">
      <w:pPr>
        <w:numPr>
          <w:ilvl w:val="255"/>
          <w:numId w:val="0"/>
        </w:numPr>
        <w:adjustRightInd w:val="0"/>
        <w:snapToGrid w:val="0"/>
        <w:spacing w:line="400" w:lineRule="exact"/>
        <w:ind w:firstLine="840" w:firstLineChars="400"/>
        <w:rPr>
          <w:rFonts w:ascii="宋体" w:hAnsi="宋体" w:eastAsia="宋体"/>
          <w:color w:val="auto"/>
          <w:szCs w:val="21"/>
          <w:highlight w:val="none"/>
        </w:rPr>
      </w:pPr>
      <w:r>
        <w:rPr>
          <w:rFonts w:hint="eastAsia" w:ascii="宋体" w:hAnsi="宋体" w:cs="宋体"/>
          <w:color w:val="auto"/>
          <w:szCs w:val="21"/>
          <w:highlight w:val="none"/>
        </w:rPr>
        <w:t xml:space="preserve">        国别：</w:t>
      </w:r>
      <w:r>
        <w:rPr>
          <w:rFonts w:hint="eastAsia" w:ascii="宋体" w:hAnsi="宋体" w:eastAsia="宋体" w:cs="宋体"/>
          <w:color w:val="auto"/>
          <w:szCs w:val="21"/>
          <w:highlight w:val="none"/>
          <w:u w:val="single"/>
        </w:rPr>
        <w:t xml:space="preserve">  </w:t>
      </w:r>
      <w:r>
        <w:rPr>
          <w:rFonts w:hint="eastAsia" w:ascii="宋体" w:hAnsi="宋体" w:cs="宋体"/>
          <w:color w:val="auto"/>
          <w:szCs w:val="21"/>
          <w:highlight w:val="none"/>
          <w:u w:val="single"/>
        </w:rPr>
        <w:t xml:space="preserve">     </w:t>
      </w:r>
      <w:r>
        <w:rPr>
          <w:rFonts w:hint="eastAsia" w:ascii="宋体" w:hAnsi="宋体" w:eastAsia="宋体" w:cs="宋体"/>
          <w:color w:val="auto"/>
          <w:szCs w:val="21"/>
          <w:highlight w:val="none"/>
          <w:u w:val="single"/>
        </w:rPr>
        <w:t xml:space="preserve"> </w:t>
      </w:r>
      <w:r>
        <w:rPr>
          <w:rFonts w:hint="eastAsia" w:ascii="宋体" w:hAnsi="宋体" w:cs="宋体"/>
          <w:color w:val="auto"/>
          <w:szCs w:val="21"/>
          <w:highlight w:val="none"/>
        </w:rPr>
        <w:t xml:space="preserve"> </w:t>
      </w:r>
      <w:r>
        <w:rPr>
          <w:rFonts w:hint="eastAsia" w:ascii="宋体" w:hAnsi="宋体" w:eastAsia="宋体" w:cs="宋体"/>
          <w:color w:val="auto"/>
          <w:szCs w:val="21"/>
          <w:highlight w:val="none"/>
        </w:rPr>
        <w:t>品牌：</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 xml:space="preserve"> 规格型号：</w:t>
      </w:r>
      <w:r>
        <w:rPr>
          <w:rFonts w:hint="eastAsia" w:ascii="宋体" w:hAnsi="宋体" w:eastAsia="宋体" w:cs="宋体"/>
          <w:color w:val="auto"/>
          <w:szCs w:val="21"/>
          <w:highlight w:val="none"/>
          <w:u w:val="single"/>
        </w:rPr>
        <w:t xml:space="preserve">        </w:t>
      </w:r>
      <w:r>
        <w:rPr>
          <w:rFonts w:hint="eastAsia" w:ascii="宋体" w:hAnsi="宋体" w:eastAsia="宋体"/>
          <w:color w:val="auto"/>
          <w:szCs w:val="21"/>
          <w:highlight w:val="none"/>
        </w:rPr>
        <w:t xml:space="preserve">      </w:t>
      </w:r>
    </w:p>
    <w:p w14:paraId="4B2059BA">
      <w:pPr>
        <w:adjustRightInd w:val="0"/>
        <w:snapToGrid w:val="0"/>
        <w:spacing w:line="400" w:lineRule="exact"/>
        <w:ind w:firstLine="840" w:firstLineChars="400"/>
        <w:rPr>
          <w:rFonts w:ascii="宋体" w:hAnsi="宋体"/>
          <w:color w:val="auto"/>
          <w:szCs w:val="21"/>
          <w:highlight w:val="none"/>
        </w:rPr>
      </w:pPr>
      <w:r>
        <w:rPr>
          <w:rFonts w:hint="eastAsia" w:ascii="宋体" w:hAnsi="宋体"/>
          <w:color w:val="auto"/>
          <w:szCs w:val="21"/>
          <w:highlight w:val="none"/>
        </w:rPr>
        <w:t xml:space="preserve"> </w:t>
      </w:r>
      <w:r>
        <w:rPr>
          <w:rFonts w:hint="eastAsia" w:ascii="宋体" w:hAnsi="宋体"/>
          <w:color w:val="auto"/>
          <w:szCs w:val="21"/>
          <w:highlight w:val="none"/>
        </w:rPr>
        <w:sym w:font="Wingdings" w:char="00FE"/>
      </w:r>
      <w:r>
        <w:rPr>
          <w:rFonts w:hint="eastAsia" w:ascii="宋体" w:hAnsi="宋体" w:eastAsia="宋体"/>
          <w:color w:val="auto"/>
          <w:szCs w:val="21"/>
          <w:highlight w:val="none"/>
        </w:rPr>
        <w:t>否</w:t>
      </w:r>
    </w:p>
    <w:p w14:paraId="0841A26F">
      <w:pPr>
        <w:numPr>
          <w:ilvl w:val="255"/>
          <w:numId w:val="0"/>
        </w:numPr>
        <w:tabs>
          <w:tab w:val="left" w:pos="740"/>
        </w:tabs>
        <w:adjustRightInd w:val="0"/>
        <w:snapToGrid w:val="0"/>
        <w:spacing w:line="400" w:lineRule="exact"/>
        <w:rPr>
          <w:rFonts w:ascii="宋体" w:hAnsi="宋体" w:eastAsia="宋体"/>
          <w:color w:val="auto"/>
          <w:szCs w:val="21"/>
          <w:highlight w:val="none"/>
        </w:rPr>
      </w:pPr>
      <w:r>
        <w:rPr>
          <w:rFonts w:hint="eastAsia" w:ascii="宋体" w:hAnsi="宋体"/>
          <w:color w:val="auto"/>
          <w:szCs w:val="21"/>
          <w:highlight w:val="none"/>
        </w:rPr>
        <w:t xml:space="preserve">    （1</w:t>
      </w:r>
      <w:r>
        <w:rPr>
          <w:rFonts w:ascii="宋体" w:hAnsi="宋体"/>
          <w:color w:val="auto"/>
          <w:szCs w:val="21"/>
          <w:highlight w:val="none"/>
          <w:lang w:val="en"/>
        </w:rPr>
        <w:t>0</w:t>
      </w:r>
      <w:r>
        <w:rPr>
          <w:rFonts w:hint="eastAsia" w:ascii="宋体" w:hAnsi="宋体"/>
          <w:color w:val="auto"/>
          <w:szCs w:val="21"/>
          <w:highlight w:val="none"/>
        </w:rPr>
        <w:t>）</w:t>
      </w:r>
      <w:r>
        <w:rPr>
          <w:rFonts w:hint="eastAsia" w:ascii="宋体" w:hAnsi="宋体" w:eastAsia="宋体"/>
          <w:color w:val="auto"/>
          <w:szCs w:val="21"/>
          <w:highlight w:val="none"/>
        </w:rPr>
        <w:t>是否涉及节能产品：</w:t>
      </w:r>
    </w:p>
    <w:p w14:paraId="12C8D37F">
      <w:pPr>
        <w:numPr>
          <w:ilvl w:val="255"/>
          <w:numId w:val="0"/>
        </w:numPr>
        <w:tabs>
          <w:tab w:val="left" w:pos="740"/>
        </w:tabs>
        <w:adjustRightInd w:val="0"/>
        <w:snapToGrid w:val="0"/>
        <w:spacing w:line="400" w:lineRule="exact"/>
        <w:rPr>
          <w:rFonts w:ascii="宋体" w:hAnsi="宋体"/>
          <w:iCs/>
          <w:color w:val="auto"/>
          <w:szCs w:val="21"/>
          <w:highlight w:val="none"/>
        </w:rPr>
      </w:pPr>
      <w:r>
        <w:rPr>
          <w:rFonts w:hint="eastAsia" w:ascii="宋体" w:hAnsi="宋体"/>
          <w:color w:val="auto"/>
          <w:szCs w:val="21"/>
          <w:highlight w:val="none"/>
        </w:rPr>
        <w:t xml:space="preserve">         </w:t>
      </w:r>
      <w:r>
        <w:rPr>
          <w:rFonts w:hint="eastAsia" w:ascii="宋体" w:hAnsi="宋体" w:eastAsia="宋体"/>
          <w:color w:val="auto"/>
          <w:szCs w:val="21"/>
          <w:highlight w:val="none"/>
        </w:rPr>
        <w:sym w:font="Wingdings" w:char="00A8"/>
      </w:r>
      <w:r>
        <w:rPr>
          <w:rFonts w:hint="eastAsia" w:ascii="宋体" w:hAnsi="宋体" w:eastAsia="宋体"/>
          <w:color w:val="auto"/>
          <w:szCs w:val="21"/>
          <w:highlight w:val="none"/>
        </w:rPr>
        <w:t>是，</w:t>
      </w:r>
      <w:r>
        <w:rPr>
          <w:rFonts w:hint="eastAsia" w:ascii="宋体" w:hAnsi="宋体"/>
          <w:color w:val="auto"/>
          <w:szCs w:val="21"/>
          <w:highlight w:val="none"/>
        </w:rPr>
        <w:t>《节能产品政府采购品目清单》的底级品目名称：</w:t>
      </w:r>
      <w:r>
        <w:rPr>
          <w:rFonts w:hint="eastAsia" w:ascii="宋体" w:hAnsi="宋体" w:eastAsia="宋体"/>
          <w:color w:val="auto"/>
          <w:szCs w:val="21"/>
          <w:highlight w:val="none"/>
          <w:u w:val="single"/>
        </w:rPr>
        <w:t xml:space="preserve">      </w:t>
      </w:r>
      <w:r>
        <w:rPr>
          <w:rFonts w:hint="eastAsia" w:ascii="宋体" w:hAnsi="宋体"/>
          <w:color w:val="auto"/>
          <w:szCs w:val="21"/>
          <w:highlight w:val="none"/>
          <w:u w:val="single"/>
        </w:rPr>
        <w:t xml:space="preserve">   </w:t>
      </w:r>
      <w:r>
        <w:rPr>
          <w:rFonts w:hint="eastAsia" w:ascii="宋体" w:hAnsi="宋体"/>
          <w:iCs/>
          <w:color w:val="auto"/>
          <w:szCs w:val="21"/>
          <w:highlight w:val="none"/>
        </w:rPr>
        <w:t xml:space="preserve">     </w:t>
      </w:r>
    </w:p>
    <w:p w14:paraId="7E218B28">
      <w:pPr>
        <w:numPr>
          <w:ilvl w:val="255"/>
          <w:numId w:val="0"/>
        </w:numPr>
        <w:tabs>
          <w:tab w:val="left" w:pos="740"/>
        </w:tabs>
        <w:adjustRightInd w:val="0"/>
        <w:snapToGrid w:val="0"/>
        <w:spacing w:line="400" w:lineRule="exact"/>
        <w:rPr>
          <w:rFonts w:ascii="宋体" w:hAnsi="宋体"/>
          <w:iCs/>
          <w:color w:val="auto"/>
          <w:szCs w:val="21"/>
          <w:highlight w:val="none"/>
        </w:rPr>
      </w:pPr>
      <w:r>
        <w:rPr>
          <w:rFonts w:hint="eastAsia" w:ascii="宋体" w:hAnsi="宋体"/>
          <w:iCs/>
          <w:color w:val="auto"/>
          <w:szCs w:val="21"/>
          <w:highlight w:val="none"/>
        </w:rPr>
        <w:t xml:space="preserve">                </w:t>
      </w:r>
      <w:r>
        <w:rPr>
          <w:rFonts w:hint="eastAsia" w:ascii="宋体" w:hAnsi="宋体"/>
          <w:iCs/>
          <w:color w:val="auto"/>
          <w:szCs w:val="21"/>
          <w:highlight w:val="none"/>
        </w:rPr>
        <w:sym w:font="Wingdings" w:char="00A8"/>
      </w:r>
      <w:r>
        <w:rPr>
          <w:rFonts w:hint="eastAsia" w:ascii="宋体" w:hAnsi="宋体"/>
          <w:iCs/>
          <w:color w:val="auto"/>
          <w:szCs w:val="21"/>
          <w:highlight w:val="none"/>
        </w:rPr>
        <w:t xml:space="preserve">强制采购       </w:t>
      </w:r>
      <w:r>
        <w:rPr>
          <w:rFonts w:hint="eastAsia" w:ascii="宋体" w:hAnsi="宋体"/>
          <w:iCs/>
          <w:color w:val="auto"/>
          <w:szCs w:val="21"/>
          <w:highlight w:val="none"/>
        </w:rPr>
        <w:sym w:font="Wingdings" w:char="00A8"/>
      </w:r>
      <w:r>
        <w:rPr>
          <w:rFonts w:hint="eastAsia" w:ascii="宋体" w:hAnsi="宋体"/>
          <w:iCs/>
          <w:color w:val="auto"/>
          <w:szCs w:val="21"/>
          <w:highlight w:val="none"/>
        </w:rPr>
        <w:t xml:space="preserve">优先采购    </w:t>
      </w:r>
    </w:p>
    <w:p w14:paraId="2DEEE9D4">
      <w:pPr>
        <w:numPr>
          <w:ilvl w:val="255"/>
          <w:numId w:val="0"/>
        </w:numPr>
        <w:tabs>
          <w:tab w:val="left" w:pos="740"/>
        </w:tabs>
        <w:adjustRightInd w:val="0"/>
        <w:snapToGrid w:val="0"/>
        <w:spacing w:line="400" w:lineRule="exact"/>
        <w:rPr>
          <w:rFonts w:ascii="宋体" w:hAnsi="宋体" w:eastAsia="宋体"/>
          <w:color w:val="auto"/>
          <w:szCs w:val="21"/>
          <w:highlight w:val="none"/>
        </w:rPr>
      </w:pPr>
      <w:r>
        <w:rPr>
          <w:rFonts w:hint="eastAsia" w:ascii="宋体" w:hAnsi="宋体"/>
          <w:iCs/>
          <w:color w:val="auto"/>
          <w:szCs w:val="21"/>
          <w:highlight w:val="none"/>
        </w:rPr>
        <w:t xml:space="preserve">         </w:t>
      </w:r>
      <w:r>
        <w:rPr>
          <w:rFonts w:hint="eastAsia" w:ascii="宋体" w:hAnsi="宋体" w:eastAsia="宋体"/>
          <w:color w:val="auto"/>
          <w:szCs w:val="21"/>
          <w:highlight w:val="none"/>
        </w:rPr>
        <w:sym w:font="Wingdings" w:char="00FE"/>
      </w:r>
      <w:r>
        <w:rPr>
          <w:rFonts w:hint="eastAsia" w:ascii="宋体" w:hAnsi="宋体" w:eastAsia="宋体"/>
          <w:color w:val="auto"/>
          <w:szCs w:val="21"/>
          <w:highlight w:val="none"/>
        </w:rPr>
        <w:t>否</w:t>
      </w:r>
    </w:p>
    <w:p w14:paraId="006FBA24">
      <w:pPr>
        <w:numPr>
          <w:ilvl w:val="255"/>
          <w:numId w:val="0"/>
        </w:numPr>
        <w:tabs>
          <w:tab w:val="left" w:pos="740"/>
        </w:tabs>
        <w:adjustRightInd w:val="0"/>
        <w:snapToGrid w:val="0"/>
        <w:spacing w:line="400" w:lineRule="exact"/>
        <w:rPr>
          <w:rFonts w:ascii="宋体" w:hAnsi="宋体" w:eastAsia="宋体"/>
          <w:color w:val="auto"/>
          <w:szCs w:val="21"/>
          <w:highlight w:val="none"/>
        </w:rPr>
      </w:pPr>
      <w:r>
        <w:rPr>
          <w:rFonts w:hint="eastAsia" w:ascii="宋体" w:hAnsi="宋体"/>
          <w:color w:val="auto"/>
          <w:szCs w:val="21"/>
          <w:highlight w:val="none"/>
        </w:rPr>
        <w:t xml:space="preserve">          </w:t>
      </w:r>
      <w:r>
        <w:rPr>
          <w:rFonts w:hint="eastAsia" w:ascii="宋体" w:hAnsi="宋体" w:eastAsia="宋体"/>
          <w:color w:val="auto"/>
          <w:szCs w:val="21"/>
          <w:highlight w:val="none"/>
        </w:rPr>
        <w:t>是否涉及</w:t>
      </w:r>
      <w:r>
        <w:rPr>
          <w:rFonts w:hint="eastAsia" w:ascii="宋体" w:hAnsi="宋体"/>
          <w:color w:val="auto"/>
          <w:szCs w:val="21"/>
          <w:highlight w:val="none"/>
        </w:rPr>
        <w:t>环境标志</w:t>
      </w:r>
      <w:r>
        <w:rPr>
          <w:rFonts w:hint="eastAsia" w:ascii="宋体" w:hAnsi="宋体" w:eastAsia="宋体"/>
          <w:color w:val="auto"/>
          <w:szCs w:val="21"/>
          <w:highlight w:val="none"/>
        </w:rPr>
        <w:t>产品：</w:t>
      </w:r>
    </w:p>
    <w:p w14:paraId="3BB3E768">
      <w:pPr>
        <w:numPr>
          <w:ilvl w:val="255"/>
          <w:numId w:val="0"/>
        </w:numPr>
        <w:tabs>
          <w:tab w:val="left" w:pos="740"/>
        </w:tabs>
        <w:adjustRightInd w:val="0"/>
        <w:snapToGrid w:val="0"/>
        <w:spacing w:line="400" w:lineRule="exact"/>
        <w:rPr>
          <w:rFonts w:ascii="宋体" w:hAnsi="宋体"/>
          <w:color w:val="auto"/>
          <w:szCs w:val="21"/>
          <w:highlight w:val="none"/>
        </w:rPr>
      </w:pPr>
      <w:r>
        <w:rPr>
          <w:rFonts w:hint="eastAsia" w:ascii="宋体" w:hAnsi="宋体"/>
          <w:color w:val="auto"/>
          <w:szCs w:val="21"/>
          <w:highlight w:val="none"/>
        </w:rPr>
        <w:t xml:space="preserve">         </w:t>
      </w:r>
      <w:r>
        <w:rPr>
          <w:rFonts w:hint="eastAsia" w:ascii="宋体" w:hAnsi="宋体" w:eastAsia="宋体"/>
          <w:color w:val="auto"/>
          <w:szCs w:val="21"/>
          <w:highlight w:val="none"/>
        </w:rPr>
        <w:sym w:font="Wingdings" w:char="00A8"/>
      </w:r>
      <w:r>
        <w:rPr>
          <w:rFonts w:hint="eastAsia" w:ascii="宋体" w:hAnsi="宋体" w:eastAsia="宋体"/>
          <w:color w:val="auto"/>
          <w:szCs w:val="21"/>
          <w:highlight w:val="none"/>
        </w:rPr>
        <w:t>是，</w:t>
      </w:r>
      <w:r>
        <w:rPr>
          <w:rFonts w:hint="eastAsia" w:ascii="宋体" w:hAnsi="宋体"/>
          <w:color w:val="auto"/>
          <w:szCs w:val="21"/>
          <w:highlight w:val="none"/>
        </w:rPr>
        <w:t>《环境标志产品政府采购品目清单》的底级品目名称：</w:t>
      </w:r>
      <w:r>
        <w:rPr>
          <w:rFonts w:hint="eastAsia" w:ascii="宋体" w:hAnsi="宋体" w:eastAsia="宋体"/>
          <w:color w:val="auto"/>
          <w:szCs w:val="21"/>
          <w:highlight w:val="none"/>
          <w:u w:val="single"/>
        </w:rPr>
        <w:t xml:space="preserve">      </w:t>
      </w:r>
      <w:r>
        <w:rPr>
          <w:rFonts w:hint="eastAsia" w:ascii="宋体" w:hAnsi="宋体"/>
          <w:color w:val="auto"/>
          <w:szCs w:val="21"/>
          <w:highlight w:val="none"/>
          <w:u w:val="single"/>
        </w:rPr>
        <w:t xml:space="preserve">   </w:t>
      </w:r>
      <w:r>
        <w:rPr>
          <w:rFonts w:hint="eastAsia" w:ascii="宋体" w:hAnsi="宋体"/>
          <w:iCs/>
          <w:color w:val="auto"/>
          <w:szCs w:val="21"/>
          <w:highlight w:val="none"/>
        </w:rPr>
        <w:t xml:space="preserve"> </w:t>
      </w:r>
    </w:p>
    <w:p w14:paraId="2E5BBD3F">
      <w:pPr>
        <w:numPr>
          <w:ilvl w:val="255"/>
          <w:numId w:val="0"/>
        </w:numPr>
        <w:tabs>
          <w:tab w:val="left" w:pos="740"/>
        </w:tabs>
        <w:adjustRightInd w:val="0"/>
        <w:snapToGrid w:val="0"/>
        <w:spacing w:line="400" w:lineRule="exact"/>
        <w:rPr>
          <w:rFonts w:ascii="宋体" w:hAnsi="宋体"/>
          <w:iCs/>
          <w:color w:val="auto"/>
          <w:szCs w:val="21"/>
          <w:highlight w:val="none"/>
        </w:rPr>
      </w:pPr>
      <w:r>
        <w:rPr>
          <w:rFonts w:hint="eastAsia" w:ascii="宋体" w:hAnsi="宋体"/>
          <w:iCs/>
          <w:color w:val="auto"/>
          <w:szCs w:val="21"/>
          <w:highlight w:val="none"/>
        </w:rPr>
        <w:t xml:space="preserve">                </w:t>
      </w:r>
      <w:r>
        <w:rPr>
          <w:rFonts w:hint="eastAsia" w:ascii="宋体" w:hAnsi="宋体"/>
          <w:iCs/>
          <w:color w:val="auto"/>
          <w:szCs w:val="21"/>
          <w:highlight w:val="none"/>
        </w:rPr>
        <w:sym w:font="Wingdings" w:char="00A8"/>
      </w:r>
      <w:r>
        <w:rPr>
          <w:rFonts w:hint="eastAsia" w:ascii="宋体" w:hAnsi="宋体"/>
          <w:iCs/>
          <w:color w:val="auto"/>
          <w:szCs w:val="21"/>
          <w:highlight w:val="none"/>
        </w:rPr>
        <w:t xml:space="preserve">强制采购       </w:t>
      </w:r>
      <w:r>
        <w:rPr>
          <w:rFonts w:hint="eastAsia" w:ascii="宋体" w:hAnsi="宋体"/>
          <w:iCs/>
          <w:color w:val="auto"/>
          <w:szCs w:val="21"/>
          <w:highlight w:val="none"/>
        </w:rPr>
        <w:sym w:font="Wingdings" w:char="00A8"/>
      </w:r>
      <w:r>
        <w:rPr>
          <w:rFonts w:hint="eastAsia" w:ascii="宋体" w:hAnsi="宋体"/>
          <w:iCs/>
          <w:color w:val="auto"/>
          <w:szCs w:val="21"/>
          <w:highlight w:val="none"/>
        </w:rPr>
        <w:t xml:space="preserve">优先采购    </w:t>
      </w:r>
    </w:p>
    <w:p w14:paraId="7EECA273">
      <w:pPr>
        <w:numPr>
          <w:ilvl w:val="255"/>
          <w:numId w:val="0"/>
        </w:numPr>
        <w:tabs>
          <w:tab w:val="left" w:pos="740"/>
        </w:tabs>
        <w:adjustRightInd w:val="0"/>
        <w:snapToGrid w:val="0"/>
        <w:spacing w:line="400" w:lineRule="exact"/>
        <w:rPr>
          <w:rFonts w:ascii="宋体" w:hAnsi="宋体"/>
          <w:color w:val="auto"/>
          <w:szCs w:val="21"/>
          <w:highlight w:val="none"/>
        </w:rPr>
      </w:pPr>
      <w:r>
        <w:rPr>
          <w:rFonts w:hint="eastAsia" w:ascii="宋体" w:hAnsi="宋体"/>
          <w:iCs/>
          <w:color w:val="auto"/>
          <w:szCs w:val="21"/>
          <w:highlight w:val="none"/>
        </w:rPr>
        <w:t xml:space="preserve">         </w:t>
      </w:r>
      <w:r>
        <w:rPr>
          <w:rFonts w:hint="eastAsia" w:ascii="宋体" w:hAnsi="宋体" w:eastAsia="宋体"/>
          <w:color w:val="auto"/>
          <w:szCs w:val="21"/>
          <w:highlight w:val="none"/>
        </w:rPr>
        <w:sym w:font="Wingdings" w:char="00FE"/>
      </w:r>
      <w:r>
        <w:rPr>
          <w:rFonts w:hint="eastAsia" w:ascii="宋体" w:hAnsi="宋体" w:eastAsia="宋体"/>
          <w:color w:val="auto"/>
          <w:szCs w:val="21"/>
          <w:highlight w:val="none"/>
        </w:rPr>
        <w:t>否</w:t>
      </w:r>
    </w:p>
    <w:p w14:paraId="1B9504CA">
      <w:pPr>
        <w:pStyle w:val="2"/>
        <w:numPr>
          <w:ilvl w:val="255"/>
          <w:numId w:val="0"/>
        </w:numPr>
        <w:snapToGrid w:val="0"/>
        <w:rPr>
          <w:rFonts w:ascii="宋体" w:hAnsi="宋体" w:eastAsia="宋体" w:cs="Times New Roman"/>
          <w:color w:val="auto"/>
          <w:kern w:val="2"/>
          <w:sz w:val="21"/>
          <w:highlight w:val="none"/>
        </w:rPr>
      </w:pPr>
      <w:r>
        <w:rPr>
          <w:rFonts w:hint="eastAsia" w:ascii="宋体" w:hAnsi="宋体"/>
          <w:color w:val="auto"/>
          <w:sz w:val="21"/>
          <w:highlight w:val="none"/>
        </w:rPr>
        <w:t xml:space="preserve">          </w:t>
      </w:r>
      <w:r>
        <w:rPr>
          <w:rFonts w:hint="eastAsia" w:ascii="宋体" w:hAnsi="宋体" w:eastAsia="宋体" w:cs="Times New Roman"/>
          <w:color w:val="auto"/>
          <w:kern w:val="2"/>
          <w:sz w:val="21"/>
          <w:highlight w:val="none"/>
        </w:rPr>
        <w:t xml:space="preserve">是否涉及绿色产品： </w:t>
      </w:r>
    </w:p>
    <w:p w14:paraId="7B58F8C7">
      <w:pPr>
        <w:pStyle w:val="2"/>
        <w:ind w:firstLine="420" w:firstLineChars="0"/>
        <w:rPr>
          <w:rFonts w:ascii="宋体" w:hAnsi="宋体" w:eastAsia="宋体"/>
          <w:color w:val="auto"/>
          <w:highlight w:val="none"/>
          <w:u w:val="single"/>
        </w:rPr>
      </w:pPr>
      <w:r>
        <w:rPr>
          <w:rFonts w:hint="eastAsia" w:ascii="宋体" w:hAnsi="宋体" w:eastAsia="宋体" w:cs="Times New Roman"/>
          <w:color w:val="auto"/>
          <w:kern w:val="2"/>
          <w:sz w:val="21"/>
          <w:highlight w:val="none"/>
        </w:rPr>
        <w:t xml:space="preserve">     </w:t>
      </w:r>
      <w:r>
        <w:rPr>
          <w:rFonts w:hint="eastAsia" w:ascii="宋体" w:hAnsi="宋体" w:eastAsia="宋体" w:cs="Times New Roman"/>
          <w:color w:val="auto"/>
          <w:kern w:val="2"/>
          <w:sz w:val="21"/>
          <w:highlight w:val="none"/>
        </w:rPr>
        <w:sym w:font="Wingdings" w:char="00A8"/>
      </w:r>
      <w:r>
        <w:rPr>
          <w:rFonts w:hint="eastAsia" w:ascii="宋体" w:hAnsi="宋体" w:eastAsia="宋体" w:cs="Times New Roman"/>
          <w:color w:val="auto"/>
          <w:kern w:val="2"/>
          <w:sz w:val="21"/>
          <w:highlight w:val="none"/>
        </w:rPr>
        <w:t>是，绿色产品政府采购相关政策确定的底级品目名称：</w:t>
      </w:r>
      <w:r>
        <w:rPr>
          <w:rFonts w:hint="eastAsia" w:ascii="宋体" w:hAnsi="宋体" w:eastAsia="宋体"/>
          <w:color w:val="auto"/>
          <w:highlight w:val="none"/>
          <w:u w:val="single"/>
        </w:rPr>
        <w:t xml:space="preserve">         </w:t>
      </w:r>
    </w:p>
    <w:p w14:paraId="412D0AF9">
      <w:pPr>
        <w:numPr>
          <w:ilvl w:val="255"/>
          <w:numId w:val="0"/>
        </w:numPr>
        <w:tabs>
          <w:tab w:val="left" w:pos="740"/>
        </w:tabs>
        <w:adjustRightInd w:val="0"/>
        <w:snapToGrid w:val="0"/>
        <w:spacing w:line="400" w:lineRule="exact"/>
        <w:rPr>
          <w:rFonts w:ascii="宋体" w:hAnsi="宋体"/>
          <w:iCs/>
          <w:color w:val="auto"/>
          <w:szCs w:val="21"/>
          <w:highlight w:val="none"/>
        </w:rPr>
      </w:pPr>
      <w:r>
        <w:rPr>
          <w:rFonts w:hint="eastAsia" w:ascii="宋体" w:hAnsi="宋体"/>
          <w:iCs/>
          <w:color w:val="auto"/>
          <w:szCs w:val="21"/>
          <w:highlight w:val="none"/>
        </w:rPr>
        <w:t xml:space="preserve">                </w:t>
      </w:r>
      <w:r>
        <w:rPr>
          <w:rFonts w:hint="eastAsia" w:ascii="宋体" w:hAnsi="宋体"/>
          <w:iCs/>
          <w:color w:val="auto"/>
          <w:szCs w:val="21"/>
          <w:highlight w:val="none"/>
        </w:rPr>
        <w:sym w:font="Wingdings" w:char="00A8"/>
      </w:r>
      <w:r>
        <w:rPr>
          <w:rFonts w:hint="eastAsia" w:ascii="宋体" w:hAnsi="宋体"/>
          <w:iCs/>
          <w:color w:val="auto"/>
          <w:szCs w:val="21"/>
          <w:highlight w:val="none"/>
        </w:rPr>
        <w:t xml:space="preserve">强制采购       </w:t>
      </w:r>
      <w:r>
        <w:rPr>
          <w:rFonts w:hint="eastAsia" w:ascii="宋体" w:hAnsi="宋体"/>
          <w:iCs/>
          <w:color w:val="auto"/>
          <w:szCs w:val="21"/>
          <w:highlight w:val="none"/>
        </w:rPr>
        <w:sym w:font="Wingdings" w:char="00A8"/>
      </w:r>
      <w:r>
        <w:rPr>
          <w:rFonts w:hint="eastAsia" w:ascii="宋体" w:hAnsi="宋体"/>
          <w:iCs/>
          <w:color w:val="auto"/>
          <w:szCs w:val="21"/>
          <w:highlight w:val="none"/>
        </w:rPr>
        <w:t xml:space="preserve">优先采购    </w:t>
      </w:r>
    </w:p>
    <w:p w14:paraId="63833CE0">
      <w:pPr>
        <w:pStyle w:val="2"/>
        <w:ind w:firstLine="420" w:firstLineChars="0"/>
        <w:rPr>
          <w:rFonts w:ascii="宋体" w:hAnsi="宋体"/>
          <w:color w:val="auto"/>
          <w:sz w:val="21"/>
          <w:highlight w:val="none"/>
        </w:rPr>
      </w:pPr>
      <w:r>
        <w:rPr>
          <w:rFonts w:hint="eastAsia" w:ascii="宋体" w:hAnsi="宋体" w:eastAsia="宋体" w:cs="Times New Roman"/>
          <w:color w:val="auto"/>
          <w:kern w:val="2"/>
          <w:sz w:val="21"/>
          <w:highlight w:val="none"/>
        </w:rPr>
        <w:t xml:space="preserve">     </w:t>
      </w:r>
      <w:r>
        <w:rPr>
          <w:rFonts w:hint="eastAsia" w:ascii="宋体" w:hAnsi="宋体" w:eastAsia="宋体" w:cs="Times New Roman"/>
          <w:color w:val="auto"/>
          <w:kern w:val="2"/>
          <w:sz w:val="21"/>
          <w:highlight w:val="none"/>
        </w:rPr>
        <w:sym w:font="Wingdings" w:char="00FE"/>
      </w:r>
      <w:r>
        <w:rPr>
          <w:rFonts w:hint="eastAsia" w:ascii="宋体" w:hAnsi="宋体" w:eastAsia="宋体" w:cs="Times New Roman"/>
          <w:color w:val="auto"/>
          <w:kern w:val="2"/>
          <w:sz w:val="21"/>
          <w:highlight w:val="none"/>
        </w:rPr>
        <w:t>否</w:t>
      </w:r>
    </w:p>
    <w:p w14:paraId="7D119A56">
      <w:pPr>
        <w:numPr>
          <w:ilvl w:val="255"/>
          <w:numId w:val="0"/>
        </w:numPr>
        <w:adjustRightInd w:val="0"/>
        <w:snapToGrid w:val="0"/>
        <w:spacing w:line="400" w:lineRule="exact"/>
        <w:rPr>
          <w:rFonts w:ascii="宋体" w:hAnsi="宋体" w:eastAsia="宋体"/>
          <w:color w:val="auto"/>
          <w:szCs w:val="21"/>
          <w:highlight w:val="none"/>
        </w:rPr>
      </w:pPr>
      <w:r>
        <w:rPr>
          <w:rFonts w:hint="eastAsia" w:ascii="宋体" w:hAnsi="宋体"/>
          <w:color w:val="auto"/>
          <w:szCs w:val="21"/>
          <w:highlight w:val="none"/>
        </w:rPr>
        <w:t xml:space="preserve">    （1</w:t>
      </w:r>
      <w:r>
        <w:rPr>
          <w:rFonts w:ascii="宋体" w:hAnsi="宋体"/>
          <w:color w:val="auto"/>
          <w:szCs w:val="21"/>
          <w:highlight w:val="none"/>
          <w:lang w:val="en"/>
        </w:rPr>
        <w:t>1</w:t>
      </w:r>
      <w:r>
        <w:rPr>
          <w:rFonts w:hint="eastAsia" w:ascii="宋体" w:hAnsi="宋体"/>
          <w:color w:val="auto"/>
          <w:szCs w:val="21"/>
          <w:highlight w:val="none"/>
        </w:rPr>
        <w:t>）</w:t>
      </w:r>
      <w:r>
        <w:rPr>
          <w:rFonts w:hint="eastAsia" w:ascii="宋体" w:hAnsi="宋体" w:eastAsia="宋体"/>
          <w:color w:val="auto"/>
          <w:szCs w:val="21"/>
          <w:highlight w:val="none"/>
        </w:rPr>
        <w:t>涉及商品包装和快递包装的，是否参考</w:t>
      </w:r>
      <w:r>
        <w:rPr>
          <w:rFonts w:hint="eastAsia" w:ascii="宋体" w:hAnsi="宋体"/>
          <w:color w:val="auto"/>
          <w:szCs w:val="21"/>
          <w:highlight w:val="none"/>
        </w:rPr>
        <w:t>《商品包装政府采购需求标准（试行）》、《快递包装政府采购需求标准（试行）》</w:t>
      </w:r>
      <w:r>
        <w:rPr>
          <w:rFonts w:hint="eastAsia" w:ascii="宋体" w:hAnsi="宋体" w:eastAsia="宋体"/>
          <w:color w:val="auto"/>
          <w:szCs w:val="21"/>
          <w:highlight w:val="none"/>
        </w:rPr>
        <w:t>明确产品及相关快递服务的具体包装要求：</w:t>
      </w:r>
    </w:p>
    <w:p w14:paraId="7821A5A6">
      <w:pPr>
        <w:numPr>
          <w:ilvl w:val="255"/>
          <w:numId w:val="0"/>
        </w:numPr>
        <w:adjustRightInd w:val="0"/>
        <w:snapToGrid w:val="0"/>
        <w:spacing w:line="400" w:lineRule="exact"/>
        <w:ind w:firstLine="840" w:firstLineChars="400"/>
        <w:rPr>
          <w:rFonts w:ascii="宋体" w:hAnsi="宋体" w:eastAsia="宋体"/>
          <w:color w:val="auto"/>
          <w:szCs w:val="21"/>
          <w:highlight w:val="none"/>
        </w:rPr>
      </w:pPr>
      <w:r>
        <w:rPr>
          <w:rFonts w:hint="eastAsia" w:ascii="宋体" w:hAnsi="宋体" w:eastAsia="宋体"/>
          <w:color w:val="auto"/>
          <w:szCs w:val="21"/>
          <w:highlight w:val="none"/>
        </w:rPr>
        <w:sym w:font="Wingdings" w:char="00A8"/>
      </w:r>
      <w:r>
        <w:rPr>
          <w:rFonts w:hint="eastAsia" w:ascii="宋体" w:hAnsi="宋体" w:eastAsia="宋体"/>
          <w:color w:val="auto"/>
          <w:szCs w:val="21"/>
          <w:highlight w:val="none"/>
        </w:rPr>
        <w:t xml:space="preserve">是       </w:t>
      </w:r>
      <w:r>
        <w:rPr>
          <w:rFonts w:hint="eastAsia" w:ascii="宋体" w:hAnsi="宋体" w:eastAsia="宋体"/>
          <w:color w:val="auto"/>
          <w:szCs w:val="21"/>
          <w:highlight w:val="none"/>
        </w:rPr>
        <w:sym w:font="Wingdings" w:char="00A8"/>
      </w:r>
      <w:r>
        <w:rPr>
          <w:rFonts w:hint="eastAsia" w:ascii="宋体" w:hAnsi="宋体" w:eastAsia="宋体"/>
          <w:color w:val="auto"/>
          <w:szCs w:val="21"/>
          <w:highlight w:val="none"/>
        </w:rPr>
        <w:t xml:space="preserve">否      </w:t>
      </w:r>
      <w:r>
        <w:rPr>
          <w:rFonts w:hint="eastAsia" w:ascii="宋体" w:hAnsi="宋体" w:eastAsia="宋体"/>
          <w:color w:val="auto"/>
          <w:szCs w:val="21"/>
          <w:highlight w:val="none"/>
        </w:rPr>
        <w:sym w:font="Wingdings" w:char="00FE"/>
      </w:r>
      <w:r>
        <w:rPr>
          <w:rFonts w:hint="eastAsia" w:ascii="宋体" w:hAnsi="宋体" w:eastAsia="宋体"/>
          <w:color w:val="auto"/>
          <w:szCs w:val="21"/>
          <w:highlight w:val="none"/>
        </w:rPr>
        <w:t>不涉及</w:t>
      </w:r>
    </w:p>
    <w:p w14:paraId="162B921D">
      <w:pPr>
        <w:numPr>
          <w:ilvl w:val="0"/>
          <w:numId w:val="1"/>
        </w:numPr>
        <w:adjustRightInd w:val="0"/>
        <w:snapToGrid w:val="0"/>
        <w:spacing w:line="400" w:lineRule="exact"/>
        <w:ind w:firstLine="422" w:firstLineChars="200"/>
        <w:rPr>
          <w:rFonts w:ascii="宋体" w:hAnsi="宋体"/>
          <w:b/>
          <w:color w:val="auto"/>
          <w:szCs w:val="21"/>
          <w:highlight w:val="none"/>
        </w:rPr>
      </w:pPr>
      <w:r>
        <w:rPr>
          <w:rFonts w:hint="eastAsia" w:ascii="宋体" w:hAnsi="宋体"/>
          <w:b/>
          <w:color w:val="auto"/>
          <w:szCs w:val="21"/>
          <w:highlight w:val="none"/>
        </w:rPr>
        <w:t>合同金额</w:t>
      </w:r>
    </w:p>
    <w:p w14:paraId="22DF154D">
      <w:pPr>
        <w:adjustRightInd w:val="0"/>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（1）合同金额小写：</w:t>
      </w:r>
      <w:r>
        <w:rPr>
          <w:rFonts w:hint="eastAsia" w:ascii="宋体" w:hAnsi="宋体"/>
          <w:color w:val="auto"/>
          <w:szCs w:val="21"/>
          <w:highlight w:val="none"/>
          <w:u w:val="single"/>
        </w:rPr>
        <w:t xml:space="preserve">                           </w:t>
      </w:r>
    </w:p>
    <w:p w14:paraId="75F2B53E">
      <w:pPr>
        <w:adjustRightInd w:val="0"/>
        <w:snapToGrid w:val="0"/>
        <w:spacing w:line="400" w:lineRule="exact"/>
        <w:rPr>
          <w:rFonts w:ascii="宋体" w:hAnsi="宋体"/>
          <w:color w:val="auto"/>
          <w:szCs w:val="21"/>
          <w:highlight w:val="none"/>
          <w:u w:val="single"/>
        </w:rPr>
      </w:pPr>
      <w:r>
        <w:rPr>
          <w:rFonts w:hint="eastAsia" w:ascii="宋体" w:hAnsi="宋体"/>
          <w:color w:val="auto"/>
          <w:szCs w:val="21"/>
          <w:highlight w:val="none"/>
        </w:rPr>
        <w:t xml:space="preserve">                 大写：</w:t>
      </w:r>
      <w:r>
        <w:rPr>
          <w:rFonts w:hint="eastAsia" w:ascii="宋体" w:hAnsi="宋体"/>
          <w:color w:val="auto"/>
          <w:szCs w:val="21"/>
          <w:highlight w:val="none"/>
          <w:u w:val="single"/>
        </w:rPr>
        <w:t xml:space="preserve">                           </w:t>
      </w:r>
    </w:p>
    <w:p w14:paraId="2881932B">
      <w:pPr>
        <w:adjustRightInd w:val="0"/>
        <w:snapToGrid w:val="0"/>
        <w:spacing w:line="400" w:lineRule="exact"/>
        <w:ind w:firstLine="420" w:firstLineChars="200"/>
        <w:rPr>
          <w:color w:val="auto"/>
          <w:highlight w:val="none"/>
        </w:rPr>
      </w:pPr>
      <w:r>
        <w:rPr>
          <w:rFonts w:hint="eastAsia" w:ascii="宋体" w:hAnsi="宋体"/>
          <w:color w:val="auto"/>
          <w:szCs w:val="21"/>
          <w:highlight w:val="none"/>
        </w:rPr>
        <w:t xml:space="preserve"> </w:t>
      </w:r>
      <w:r>
        <w:rPr>
          <w:color w:val="auto"/>
          <w:highlight w:val="none"/>
        </w:rPr>
        <w:t>本</w:t>
      </w:r>
      <w:r>
        <w:rPr>
          <w:rFonts w:hint="eastAsia"/>
          <w:color w:val="auto"/>
          <w:highlight w:val="none"/>
        </w:rPr>
        <w:t>采购包</w:t>
      </w:r>
      <w:r>
        <w:rPr>
          <w:rFonts w:hint="eastAsia" w:ascii="宋体" w:hAnsi="宋体" w:eastAsia="宋体" w:cs="Times New Roman"/>
          <w:color w:val="auto"/>
          <w:szCs w:val="21"/>
          <w:highlight w:val="none"/>
        </w:rPr>
        <w:t>图书</w:t>
      </w:r>
      <w:r>
        <w:rPr>
          <w:color w:val="auto"/>
          <w:highlight w:val="none"/>
        </w:rPr>
        <w:t>采购的中标折扣率为</w:t>
      </w:r>
      <w:r>
        <w:rPr>
          <w:rFonts w:hint="eastAsia"/>
          <w:color w:val="auto"/>
          <w:highlight w:val="none"/>
          <w:u w:val="single"/>
        </w:rPr>
        <w:t xml:space="preserve">      </w:t>
      </w:r>
      <w:r>
        <w:rPr>
          <w:color w:val="auto"/>
          <w:highlight w:val="none"/>
          <w:u w:val="single"/>
        </w:rPr>
        <w:t>%</w:t>
      </w:r>
      <w:r>
        <w:rPr>
          <w:color w:val="auto"/>
          <w:highlight w:val="none"/>
        </w:rPr>
        <w:t>；书款以人民币为结算货币。折扣后的书款包含图书价款、运输费、上楼费、加工材料费及其它服务、税费等所有费用。</w:t>
      </w:r>
    </w:p>
    <w:p w14:paraId="76632A62">
      <w:pPr>
        <w:adjustRightInd w:val="0"/>
        <w:snapToGrid w:val="0"/>
        <w:spacing w:line="400" w:lineRule="exact"/>
        <w:rPr>
          <w:rFonts w:ascii="宋体" w:hAnsi="宋体"/>
          <w:color w:val="auto"/>
          <w:szCs w:val="21"/>
          <w:highlight w:val="none"/>
          <w:u w:val="single"/>
        </w:rPr>
      </w:pPr>
      <w:r>
        <w:rPr>
          <w:color w:val="auto"/>
          <w:highlight w:val="none"/>
        </w:rPr>
        <w:t>注：甲方将按用户需求的图书类别和</w:t>
      </w:r>
      <w:r>
        <w:rPr>
          <w:rFonts w:hint="eastAsia"/>
          <w:color w:val="auto"/>
          <w:highlight w:val="none"/>
        </w:rPr>
        <w:t>合同</w:t>
      </w:r>
      <w:r>
        <w:rPr>
          <w:color w:val="auto"/>
          <w:highlight w:val="none"/>
        </w:rPr>
        <w:t>金额进行采购，但不能保证向乙方采购的数量和总价完全符合，具体数量和总价以实际采购为准，最终采购金额按照合作单位的实际供货能力和服务质量确定。</w:t>
      </w:r>
    </w:p>
    <w:p w14:paraId="4E993D6A">
      <w:pPr>
        <w:adjustRightInd w:val="0"/>
        <w:snapToGrid w:val="0"/>
        <w:spacing w:line="400" w:lineRule="exact"/>
        <w:rPr>
          <w:rFonts w:ascii="宋体" w:hAnsi="宋体"/>
          <w:color w:val="auto"/>
          <w:szCs w:val="21"/>
          <w:highlight w:val="none"/>
        </w:rPr>
      </w:pPr>
      <w:r>
        <w:rPr>
          <w:rFonts w:hint="eastAsia" w:ascii="宋体" w:hAnsi="宋体"/>
          <w:color w:val="auto"/>
          <w:szCs w:val="21"/>
          <w:highlight w:val="none"/>
        </w:rPr>
        <w:t xml:space="preserve">    （注：固定单价合同应填写单价和最高限价）</w:t>
      </w:r>
    </w:p>
    <w:p w14:paraId="416B3A09">
      <w:pPr>
        <w:numPr>
          <w:ilvl w:val="255"/>
          <w:numId w:val="0"/>
        </w:numPr>
        <w:adjustRightInd w:val="0"/>
        <w:snapToGrid w:val="0"/>
        <w:spacing w:line="400" w:lineRule="exact"/>
        <w:rPr>
          <w:rFonts w:ascii="宋体" w:hAnsi="宋体"/>
          <w:color w:val="auto"/>
          <w:szCs w:val="21"/>
          <w:highlight w:val="none"/>
        </w:rPr>
      </w:pPr>
      <w:r>
        <w:rPr>
          <w:rFonts w:hint="eastAsia" w:ascii="宋体" w:hAnsi="宋体"/>
          <w:color w:val="auto"/>
          <w:szCs w:val="21"/>
          <w:highlight w:val="none"/>
        </w:rPr>
        <w:t xml:space="preserve">    （2）合同定价方式（采用组合定价方式的，可以勾选多项）：</w:t>
      </w:r>
    </w:p>
    <w:p w14:paraId="31CA94BD">
      <w:pPr>
        <w:adjustRightInd w:val="0"/>
        <w:snapToGrid w:val="0"/>
        <w:spacing w:line="400" w:lineRule="exact"/>
        <w:ind w:firstLine="420" w:firstLineChars="200"/>
        <w:rPr>
          <w:rFonts w:ascii="宋体" w:hAnsi="宋体" w:eastAsia="宋体"/>
          <w:color w:val="auto"/>
          <w:szCs w:val="21"/>
          <w:highlight w:val="none"/>
        </w:rPr>
      </w:pPr>
      <w:r>
        <w:rPr>
          <w:rFonts w:hint="eastAsia" w:ascii="宋体" w:hAnsi="宋体"/>
          <w:iCs/>
          <w:color w:val="auto"/>
          <w:szCs w:val="21"/>
          <w:highlight w:val="none"/>
        </w:rPr>
        <w:t xml:space="preserve">  </w:t>
      </w:r>
      <w:r>
        <w:rPr>
          <w:rFonts w:hint="eastAsia" w:ascii="宋体" w:hAnsi="宋体"/>
          <w:iCs/>
          <w:color w:val="auto"/>
          <w:szCs w:val="21"/>
          <w:highlight w:val="none"/>
        </w:rPr>
        <w:sym w:font="Wingdings" w:char="00A8"/>
      </w:r>
      <w:r>
        <w:rPr>
          <w:rFonts w:hint="eastAsia" w:ascii="宋体" w:hAnsi="宋体"/>
          <w:iCs/>
          <w:color w:val="auto"/>
          <w:szCs w:val="21"/>
          <w:highlight w:val="none"/>
        </w:rPr>
        <w:t xml:space="preserve">固定总价 </w:t>
      </w:r>
      <w:r>
        <w:rPr>
          <w:rFonts w:hint="eastAsia" w:ascii="宋体" w:hAnsi="宋体"/>
          <w:iCs/>
          <w:color w:val="auto"/>
          <w:szCs w:val="21"/>
          <w:highlight w:val="none"/>
        </w:rPr>
        <w:sym w:font="Wingdings" w:char="00A8"/>
      </w:r>
      <w:r>
        <w:rPr>
          <w:rFonts w:hint="eastAsia" w:ascii="宋体" w:hAnsi="宋体"/>
          <w:iCs/>
          <w:color w:val="auto"/>
          <w:szCs w:val="21"/>
          <w:highlight w:val="none"/>
        </w:rPr>
        <w:t xml:space="preserve">固定单价 </w:t>
      </w:r>
      <w:r>
        <w:rPr>
          <w:rFonts w:hint="eastAsia" w:ascii="宋体" w:hAnsi="宋体"/>
          <w:iCs/>
          <w:color w:val="auto"/>
          <w:szCs w:val="21"/>
          <w:highlight w:val="none"/>
        </w:rPr>
        <w:sym w:font="Wingdings" w:char="00A8"/>
      </w:r>
      <w:r>
        <w:rPr>
          <w:rFonts w:hint="eastAsia" w:ascii="宋体" w:hAnsi="宋体"/>
          <w:iCs/>
          <w:color w:val="auto"/>
          <w:szCs w:val="21"/>
          <w:highlight w:val="none"/>
        </w:rPr>
        <w:t xml:space="preserve">固定费率 </w:t>
      </w:r>
      <w:r>
        <w:rPr>
          <w:rFonts w:hint="eastAsia" w:ascii="宋体" w:hAnsi="宋体"/>
          <w:iCs/>
          <w:color w:val="auto"/>
          <w:szCs w:val="21"/>
          <w:highlight w:val="none"/>
        </w:rPr>
        <w:sym w:font="Wingdings" w:char="00A8"/>
      </w:r>
      <w:r>
        <w:rPr>
          <w:rFonts w:hint="eastAsia" w:ascii="宋体" w:hAnsi="宋体"/>
          <w:iCs/>
          <w:color w:val="auto"/>
          <w:szCs w:val="21"/>
          <w:highlight w:val="none"/>
        </w:rPr>
        <w:t xml:space="preserve">成本补偿 </w:t>
      </w:r>
      <w:r>
        <w:rPr>
          <w:rFonts w:hint="eastAsia" w:ascii="宋体" w:hAnsi="宋体"/>
          <w:iCs/>
          <w:color w:val="auto"/>
          <w:szCs w:val="21"/>
          <w:highlight w:val="none"/>
        </w:rPr>
        <w:sym w:font="Wingdings" w:char="00A8"/>
      </w:r>
      <w:r>
        <w:rPr>
          <w:rFonts w:hint="eastAsia" w:ascii="宋体" w:hAnsi="宋体"/>
          <w:iCs/>
          <w:color w:val="auto"/>
          <w:szCs w:val="21"/>
          <w:highlight w:val="none"/>
        </w:rPr>
        <w:t xml:space="preserve">绩效激励 </w:t>
      </w:r>
      <w:r>
        <w:rPr>
          <w:rFonts w:hint="eastAsia" w:ascii="宋体" w:hAnsi="宋体"/>
          <w:iCs/>
          <w:color w:val="auto"/>
          <w:szCs w:val="21"/>
          <w:highlight w:val="none"/>
        </w:rPr>
        <w:sym w:font="Wingdings" w:char="00A8"/>
      </w:r>
      <w:r>
        <w:rPr>
          <w:rFonts w:hint="eastAsia" w:ascii="宋体" w:hAnsi="宋体"/>
          <w:iCs/>
          <w:color w:val="auto"/>
          <w:szCs w:val="21"/>
          <w:highlight w:val="none"/>
        </w:rPr>
        <w:t>其他</w:t>
      </w:r>
      <w:r>
        <w:rPr>
          <w:rFonts w:hint="eastAsia" w:ascii="宋体" w:hAnsi="宋体"/>
          <w:color w:val="auto"/>
          <w:szCs w:val="21"/>
          <w:highlight w:val="none"/>
          <w:u w:val="single"/>
        </w:rPr>
        <w:t xml:space="preserve">       </w:t>
      </w:r>
    </w:p>
    <w:p w14:paraId="6C103E1F">
      <w:pPr>
        <w:pStyle w:val="10"/>
        <w:spacing w:line="400" w:lineRule="exact"/>
        <w:rPr>
          <w:color w:val="auto"/>
          <w:highlight w:val="none"/>
        </w:rPr>
      </w:pPr>
      <w:r>
        <w:rPr>
          <w:rFonts w:hint="eastAsia" w:ascii="宋体" w:hAnsi="宋体"/>
          <w:color w:val="auto"/>
          <w:highlight w:val="none"/>
        </w:rPr>
        <w:t>（3）付款方式（按项目实际勾选填写）：</w:t>
      </w:r>
    </w:p>
    <w:p w14:paraId="1B5B0ED2">
      <w:pPr>
        <w:adjustRightInd w:val="0"/>
        <w:snapToGrid w:val="0"/>
        <w:spacing w:line="400" w:lineRule="exact"/>
        <w:ind w:firstLine="630" w:firstLineChars="300"/>
        <w:rPr>
          <w:rFonts w:ascii="宋体" w:hAnsi="宋体"/>
          <w:color w:val="auto"/>
          <w:szCs w:val="21"/>
          <w:highlight w:val="none"/>
          <w:u w:val="single"/>
        </w:rPr>
      </w:pPr>
      <w:r>
        <w:rPr>
          <w:rFonts w:hint="eastAsia" w:ascii="宋体" w:hAnsi="宋体"/>
          <w:color w:val="auto"/>
          <w:szCs w:val="21"/>
          <w:highlight w:val="none"/>
        </w:rPr>
        <w:sym w:font="Wingdings" w:char="00A8"/>
      </w:r>
      <w:r>
        <w:rPr>
          <w:rFonts w:hint="eastAsia" w:ascii="宋体" w:hAnsi="宋体"/>
          <w:color w:val="auto"/>
          <w:szCs w:val="21"/>
          <w:highlight w:val="none"/>
        </w:rPr>
        <w:t>全额付款：</w:t>
      </w:r>
      <w:r>
        <w:rPr>
          <w:rFonts w:hint="eastAsia" w:ascii="宋体" w:hAnsi="宋体"/>
          <w:color w:val="auto"/>
          <w:szCs w:val="21"/>
          <w:highlight w:val="none"/>
          <w:u w:val="single"/>
        </w:rPr>
        <w:t xml:space="preserve">     （应明确一次性支付合同款项的条件）                    </w:t>
      </w:r>
    </w:p>
    <w:p w14:paraId="1E51D2D1">
      <w:pPr>
        <w:snapToGrid w:val="0"/>
        <w:spacing w:line="400" w:lineRule="exact"/>
        <w:ind w:firstLine="630" w:firstLineChars="300"/>
        <w:rPr>
          <w:rFonts w:ascii="宋体" w:hAnsi="宋体"/>
          <w:color w:val="auto"/>
          <w:szCs w:val="21"/>
          <w:highlight w:val="none"/>
          <w:u w:val="single"/>
        </w:rPr>
      </w:pPr>
      <w:r>
        <w:rPr>
          <w:rFonts w:hint="eastAsia" w:ascii="宋体" w:hAnsi="宋体"/>
          <w:color w:val="auto"/>
          <w:szCs w:val="21"/>
          <w:highlight w:val="none"/>
        </w:rPr>
        <w:sym w:font="Wingdings" w:char="00FE"/>
      </w:r>
      <w:r>
        <w:rPr>
          <w:rFonts w:hint="eastAsia" w:ascii="宋体" w:hAnsi="宋体"/>
          <w:color w:val="auto"/>
          <w:szCs w:val="21"/>
          <w:highlight w:val="none"/>
        </w:rPr>
        <w:t>分期付款：</w:t>
      </w:r>
      <w:r>
        <w:rPr>
          <w:rFonts w:hint="eastAsia" w:ascii="宋体" w:hAnsi="宋体"/>
          <w:color w:val="auto"/>
          <w:szCs w:val="21"/>
          <w:highlight w:val="none"/>
          <w:u w:val="single"/>
        </w:rPr>
        <w:t xml:space="preserve"> </w:t>
      </w:r>
      <w:r>
        <w:rPr>
          <w:rFonts w:hint="eastAsia" w:ascii="宋体" w:hAnsi="宋体"/>
          <w:color w:val="auto"/>
          <w:szCs w:val="21"/>
          <w:highlight w:val="none"/>
          <w:u w:val="single"/>
          <w:lang w:eastAsia="zh-CN"/>
        </w:rPr>
        <w:t>甲方</w:t>
      </w:r>
      <w:r>
        <w:rPr>
          <w:rFonts w:hint="eastAsia" w:ascii="宋体" w:hAnsi="宋体"/>
          <w:color w:val="auto"/>
          <w:szCs w:val="21"/>
          <w:highlight w:val="none"/>
          <w:u w:val="single"/>
        </w:rPr>
        <w:t>验收完每批图书后，</w:t>
      </w:r>
      <w:r>
        <w:rPr>
          <w:rFonts w:hint="eastAsia" w:ascii="宋体" w:hAnsi="宋体"/>
          <w:color w:val="auto"/>
          <w:szCs w:val="21"/>
          <w:highlight w:val="none"/>
          <w:u w:val="single"/>
          <w:lang w:val="en-US" w:eastAsia="zh-CN"/>
        </w:rPr>
        <w:t>乙方</w:t>
      </w:r>
      <w:r>
        <w:rPr>
          <w:rFonts w:hint="eastAsia" w:ascii="宋体" w:hAnsi="宋体"/>
          <w:color w:val="auto"/>
          <w:szCs w:val="21"/>
          <w:highlight w:val="none"/>
          <w:u w:val="single"/>
        </w:rPr>
        <w:t>按照中标折后价开具发票，</w:t>
      </w:r>
      <w:r>
        <w:rPr>
          <w:rFonts w:hint="eastAsia" w:ascii="宋体" w:hAnsi="宋体"/>
          <w:color w:val="auto"/>
          <w:szCs w:val="21"/>
          <w:highlight w:val="none"/>
          <w:u w:val="single"/>
          <w:lang w:val="en-US" w:eastAsia="zh-CN"/>
        </w:rPr>
        <w:t>甲方</w:t>
      </w:r>
      <w:r>
        <w:rPr>
          <w:rFonts w:hint="eastAsia" w:ascii="宋体" w:hAnsi="宋体"/>
          <w:color w:val="auto"/>
          <w:szCs w:val="21"/>
          <w:highlight w:val="none"/>
          <w:u w:val="single"/>
        </w:rPr>
        <w:t>需在收到发票后10个工作日内按发票提供的银行帐号付款，直至项目完成。</w:t>
      </w:r>
    </w:p>
    <w:p w14:paraId="51726CA0">
      <w:pPr>
        <w:snapToGrid w:val="0"/>
        <w:spacing w:line="400" w:lineRule="exact"/>
        <w:ind w:firstLine="630" w:firstLineChars="300"/>
        <w:rPr>
          <w:rFonts w:ascii="宋体" w:hAnsi="宋体"/>
          <w:color w:val="auto"/>
          <w:szCs w:val="21"/>
          <w:highlight w:val="none"/>
          <w:u w:val="single"/>
        </w:rPr>
      </w:pPr>
      <w:r>
        <w:rPr>
          <w:rFonts w:hint="eastAsia" w:ascii="宋体" w:hAnsi="宋体"/>
          <w:color w:val="auto"/>
          <w:szCs w:val="21"/>
          <w:highlight w:val="none"/>
          <w:u w:val="single"/>
        </w:rPr>
        <w:t>(1)</w:t>
      </w:r>
      <w:r>
        <w:rPr>
          <w:rFonts w:hint="eastAsia" w:ascii="宋体" w:hAnsi="宋体"/>
          <w:color w:val="auto"/>
          <w:szCs w:val="21"/>
          <w:highlight w:val="none"/>
          <w:u w:val="single"/>
          <w:lang w:eastAsia="zh-CN"/>
        </w:rPr>
        <w:t>乙方</w:t>
      </w:r>
      <w:r>
        <w:rPr>
          <w:rFonts w:hint="eastAsia" w:ascii="宋体" w:hAnsi="宋体"/>
          <w:color w:val="auto"/>
          <w:szCs w:val="21"/>
          <w:highlight w:val="none"/>
          <w:u w:val="single"/>
        </w:rPr>
        <w:t>为中小企业的，预付款比例为合同金额的30%，在合同签订后5个工作日完成支付。</w:t>
      </w:r>
      <w:r>
        <w:rPr>
          <w:rFonts w:hint="eastAsia" w:ascii="宋体" w:hAnsi="宋体"/>
          <w:color w:val="auto"/>
          <w:szCs w:val="21"/>
          <w:highlight w:val="none"/>
          <w:u w:val="single"/>
          <w:lang w:eastAsia="zh-CN"/>
        </w:rPr>
        <w:t>乙方</w:t>
      </w:r>
      <w:r>
        <w:rPr>
          <w:rFonts w:hint="eastAsia" w:ascii="宋体" w:hAnsi="宋体"/>
          <w:color w:val="auto"/>
          <w:szCs w:val="21"/>
          <w:highlight w:val="none"/>
          <w:u w:val="single"/>
        </w:rPr>
        <w:t>履约后，</w:t>
      </w:r>
      <w:r>
        <w:rPr>
          <w:rFonts w:hint="eastAsia" w:ascii="宋体" w:hAnsi="宋体"/>
          <w:color w:val="auto"/>
          <w:szCs w:val="21"/>
          <w:highlight w:val="none"/>
          <w:u w:val="single"/>
          <w:lang w:eastAsia="zh-CN"/>
        </w:rPr>
        <w:t>甲方</w:t>
      </w:r>
      <w:r>
        <w:rPr>
          <w:rFonts w:hint="eastAsia" w:ascii="宋体" w:hAnsi="宋体"/>
          <w:color w:val="auto"/>
          <w:szCs w:val="21"/>
          <w:highlight w:val="none"/>
          <w:u w:val="single"/>
        </w:rPr>
        <w:t>在收到</w:t>
      </w:r>
      <w:r>
        <w:rPr>
          <w:rFonts w:hint="eastAsia" w:ascii="宋体" w:hAnsi="宋体"/>
          <w:color w:val="auto"/>
          <w:szCs w:val="21"/>
          <w:highlight w:val="none"/>
          <w:u w:val="single"/>
          <w:lang w:eastAsia="zh-CN"/>
        </w:rPr>
        <w:t>乙方</w:t>
      </w:r>
      <w:r>
        <w:rPr>
          <w:rFonts w:hint="eastAsia" w:ascii="宋体" w:hAnsi="宋体"/>
          <w:color w:val="auto"/>
          <w:szCs w:val="21"/>
          <w:highlight w:val="none"/>
          <w:u w:val="single"/>
        </w:rPr>
        <w:t>验收申请后7日内组织履约验收。对于满足合同约定支付条件的，</w:t>
      </w:r>
      <w:r>
        <w:rPr>
          <w:rFonts w:hint="eastAsia" w:ascii="宋体" w:hAnsi="宋体"/>
          <w:color w:val="auto"/>
          <w:szCs w:val="21"/>
          <w:highlight w:val="none"/>
          <w:u w:val="single"/>
          <w:lang w:eastAsia="zh-CN"/>
        </w:rPr>
        <w:t>甲方</w:t>
      </w:r>
      <w:r>
        <w:rPr>
          <w:rFonts w:hint="eastAsia" w:ascii="宋体" w:hAnsi="宋体"/>
          <w:color w:val="auto"/>
          <w:szCs w:val="21"/>
          <w:highlight w:val="none"/>
          <w:u w:val="single"/>
        </w:rPr>
        <w:t>在收到发票后10个工作日内完成资金支付。</w:t>
      </w:r>
      <w:r>
        <w:rPr>
          <w:rFonts w:hint="eastAsia" w:ascii="宋体" w:hAnsi="宋体"/>
          <w:color w:val="auto"/>
          <w:szCs w:val="21"/>
          <w:highlight w:val="none"/>
          <w:u w:val="single"/>
          <w:lang w:eastAsia="zh-CN"/>
        </w:rPr>
        <w:t>甲方</w:t>
      </w:r>
      <w:r>
        <w:rPr>
          <w:rFonts w:hint="eastAsia" w:ascii="宋体" w:hAnsi="宋体"/>
          <w:color w:val="auto"/>
          <w:szCs w:val="21"/>
          <w:highlight w:val="none"/>
          <w:u w:val="single"/>
        </w:rPr>
        <w:t>采购图书金额达到合同金额的30%后，再按每次实际购买图书的金额支付。</w:t>
      </w:r>
    </w:p>
    <w:p w14:paraId="750DC147">
      <w:pPr>
        <w:snapToGrid w:val="0"/>
        <w:spacing w:line="400" w:lineRule="exact"/>
        <w:ind w:firstLine="630" w:firstLineChars="300"/>
        <w:rPr>
          <w:color w:val="auto"/>
          <w:highlight w:val="none"/>
        </w:rPr>
      </w:pPr>
      <w:r>
        <w:rPr>
          <w:rFonts w:hint="eastAsia" w:ascii="宋体" w:hAnsi="宋体"/>
          <w:color w:val="auto"/>
          <w:szCs w:val="21"/>
          <w:highlight w:val="none"/>
          <w:u w:val="single"/>
        </w:rPr>
        <w:t>(2)</w:t>
      </w:r>
      <w:r>
        <w:rPr>
          <w:rFonts w:hint="eastAsia" w:ascii="宋体" w:hAnsi="宋体"/>
          <w:color w:val="auto"/>
          <w:szCs w:val="21"/>
          <w:highlight w:val="none"/>
          <w:u w:val="single"/>
          <w:lang w:eastAsia="zh-CN"/>
        </w:rPr>
        <w:t>乙方</w:t>
      </w:r>
      <w:r>
        <w:rPr>
          <w:rFonts w:hint="eastAsia" w:ascii="宋体" w:hAnsi="宋体"/>
          <w:color w:val="auto"/>
          <w:szCs w:val="21"/>
          <w:highlight w:val="none"/>
          <w:u w:val="single"/>
        </w:rPr>
        <w:t>为非中小企业的，本项目无预付款。每批图书现场编目加工完毕并验收合格后10个工作日内，凭</w:t>
      </w:r>
      <w:r>
        <w:rPr>
          <w:rFonts w:hint="eastAsia" w:ascii="宋体" w:hAnsi="宋体"/>
          <w:color w:val="auto"/>
          <w:szCs w:val="21"/>
          <w:highlight w:val="none"/>
          <w:u w:val="single"/>
          <w:lang w:eastAsia="zh-CN"/>
        </w:rPr>
        <w:t>乙方</w:t>
      </w:r>
      <w:r>
        <w:rPr>
          <w:rFonts w:hint="eastAsia" w:ascii="宋体" w:hAnsi="宋体"/>
          <w:color w:val="auto"/>
          <w:szCs w:val="21"/>
          <w:highlight w:val="none"/>
          <w:u w:val="single"/>
        </w:rPr>
        <w:t>开具的有效发票，通过银行转账的方式，</w:t>
      </w:r>
      <w:r>
        <w:rPr>
          <w:rFonts w:hint="eastAsia" w:ascii="宋体" w:hAnsi="宋体"/>
          <w:color w:val="auto"/>
          <w:szCs w:val="21"/>
          <w:highlight w:val="none"/>
          <w:u w:val="single"/>
          <w:lang w:eastAsia="zh-CN"/>
        </w:rPr>
        <w:t>甲方</w:t>
      </w:r>
      <w:r>
        <w:rPr>
          <w:rFonts w:hint="eastAsia" w:ascii="宋体" w:hAnsi="宋体"/>
          <w:color w:val="auto"/>
          <w:szCs w:val="21"/>
          <w:highlight w:val="none"/>
          <w:u w:val="single"/>
        </w:rPr>
        <w:t>支付每批图书金额。</w:t>
      </w:r>
      <w:r>
        <w:rPr>
          <w:rFonts w:hint="eastAsia" w:ascii="宋体" w:hAnsi="宋体"/>
          <w:color w:val="auto"/>
          <w:szCs w:val="21"/>
          <w:highlight w:val="none"/>
          <w:u w:val="single"/>
        </w:rPr>
        <w:t xml:space="preserve"> </w:t>
      </w:r>
    </w:p>
    <w:p w14:paraId="5C0E11EF">
      <w:pPr>
        <w:adjustRightInd w:val="0"/>
        <w:snapToGrid w:val="0"/>
        <w:spacing w:line="400" w:lineRule="exact"/>
        <w:ind w:firstLine="630" w:firstLineChars="300"/>
        <w:rPr>
          <w:rFonts w:ascii="宋体" w:hAnsi="宋体"/>
          <w:color w:val="auto"/>
          <w:szCs w:val="21"/>
          <w:highlight w:val="none"/>
          <w:u w:val="single"/>
        </w:rPr>
      </w:pPr>
      <w:r>
        <w:rPr>
          <w:rFonts w:hint="eastAsia" w:ascii="宋体" w:hAnsi="宋体"/>
          <w:color w:val="auto"/>
          <w:szCs w:val="21"/>
          <w:highlight w:val="none"/>
        </w:rPr>
        <w:sym w:font="Wingdings" w:char="00A8"/>
      </w:r>
      <w:r>
        <w:rPr>
          <w:rFonts w:hint="eastAsia" w:ascii="宋体" w:hAnsi="宋体"/>
          <w:color w:val="auto"/>
          <w:szCs w:val="21"/>
          <w:highlight w:val="none"/>
        </w:rPr>
        <w:t>成本补偿：</w:t>
      </w:r>
      <w:r>
        <w:rPr>
          <w:rFonts w:hint="eastAsia" w:ascii="宋体" w:hAnsi="宋体"/>
          <w:color w:val="auto"/>
          <w:szCs w:val="21"/>
          <w:highlight w:val="none"/>
          <w:u w:val="single"/>
        </w:rPr>
        <w:t xml:space="preserve">      （应明确按照成本补偿方式的支付方式和支付条件）   </w:t>
      </w:r>
    </w:p>
    <w:p w14:paraId="3B63EA4A">
      <w:pPr>
        <w:adjustRightInd w:val="0"/>
        <w:snapToGrid w:val="0"/>
        <w:spacing w:line="400" w:lineRule="exact"/>
        <w:ind w:firstLine="630" w:firstLineChars="300"/>
        <w:rPr>
          <w:rFonts w:ascii="宋体" w:hAnsi="宋体"/>
          <w:color w:val="auto"/>
          <w:szCs w:val="21"/>
          <w:highlight w:val="none"/>
        </w:rPr>
      </w:pPr>
      <w:r>
        <w:rPr>
          <w:rFonts w:hint="eastAsia" w:ascii="宋体" w:hAnsi="宋体"/>
          <w:color w:val="auto"/>
          <w:szCs w:val="21"/>
          <w:highlight w:val="none"/>
        </w:rPr>
        <w:sym w:font="Wingdings" w:char="00A8"/>
      </w:r>
      <w:r>
        <w:rPr>
          <w:rFonts w:hint="eastAsia" w:ascii="宋体" w:hAnsi="宋体"/>
          <w:color w:val="auto"/>
          <w:szCs w:val="21"/>
          <w:highlight w:val="none"/>
        </w:rPr>
        <w:t>绩效激励：</w:t>
      </w:r>
      <w:r>
        <w:rPr>
          <w:rFonts w:hint="eastAsia" w:ascii="宋体" w:hAnsi="宋体"/>
          <w:color w:val="auto"/>
          <w:szCs w:val="21"/>
          <w:highlight w:val="none"/>
          <w:u w:val="single"/>
        </w:rPr>
        <w:t xml:space="preserve">      （应明确按照绩效激励方式的支付方式和支付条件）   </w:t>
      </w:r>
    </w:p>
    <w:p w14:paraId="5CFE7A18">
      <w:pPr>
        <w:numPr>
          <w:ilvl w:val="0"/>
          <w:numId w:val="1"/>
        </w:numPr>
        <w:adjustRightInd w:val="0"/>
        <w:snapToGrid w:val="0"/>
        <w:spacing w:line="400" w:lineRule="exact"/>
        <w:ind w:firstLine="422" w:firstLineChars="200"/>
        <w:rPr>
          <w:rFonts w:ascii="宋体" w:hAnsi="宋体"/>
          <w:b/>
          <w:color w:val="auto"/>
          <w:szCs w:val="21"/>
          <w:highlight w:val="none"/>
          <w:u w:val="single"/>
        </w:rPr>
      </w:pPr>
      <w:r>
        <w:rPr>
          <w:rFonts w:hint="eastAsia" w:ascii="宋体" w:hAnsi="宋体"/>
          <w:b/>
          <w:color w:val="auto"/>
          <w:szCs w:val="21"/>
          <w:highlight w:val="none"/>
        </w:rPr>
        <w:t>合同履行</w:t>
      </w:r>
    </w:p>
    <w:p w14:paraId="2D60D195">
      <w:pPr>
        <w:adjustRightInd w:val="0"/>
        <w:snapToGrid w:val="0"/>
        <w:spacing w:line="400" w:lineRule="exact"/>
        <w:ind w:firstLine="420" w:firstLineChars="200"/>
        <w:rPr>
          <w:rFonts w:ascii="宋体" w:hAnsi="宋体" w:cs="宋体"/>
          <w:color w:val="auto"/>
          <w:szCs w:val="21"/>
          <w:highlight w:val="none"/>
        </w:rPr>
      </w:pPr>
      <w:r>
        <w:rPr>
          <w:rFonts w:hint="eastAsia" w:ascii="宋体" w:hAnsi="宋体" w:cs="宋体"/>
          <w:color w:val="auto"/>
          <w:szCs w:val="21"/>
          <w:highlight w:val="none"/>
        </w:rPr>
        <w:t>（1）起始日期：</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年</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月</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日，完成日期：</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年</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月</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rPr>
        <w:t>日。</w:t>
      </w:r>
    </w:p>
    <w:p w14:paraId="32F54958">
      <w:pPr>
        <w:adjustRightInd w:val="0"/>
        <w:snapToGrid w:val="0"/>
        <w:spacing w:line="400" w:lineRule="exact"/>
        <w:ind w:firstLine="420" w:firstLineChars="200"/>
        <w:rPr>
          <w:rFonts w:ascii="宋体" w:hAnsi="宋体" w:cs="宋体"/>
          <w:color w:val="auto"/>
          <w:szCs w:val="21"/>
          <w:highlight w:val="none"/>
          <w:u w:val="single"/>
        </w:rPr>
      </w:pPr>
      <w:r>
        <w:rPr>
          <w:rFonts w:hint="eastAsia" w:ascii="宋体" w:hAnsi="宋体" w:cs="宋体"/>
          <w:color w:val="auto"/>
          <w:szCs w:val="21"/>
          <w:highlight w:val="none"/>
        </w:rPr>
        <w:t>（2）履约地点</w:t>
      </w:r>
      <w:r>
        <w:rPr>
          <w:rFonts w:hint="eastAsia" w:ascii="宋体" w:hAnsi="宋体" w:cs="宋体"/>
          <w:bCs/>
          <w:color w:val="auto"/>
          <w:szCs w:val="21"/>
          <w:highlight w:val="none"/>
        </w:rPr>
        <w:t>：</w:t>
      </w:r>
      <w:r>
        <w:rPr>
          <w:rFonts w:hint="eastAsia" w:ascii="宋体" w:hAnsi="宋体" w:cs="宋体"/>
          <w:color w:val="auto"/>
          <w:szCs w:val="21"/>
          <w:highlight w:val="none"/>
          <w:u w:val="single"/>
        </w:rPr>
        <w:t xml:space="preserve">                             </w:t>
      </w:r>
    </w:p>
    <w:p w14:paraId="711C9552">
      <w:pPr>
        <w:adjustRightInd w:val="0"/>
        <w:snapToGrid w:val="0"/>
        <w:spacing w:line="400" w:lineRule="exact"/>
        <w:ind w:firstLine="420" w:firstLineChars="200"/>
        <w:rPr>
          <w:rFonts w:ascii="宋体" w:hAnsi="宋体" w:eastAsia="宋体" w:cs="宋体"/>
          <w:color w:val="auto"/>
          <w:szCs w:val="21"/>
          <w:highlight w:val="none"/>
        </w:rPr>
      </w:pPr>
      <w:r>
        <w:rPr>
          <w:rFonts w:hint="eastAsia" w:ascii="宋体" w:hAnsi="宋体" w:cs="宋体"/>
          <w:bCs/>
          <w:color w:val="auto"/>
          <w:szCs w:val="21"/>
          <w:highlight w:val="none"/>
        </w:rPr>
        <w:t>（3）履约担保：</w:t>
      </w:r>
      <w:r>
        <w:rPr>
          <w:rFonts w:hint="eastAsia" w:ascii="宋体" w:hAnsi="宋体" w:eastAsia="宋体" w:cs="宋体"/>
          <w:color w:val="auto"/>
          <w:highlight w:val="none"/>
        </w:rPr>
        <w:t>是否收取履约保证金：</w:t>
      </w:r>
      <w:r>
        <w:rPr>
          <w:rFonts w:hint="eastAsia" w:ascii="宋体" w:hAnsi="宋体" w:eastAsia="宋体" w:cs="宋体"/>
          <w:color w:val="auto"/>
          <w:szCs w:val="21"/>
          <w:highlight w:val="none"/>
        </w:rPr>
        <w:sym w:font="Wingdings" w:char="00FE"/>
      </w:r>
      <w:r>
        <w:rPr>
          <w:rFonts w:hint="eastAsia" w:ascii="宋体" w:hAnsi="宋体" w:eastAsia="宋体" w:cs="宋体"/>
          <w:color w:val="auto"/>
          <w:szCs w:val="21"/>
          <w:highlight w:val="none"/>
        </w:rPr>
        <w:t xml:space="preserve">是    </w:t>
      </w:r>
      <w:r>
        <w:rPr>
          <w:rFonts w:hint="eastAsia" w:ascii="宋体" w:hAnsi="宋体" w:eastAsia="宋体" w:cs="宋体"/>
          <w:color w:val="auto"/>
          <w:szCs w:val="21"/>
          <w:highlight w:val="none"/>
        </w:rPr>
        <w:sym w:font="Wingdings" w:char="00A8"/>
      </w:r>
      <w:r>
        <w:rPr>
          <w:rFonts w:hint="eastAsia" w:ascii="宋体" w:hAnsi="宋体" w:eastAsia="宋体" w:cs="宋体"/>
          <w:color w:val="auto"/>
          <w:szCs w:val="21"/>
          <w:highlight w:val="none"/>
        </w:rPr>
        <w:t>否</w:t>
      </w:r>
    </w:p>
    <w:p w14:paraId="628D9FDA">
      <w:pPr>
        <w:pStyle w:val="2"/>
        <w:rPr>
          <w:rFonts w:ascii="宋体" w:hAnsi="宋体" w:eastAsia="宋体" w:cs="宋体"/>
          <w:color w:val="auto"/>
          <w:sz w:val="21"/>
          <w:highlight w:val="none"/>
        </w:rPr>
      </w:pPr>
      <w:r>
        <w:rPr>
          <w:rFonts w:hint="eastAsia" w:ascii="宋体" w:hAnsi="宋体" w:cs="宋体"/>
          <w:bCs/>
          <w:color w:val="auto"/>
          <w:highlight w:val="none"/>
        </w:rPr>
        <w:t xml:space="preserve">  </w:t>
      </w:r>
      <w:r>
        <w:rPr>
          <w:rFonts w:hint="eastAsia" w:ascii="宋体" w:hAnsi="宋体" w:eastAsia="宋体" w:cs="宋体"/>
          <w:color w:val="auto"/>
          <w:sz w:val="21"/>
          <w:highlight w:val="none"/>
        </w:rPr>
        <w:t xml:space="preserve">  收取履约保证金形式：</w:t>
      </w:r>
      <w:r>
        <w:rPr>
          <w:rFonts w:hint="eastAsia" w:ascii="宋体" w:hAnsi="宋体" w:eastAsia="宋体" w:cs="宋体"/>
          <w:bCs/>
          <w:color w:val="auto"/>
          <w:sz w:val="21"/>
          <w:highlight w:val="none"/>
          <w:u w:val="single"/>
        </w:rPr>
        <w:t xml:space="preserve"> 符合国家规定的方式   </w:t>
      </w:r>
    </w:p>
    <w:p w14:paraId="099AB715">
      <w:pPr>
        <w:pStyle w:val="2"/>
        <w:ind w:firstLine="420"/>
        <w:rPr>
          <w:rFonts w:ascii="宋体" w:hAnsi="宋体" w:eastAsia="宋体" w:cs="宋体"/>
          <w:color w:val="auto"/>
          <w:sz w:val="21"/>
          <w:highlight w:val="none"/>
        </w:rPr>
      </w:pPr>
      <w:r>
        <w:rPr>
          <w:rFonts w:hint="eastAsia" w:ascii="宋体" w:hAnsi="宋体" w:eastAsia="宋体" w:cs="宋体"/>
          <w:color w:val="auto"/>
          <w:sz w:val="21"/>
          <w:highlight w:val="none"/>
        </w:rPr>
        <w:t xml:space="preserve">    收取履约保证金金额：</w:t>
      </w:r>
      <w:r>
        <w:rPr>
          <w:rFonts w:hint="eastAsia" w:ascii="宋体" w:hAnsi="宋体" w:eastAsia="宋体" w:cs="宋体"/>
          <w:bCs/>
          <w:color w:val="auto"/>
          <w:sz w:val="21"/>
          <w:highlight w:val="none"/>
          <w:u w:val="single"/>
        </w:rPr>
        <w:t xml:space="preserve">  中标（成交）金额的 5％         </w:t>
      </w:r>
    </w:p>
    <w:p w14:paraId="594C37E3">
      <w:pPr>
        <w:snapToGrid w:val="0"/>
        <w:spacing w:line="400" w:lineRule="exact"/>
        <w:ind w:firstLine="420" w:firstLineChars="200"/>
        <w:rPr>
          <w:rFonts w:ascii="宋体" w:hAnsi="宋体" w:eastAsia="宋体" w:cs="宋体"/>
          <w:color w:val="auto"/>
          <w:highlight w:val="none"/>
        </w:rPr>
      </w:pPr>
      <w:r>
        <w:rPr>
          <w:rFonts w:hint="eastAsia" w:ascii="宋体" w:hAnsi="宋体" w:cs="宋体"/>
          <w:bCs/>
          <w:color w:val="auto"/>
          <w:szCs w:val="21"/>
          <w:highlight w:val="none"/>
        </w:rPr>
        <w:t xml:space="preserve">    履约担保期限：</w:t>
      </w:r>
      <w:r>
        <w:rPr>
          <w:rFonts w:hint="eastAsia" w:ascii="宋体" w:hAnsi="宋体" w:eastAsia="宋体" w:cs="宋体"/>
          <w:bCs/>
          <w:color w:val="auto"/>
          <w:szCs w:val="21"/>
          <w:highlight w:val="none"/>
          <w:u w:val="single"/>
        </w:rPr>
        <w:t xml:space="preserve">  验收合格之后由</w:t>
      </w:r>
      <w:r>
        <w:rPr>
          <w:rFonts w:hint="eastAsia" w:ascii="宋体" w:hAnsi="宋体" w:eastAsia="宋体" w:cs="宋体"/>
          <w:bCs/>
          <w:color w:val="auto"/>
          <w:szCs w:val="21"/>
          <w:highlight w:val="none"/>
          <w:u w:val="single"/>
          <w:lang w:val="en-US" w:eastAsia="zh-CN"/>
        </w:rPr>
        <w:t>乙方</w:t>
      </w:r>
      <w:r>
        <w:rPr>
          <w:rFonts w:hint="eastAsia" w:ascii="宋体" w:hAnsi="宋体" w:eastAsia="宋体" w:cs="宋体"/>
          <w:bCs/>
          <w:color w:val="auto"/>
          <w:szCs w:val="21"/>
          <w:highlight w:val="none"/>
          <w:u w:val="single"/>
        </w:rPr>
        <w:t>向</w:t>
      </w:r>
      <w:r>
        <w:rPr>
          <w:rFonts w:hint="eastAsia" w:ascii="宋体" w:hAnsi="宋体" w:eastAsia="宋体" w:cs="宋体"/>
          <w:bCs/>
          <w:color w:val="auto"/>
          <w:szCs w:val="21"/>
          <w:highlight w:val="none"/>
          <w:u w:val="single"/>
          <w:lang w:val="en-US" w:eastAsia="zh-CN"/>
        </w:rPr>
        <w:t>甲方</w:t>
      </w:r>
      <w:r>
        <w:rPr>
          <w:rFonts w:hint="eastAsia" w:ascii="宋体" w:hAnsi="宋体" w:eastAsia="宋体" w:cs="宋体"/>
          <w:bCs/>
          <w:color w:val="auto"/>
          <w:szCs w:val="21"/>
          <w:highlight w:val="none"/>
          <w:u w:val="single"/>
        </w:rPr>
        <w:t>提交支付履约保证金的书面申请,</w:t>
      </w:r>
      <w:r>
        <w:rPr>
          <w:rFonts w:hint="eastAsia" w:ascii="宋体" w:hAnsi="宋体" w:eastAsia="宋体" w:cs="宋体"/>
          <w:bCs/>
          <w:color w:val="auto"/>
          <w:szCs w:val="21"/>
          <w:highlight w:val="none"/>
          <w:u w:val="single"/>
          <w:lang w:val="en-US" w:eastAsia="zh-CN"/>
        </w:rPr>
        <w:t>甲方</w:t>
      </w:r>
      <w:r>
        <w:rPr>
          <w:rFonts w:hint="eastAsia" w:ascii="宋体" w:hAnsi="宋体" w:eastAsia="宋体" w:cs="宋体"/>
          <w:bCs/>
          <w:color w:val="auto"/>
          <w:szCs w:val="21"/>
          <w:highlight w:val="none"/>
          <w:u w:val="single"/>
        </w:rPr>
        <w:t>在接到申请后10个工作日内向</w:t>
      </w:r>
      <w:r>
        <w:rPr>
          <w:rFonts w:hint="eastAsia" w:ascii="宋体" w:hAnsi="宋体" w:eastAsia="宋体" w:cs="宋体"/>
          <w:bCs/>
          <w:color w:val="auto"/>
          <w:szCs w:val="21"/>
          <w:highlight w:val="none"/>
          <w:u w:val="single"/>
          <w:lang w:val="en-US" w:eastAsia="zh-CN"/>
        </w:rPr>
        <w:t>乙方</w:t>
      </w:r>
      <w:r>
        <w:rPr>
          <w:rFonts w:hint="eastAsia" w:ascii="宋体" w:hAnsi="宋体" w:eastAsia="宋体" w:cs="宋体"/>
          <w:bCs/>
          <w:color w:val="auto"/>
          <w:szCs w:val="21"/>
          <w:highlight w:val="none"/>
          <w:u w:val="single"/>
        </w:rPr>
        <w:t>无息退回履约保证金。如</w:t>
      </w:r>
      <w:r>
        <w:rPr>
          <w:rFonts w:hint="eastAsia" w:ascii="宋体" w:hAnsi="宋体" w:eastAsia="宋体" w:cs="宋体"/>
          <w:bCs/>
          <w:color w:val="auto"/>
          <w:szCs w:val="21"/>
          <w:highlight w:val="none"/>
          <w:u w:val="single"/>
          <w:lang w:eastAsia="zh-CN"/>
        </w:rPr>
        <w:t>甲方</w:t>
      </w:r>
      <w:r>
        <w:rPr>
          <w:rFonts w:hint="eastAsia" w:ascii="宋体" w:hAnsi="宋体" w:eastAsia="宋体" w:cs="宋体"/>
          <w:bCs/>
          <w:color w:val="auto"/>
          <w:szCs w:val="21"/>
          <w:highlight w:val="none"/>
          <w:u w:val="single"/>
        </w:rPr>
        <w:t>逾期退还，由</w:t>
      </w:r>
      <w:r>
        <w:rPr>
          <w:rFonts w:hint="eastAsia" w:ascii="宋体" w:hAnsi="宋体" w:eastAsia="宋体" w:cs="宋体"/>
          <w:bCs/>
          <w:color w:val="auto"/>
          <w:szCs w:val="21"/>
          <w:highlight w:val="none"/>
          <w:u w:val="single"/>
          <w:lang w:val="en-US" w:eastAsia="zh-CN"/>
        </w:rPr>
        <w:t>甲方</w:t>
      </w:r>
      <w:r>
        <w:rPr>
          <w:rFonts w:hint="eastAsia" w:ascii="宋体" w:hAnsi="宋体" w:eastAsia="宋体" w:cs="宋体"/>
          <w:bCs/>
          <w:color w:val="auto"/>
          <w:szCs w:val="21"/>
          <w:highlight w:val="none"/>
          <w:u w:val="single"/>
        </w:rPr>
        <w:t>承担相应的违约责任。如在此期间，因</w:t>
      </w:r>
      <w:r>
        <w:rPr>
          <w:rFonts w:hint="eastAsia" w:ascii="宋体" w:hAnsi="宋体" w:eastAsia="宋体" w:cs="宋体"/>
          <w:bCs/>
          <w:color w:val="auto"/>
          <w:szCs w:val="21"/>
          <w:highlight w:val="none"/>
          <w:u w:val="single"/>
          <w:lang w:val="en-US" w:eastAsia="zh-CN"/>
        </w:rPr>
        <w:t>乙方</w:t>
      </w:r>
      <w:r>
        <w:rPr>
          <w:rFonts w:hint="eastAsia" w:ascii="宋体" w:hAnsi="宋体" w:eastAsia="宋体" w:cs="宋体"/>
          <w:bCs/>
          <w:color w:val="auto"/>
          <w:szCs w:val="21"/>
          <w:highlight w:val="none"/>
          <w:u w:val="single"/>
        </w:rPr>
        <w:t>帐户的原因（包括但不限于账号注销、被冻结等）导致其无法收取款项，由</w:t>
      </w:r>
      <w:r>
        <w:rPr>
          <w:rFonts w:hint="eastAsia" w:ascii="宋体" w:hAnsi="宋体" w:eastAsia="宋体" w:cs="宋体"/>
          <w:bCs/>
          <w:color w:val="auto"/>
          <w:szCs w:val="21"/>
          <w:highlight w:val="none"/>
          <w:u w:val="single"/>
          <w:lang w:val="en-US" w:eastAsia="zh-CN"/>
        </w:rPr>
        <w:t>乙方</w:t>
      </w:r>
      <w:r>
        <w:rPr>
          <w:rFonts w:hint="eastAsia" w:ascii="宋体" w:hAnsi="宋体" w:eastAsia="宋体" w:cs="宋体"/>
          <w:bCs/>
          <w:color w:val="auto"/>
          <w:szCs w:val="21"/>
          <w:highlight w:val="none"/>
          <w:u w:val="single"/>
        </w:rPr>
        <w:t xml:space="preserve">承担相应后果。    </w:t>
      </w:r>
    </w:p>
    <w:p w14:paraId="60077ED4">
      <w:pPr>
        <w:adjustRightInd w:val="0"/>
        <w:snapToGrid w:val="0"/>
        <w:spacing w:line="400" w:lineRule="exact"/>
        <w:ind w:firstLine="420" w:firstLineChars="200"/>
        <w:rPr>
          <w:rFonts w:ascii="宋体" w:hAnsi="宋体" w:cs="宋体"/>
          <w:bCs/>
          <w:color w:val="auto"/>
          <w:szCs w:val="21"/>
          <w:highlight w:val="none"/>
        </w:rPr>
      </w:pPr>
      <w:r>
        <w:rPr>
          <w:rFonts w:hint="eastAsia" w:ascii="宋体" w:hAnsi="宋体" w:cs="宋体"/>
          <w:bCs/>
          <w:color w:val="auto"/>
          <w:szCs w:val="21"/>
          <w:highlight w:val="none"/>
        </w:rPr>
        <w:t>（4）分期履行要求：</w:t>
      </w:r>
      <w:r>
        <w:rPr>
          <w:rFonts w:hint="eastAsia" w:ascii="宋体" w:hAnsi="宋体" w:cs="宋体"/>
          <w:bCs/>
          <w:color w:val="auto"/>
          <w:szCs w:val="21"/>
          <w:highlight w:val="none"/>
          <w:u w:val="single"/>
        </w:rPr>
        <w:t xml:space="preserve">                                                        </w:t>
      </w:r>
    </w:p>
    <w:p w14:paraId="24E0F97D">
      <w:pPr>
        <w:adjustRightInd w:val="0"/>
        <w:snapToGrid w:val="0"/>
        <w:spacing w:line="400" w:lineRule="exact"/>
        <w:ind w:firstLine="420" w:firstLineChars="200"/>
        <w:rPr>
          <w:rFonts w:ascii="宋体" w:hAnsi="宋体" w:cs="宋体"/>
          <w:color w:val="auto"/>
          <w:szCs w:val="21"/>
          <w:highlight w:val="none"/>
          <w:u w:val="single"/>
        </w:rPr>
      </w:pPr>
      <w:r>
        <w:rPr>
          <w:rFonts w:hint="eastAsia" w:ascii="宋体" w:hAnsi="宋体" w:cs="宋体"/>
          <w:bCs/>
          <w:color w:val="auto"/>
          <w:szCs w:val="21"/>
          <w:highlight w:val="none"/>
        </w:rPr>
        <w:t>（5）风险处置措施和替代方案：</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rPr>
        <w:t xml:space="preserve">                                                </w:t>
      </w:r>
    </w:p>
    <w:p w14:paraId="08FF68A3">
      <w:pPr>
        <w:numPr>
          <w:ilvl w:val="0"/>
          <w:numId w:val="1"/>
        </w:numPr>
        <w:adjustRightInd w:val="0"/>
        <w:snapToGrid w:val="0"/>
        <w:spacing w:line="400" w:lineRule="exact"/>
        <w:ind w:firstLine="422" w:firstLineChars="200"/>
        <w:rPr>
          <w:rFonts w:ascii="宋体" w:hAnsi="宋体"/>
          <w:b/>
          <w:color w:val="auto"/>
          <w:szCs w:val="21"/>
          <w:highlight w:val="none"/>
        </w:rPr>
      </w:pPr>
      <w:r>
        <w:rPr>
          <w:rFonts w:hint="eastAsia" w:ascii="宋体" w:hAnsi="宋体"/>
          <w:b/>
          <w:color w:val="auto"/>
          <w:szCs w:val="21"/>
          <w:highlight w:val="none"/>
        </w:rPr>
        <w:t>合同验收</w:t>
      </w:r>
    </w:p>
    <w:p w14:paraId="307000BC">
      <w:pPr>
        <w:numPr>
          <w:ilvl w:val="0"/>
          <w:numId w:val="3"/>
        </w:numPr>
        <w:adjustRightInd w:val="0"/>
        <w:snapToGrid w:val="0"/>
        <w:spacing w:line="400" w:lineRule="exact"/>
        <w:ind w:firstLine="420" w:firstLineChars="200"/>
        <w:rPr>
          <w:rFonts w:ascii="宋体" w:hAnsi="宋体"/>
          <w:bCs/>
          <w:color w:val="auto"/>
          <w:szCs w:val="21"/>
          <w:highlight w:val="none"/>
        </w:rPr>
      </w:pPr>
      <w:r>
        <w:rPr>
          <w:rFonts w:hint="eastAsia" w:ascii="宋体" w:hAnsi="宋体"/>
          <w:bCs/>
          <w:color w:val="auto"/>
          <w:szCs w:val="21"/>
          <w:highlight w:val="none"/>
        </w:rPr>
        <w:t>验收组织方式：</w:t>
      </w:r>
      <w:r>
        <w:rPr>
          <w:rFonts w:hint="eastAsia" w:ascii="宋体" w:hAnsi="宋体" w:eastAsia="宋体" w:cs="宋体"/>
          <w:color w:val="auto"/>
          <w:szCs w:val="21"/>
          <w:highlight w:val="none"/>
        </w:rPr>
        <w:sym w:font="Wingdings" w:char="00FE"/>
      </w:r>
      <w:r>
        <w:rPr>
          <w:rFonts w:hint="eastAsia" w:ascii="宋体" w:hAnsi="宋体"/>
          <w:bCs/>
          <w:color w:val="auto"/>
          <w:szCs w:val="21"/>
          <w:highlight w:val="none"/>
        </w:rPr>
        <w:t xml:space="preserve">自行组织 </w:t>
      </w:r>
      <w:r>
        <w:rPr>
          <w:rFonts w:hint="eastAsia" w:ascii="宋体" w:hAnsi="宋体" w:eastAsia="宋体" w:cs="宋体"/>
          <w:color w:val="auto"/>
          <w:szCs w:val="21"/>
          <w:highlight w:val="none"/>
        </w:rPr>
        <w:sym w:font="Wingdings" w:char="00A8"/>
      </w:r>
      <w:r>
        <w:rPr>
          <w:rFonts w:hint="eastAsia" w:ascii="宋体" w:hAnsi="宋体"/>
          <w:bCs/>
          <w:color w:val="auto"/>
          <w:szCs w:val="21"/>
          <w:highlight w:val="none"/>
        </w:rPr>
        <w:t>委托第三方组织</w:t>
      </w:r>
    </w:p>
    <w:p w14:paraId="06F80FF7">
      <w:pPr>
        <w:adjustRightInd w:val="0"/>
        <w:snapToGrid w:val="0"/>
        <w:spacing w:line="400" w:lineRule="exact"/>
        <w:rPr>
          <w:rFonts w:ascii="宋体" w:hAnsi="宋体"/>
          <w:bCs/>
          <w:color w:val="auto"/>
          <w:szCs w:val="21"/>
          <w:highlight w:val="none"/>
        </w:rPr>
      </w:pPr>
      <w:r>
        <w:rPr>
          <w:rFonts w:hint="eastAsia" w:ascii="宋体" w:hAnsi="宋体"/>
          <w:bCs/>
          <w:color w:val="auto"/>
          <w:szCs w:val="21"/>
          <w:highlight w:val="none"/>
        </w:rPr>
        <w:t xml:space="preserve">        验收主体：</w:t>
      </w:r>
      <w:r>
        <w:rPr>
          <w:rFonts w:hint="eastAsia" w:ascii="宋体" w:hAnsi="宋体"/>
          <w:bCs/>
          <w:color w:val="auto"/>
          <w:szCs w:val="21"/>
          <w:highlight w:val="none"/>
          <w:u w:val="single"/>
        </w:rPr>
        <w:t xml:space="preserve"> 甲方 </w:t>
      </w:r>
    </w:p>
    <w:p w14:paraId="4857AA85">
      <w:pPr>
        <w:adjustRightInd w:val="0"/>
        <w:snapToGrid w:val="0"/>
        <w:spacing w:line="400" w:lineRule="exact"/>
        <w:rPr>
          <w:rFonts w:ascii="宋体" w:hAnsi="宋体"/>
          <w:bCs/>
          <w:color w:val="auto"/>
          <w:szCs w:val="21"/>
          <w:highlight w:val="none"/>
        </w:rPr>
      </w:pPr>
      <w:r>
        <w:rPr>
          <w:rFonts w:hint="eastAsia" w:ascii="宋体" w:hAnsi="宋体"/>
          <w:bCs/>
          <w:color w:val="auto"/>
          <w:szCs w:val="21"/>
          <w:highlight w:val="none"/>
        </w:rPr>
        <w:t xml:space="preserve">        是否邀请本项目的其他供应商参加验收：</w:t>
      </w:r>
      <w:r>
        <w:rPr>
          <w:rFonts w:hint="eastAsia" w:ascii="宋体" w:hAnsi="宋体" w:eastAsia="宋体" w:cs="宋体"/>
          <w:color w:val="auto"/>
          <w:szCs w:val="21"/>
          <w:highlight w:val="none"/>
        </w:rPr>
        <w:sym w:font="Wingdings" w:char="00A8"/>
      </w:r>
      <w:r>
        <w:rPr>
          <w:rFonts w:hint="eastAsia" w:ascii="宋体" w:hAnsi="宋体"/>
          <w:bCs/>
          <w:color w:val="auto"/>
          <w:szCs w:val="21"/>
          <w:highlight w:val="none"/>
        </w:rPr>
        <w:t xml:space="preserve">是  </w:t>
      </w:r>
      <w:r>
        <w:rPr>
          <w:rFonts w:hint="eastAsia" w:ascii="宋体" w:hAnsi="宋体" w:eastAsia="宋体" w:cs="宋体"/>
          <w:color w:val="auto"/>
          <w:szCs w:val="21"/>
          <w:highlight w:val="none"/>
        </w:rPr>
        <w:sym w:font="Wingdings" w:char="00FE"/>
      </w:r>
      <w:r>
        <w:rPr>
          <w:rFonts w:hint="eastAsia" w:ascii="宋体" w:hAnsi="宋体"/>
          <w:bCs/>
          <w:color w:val="auto"/>
          <w:szCs w:val="21"/>
          <w:highlight w:val="none"/>
        </w:rPr>
        <w:t>否</w:t>
      </w:r>
    </w:p>
    <w:p w14:paraId="6176A982">
      <w:pPr>
        <w:adjustRightInd w:val="0"/>
        <w:snapToGrid w:val="0"/>
        <w:spacing w:line="400" w:lineRule="exact"/>
        <w:ind w:firstLine="840" w:firstLineChars="400"/>
        <w:rPr>
          <w:rFonts w:ascii="宋体" w:hAnsi="宋体"/>
          <w:bCs/>
          <w:color w:val="auto"/>
          <w:szCs w:val="21"/>
          <w:highlight w:val="none"/>
        </w:rPr>
      </w:pPr>
      <w:r>
        <w:rPr>
          <w:rFonts w:hint="eastAsia" w:ascii="宋体" w:hAnsi="宋体"/>
          <w:bCs/>
          <w:color w:val="auto"/>
          <w:szCs w:val="21"/>
          <w:highlight w:val="none"/>
        </w:rPr>
        <w:t>是否邀请专家参加验收：</w:t>
      </w:r>
      <w:r>
        <w:rPr>
          <w:rFonts w:hint="eastAsia" w:ascii="宋体" w:hAnsi="宋体" w:eastAsia="宋体" w:cs="宋体"/>
          <w:color w:val="auto"/>
          <w:szCs w:val="21"/>
          <w:highlight w:val="none"/>
        </w:rPr>
        <w:sym w:font="Wingdings" w:char="00A8"/>
      </w:r>
      <w:r>
        <w:rPr>
          <w:rFonts w:hint="eastAsia" w:ascii="宋体" w:hAnsi="宋体"/>
          <w:bCs/>
          <w:color w:val="auto"/>
          <w:szCs w:val="21"/>
          <w:highlight w:val="none"/>
        </w:rPr>
        <w:t xml:space="preserve">是  </w:t>
      </w:r>
      <w:r>
        <w:rPr>
          <w:rFonts w:hint="eastAsia" w:ascii="宋体" w:hAnsi="宋体" w:eastAsia="宋体" w:cs="宋体"/>
          <w:color w:val="auto"/>
          <w:szCs w:val="21"/>
          <w:highlight w:val="none"/>
        </w:rPr>
        <w:sym w:font="Wingdings" w:char="00FE"/>
      </w:r>
      <w:r>
        <w:rPr>
          <w:rFonts w:hint="eastAsia" w:ascii="宋体" w:hAnsi="宋体"/>
          <w:bCs/>
          <w:color w:val="auto"/>
          <w:szCs w:val="21"/>
          <w:highlight w:val="none"/>
        </w:rPr>
        <w:t>否</w:t>
      </w:r>
    </w:p>
    <w:p w14:paraId="6C99A9A5">
      <w:pPr>
        <w:adjustRightInd w:val="0"/>
        <w:snapToGrid w:val="0"/>
        <w:spacing w:line="400" w:lineRule="exact"/>
        <w:ind w:firstLine="840" w:firstLineChars="400"/>
        <w:rPr>
          <w:rFonts w:ascii="宋体" w:hAnsi="宋体"/>
          <w:bCs/>
          <w:color w:val="auto"/>
          <w:szCs w:val="21"/>
          <w:highlight w:val="none"/>
        </w:rPr>
      </w:pPr>
      <w:r>
        <w:rPr>
          <w:rFonts w:hint="eastAsia" w:ascii="宋体" w:hAnsi="宋体"/>
          <w:bCs/>
          <w:color w:val="auto"/>
          <w:szCs w:val="21"/>
          <w:highlight w:val="none"/>
        </w:rPr>
        <w:t>是否邀请服务对象参加验收：</w:t>
      </w:r>
      <w:r>
        <w:rPr>
          <w:rFonts w:hint="eastAsia" w:ascii="宋体" w:hAnsi="宋体" w:eastAsia="宋体" w:cs="宋体"/>
          <w:color w:val="auto"/>
          <w:szCs w:val="21"/>
          <w:highlight w:val="none"/>
        </w:rPr>
        <w:sym w:font="Wingdings" w:char="00A8"/>
      </w:r>
      <w:r>
        <w:rPr>
          <w:rFonts w:hint="eastAsia" w:ascii="宋体" w:hAnsi="宋体"/>
          <w:bCs/>
          <w:color w:val="auto"/>
          <w:szCs w:val="21"/>
          <w:highlight w:val="none"/>
        </w:rPr>
        <w:t xml:space="preserve">是  </w:t>
      </w:r>
      <w:r>
        <w:rPr>
          <w:rFonts w:hint="eastAsia" w:ascii="宋体" w:hAnsi="宋体" w:eastAsia="宋体" w:cs="宋体"/>
          <w:color w:val="auto"/>
          <w:szCs w:val="21"/>
          <w:highlight w:val="none"/>
        </w:rPr>
        <w:sym w:font="Wingdings" w:char="00FE"/>
      </w:r>
      <w:r>
        <w:rPr>
          <w:rFonts w:hint="eastAsia" w:ascii="宋体" w:hAnsi="宋体"/>
          <w:bCs/>
          <w:color w:val="auto"/>
          <w:szCs w:val="21"/>
          <w:highlight w:val="none"/>
        </w:rPr>
        <w:t>否</w:t>
      </w:r>
    </w:p>
    <w:p w14:paraId="4C8186CE">
      <w:pPr>
        <w:adjustRightInd w:val="0"/>
        <w:snapToGrid w:val="0"/>
        <w:spacing w:line="400" w:lineRule="exact"/>
        <w:ind w:firstLine="840" w:firstLineChars="400"/>
        <w:rPr>
          <w:rFonts w:ascii="宋体" w:hAnsi="宋体"/>
          <w:bCs/>
          <w:color w:val="auto"/>
          <w:szCs w:val="21"/>
          <w:highlight w:val="none"/>
        </w:rPr>
      </w:pPr>
      <w:r>
        <w:rPr>
          <w:rFonts w:hint="eastAsia" w:ascii="宋体" w:hAnsi="宋体"/>
          <w:bCs/>
          <w:color w:val="auto"/>
          <w:szCs w:val="21"/>
          <w:highlight w:val="none"/>
        </w:rPr>
        <w:t>是否邀请第三方检测机构参加验收：</w:t>
      </w:r>
      <w:r>
        <w:rPr>
          <w:rFonts w:hint="eastAsia" w:ascii="宋体" w:hAnsi="宋体" w:eastAsia="宋体" w:cs="宋体"/>
          <w:color w:val="auto"/>
          <w:szCs w:val="21"/>
          <w:highlight w:val="none"/>
        </w:rPr>
        <w:sym w:font="Wingdings" w:char="00A8"/>
      </w:r>
      <w:r>
        <w:rPr>
          <w:rFonts w:hint="eastAsia" w:ascii="宋体" w:hAnsi="宋体"/>
          <w:bCs/>
          <w:color w:val="auto"/>
          <w:szCs w:val="21"/>
          <w:highlight w:val="none"/>
        </w:rPr>
        <w:t xml:space="preserve">是  </w:t>
      </w:r>
      <w:r>
        <w:rPr>
          <w:rFonts w:hint="eastAsia" w:ascii="宋体" w:hAnsi="宋体" w:eastAsia="宋体" w:cs="宋体"/>
          <w:color w:val="auto"/>
          <w:szCs w:val="21"/>
          <w:highlight w:val="none"/>
        </w:rPr>
        <w:sym w:font="Wingdings" w:char="00FE"/>
      </w:r>
      <w:r>
        <w:rPr>
          <w:rFonts w:hint="eastAsia" w:ascii="宋体" w:hAnsi="宋体"/>
          <w:bCs/>
          <w:color w:val="auto"/>
          <w:szCs w:val="21"/>
          <w:highlight w:val="none"/>
        </w:rPr>
        <w:t>否</w:t>
      </w:r>
    </w:p>
    <w:p w14:paraId="11D80828">
      <w:pPr>
        <w:adjustRightInd w:val="0"/>
        <w:snapToGrid w:val="0"/>
        <w:spacing w:line="400" w:lineRule="exact"/>
        <w:ind w:firstLine="840" w:firstLineChars="400"/>
        <w:rPr>
          <w:rFonts w:ascii="宋体" w:hAnsi="宋体"/>
          <w:bCs/>
          <w:color w:val="auto"/>
          <w:szCs w:val="21"/>
          <w:highlight w:val="none"/>
        </w:rPr>
      </w:pPr>
      <w:r>
        <w:rPr>
          <w:rFonts w:hint="eastAsia" w:ascii="宋体" w:hAnsi="宋体"/>
          <w:bCs/>
          <w:color w:val="auto"/>
          <w:szCs w:val="21"/>
          <w:highlight w:val="none"/>
        </w:rPr>
        <w:t>是否进行抽查检测：</w:t>
      </w:r>
      <w:r>
        <w:rPr>
          <w:rFonts w:hint="eastAsia" w:ascii="宋体" w:hAnsi="宋体" w:eastAsia="宋体" w:cs="宋体"/>
          <w:color w:val="auto"/>
          <w:szCs w:val="21"/>
          <w:highlight w:val="none"/>
        </w:rPr>
        <w:sym w:font="Wingdings" w:char="00A8"/>
      </w:r>
      <w:r>
        <w:rPr>
          <w:rFonts w:hint="eastAsia" w:ascii="宋体" w:hAnsi="宋体"/>
          <w:bCs/>
          <w:color w:val="auto"/>
          <w:szCs w:val="21"/>
          <w:highlight w:val="none"/>
        </w:rPr>
        <w:t>是，抽查比例：</w:t>
      </w:r>
      <w:r>
        <w:rPr>
          <w:rFonts w:hint="eastAsia" w:ascii="宋体" w:hAnsi="宋体"/>
          <w:bCs/>
          <w:color w:val="auto"/>
          <w:szCs w:val="21"/>
          <w:highlight w:val="none"/>
          <w:u w:val="single"/>
        </w:rPr>
        <w:t xml:space="preserve">        </w:t>
      </w:r>
      <w:r>
        <w:rPr>
          <w:rFonts w:hint="eastAsia" w:ascii="宋体" w:hAnsi="宋体"/>
          <w:bCs/>
          <w:color w:val="auto"/>
          <w:szCs w:val="21"/>
          <w:highlight w:val="none"/>
        </w:rPr>
        <w:t xml:space="preserve"> </w:t>
      </w:r>
      <w:r>
        <w:rPr>
          <w:rFonts w:hint="eastAsia" w:ascii="宋体" w:hAnsi="宋体" w:eastAsia="宋体" w:cs="宋体"/>
          <w:color w:val="auto"/>
          <w:szCs w:val="21"/>
          <w:highlight w:val="none"/>
        </w:rPr>
        <w:sym w:font="Wingdings" w:char="00FE"/>
      </w:r>
      <w:r>
        <w:rPr>
          <w:rFonts w:hint="eastAsia" w:ascii="宋体" w:hAnsi="宋体"/>
          <w:bCs/>
          <w:color w:val="auto"/>
          <w:szCs w:val="21"/>
          <w:highlight w:val="none"/>
        </w:rPr>
        <w:t>否</w:t>
      </w:r>
    </w:p>
    <w:p w14:paraId="1AB5A261">
      <w:pPr>
        <w:adjustRightInd w:val="0"/>
        <w:snapToGrid w:val="0"/>
        <w:spacing w:line="400" w:lineRule="exact"/>
        <w:ind w:firstLine="840" w:firstLineChars="400"/>
        <w:rPr>
          <w:rFonts w:ascii="宋体" w:hAnsi="宋体" w:eastAsia="宋体"/>
          <w:bCs/>
          <w:color w:val="auto"/>
          <w:szCs w:val="21"/>
          <w:highlight w:val="none"/>
          <w:u w:val="single"/>
        </w:rPr>
      </w:pPr>
      <w:r>
        <w:rPr>
          <w:rFonts w:hint="eastAsia" w:ascii="宋体" w:hAnsi="宋体" w:eastAsia="宋体"/>
          <w:bCs/>
          <w:color w:val="auto"/>
          <w:szCs w:val="21"/>
          <w:highlight w:val="none"/>
        </w:rPr>
        <w:t>是否存在破坏性检测：</w:t>
      </w:r>
      <w:r>
        <w:rPr>
          <w:rFonts w:hint="eastAsia" w:ascii="宋体" w:hAnsi="宋体" w:eastAsia="宋体" w:cs="宋体"/>
          <w:color w:val="auto"/>
          <w:szCs w:val="21"/>
          <w:highlight w:val="none"/>
        </w:rPr>
        <w:sym w:font="Wingdings" w:char="00A8"/>
      </w:r>
      <w:r>
        <w:rPr>
          <w:rFonts w:hint="eastAsia" w:ascii="宋体" w:hAnsi="宋体" w:eastAsia="宋体"/>
          <w:bCs/>
          <w:color w:val="auto"/>
          <w:szCs w:val="21"/>
          <w:highlight w:val="none"/>
        </w:rPr>
        <w:t>是，</w:t>
      </w:r>
      <w:r>
        <w:rPr>
          <w:rFonts w:hint="eastAsia" w:ascii="宋体" w:hAnsi="宋体" w:eastAsia="宋体"/>
          <w:bCs/>
          <w:color w:val="auto"/>
          <w:szCs w:val="21"/>
          <w:highlight w:val="none"/>
          <w:u w:val="single"/>
        </w:rPr>
        <w:t>（应明确对被破坏的检测产品的处理方式）</w:t>
      </w:r>
    </w:p>
    <w:p w14:paraId="3C385BC2">
      <w:pPr>
        <w:adjustRightInd w:val="0"/>
        <w:snapToGrid w:val="0"/>
        <w:spacing w:line="400" w:lineRule="exact"/>
        <w:ind w:firstLine="840" w:firstLineChars="400"/>
        <w:rPr>
          <w:rFonts w:ascii="宋体" w:hAnsi="宋体" w:eastAsia="宋体"/>
          <w:bCs/>
          <w:color w:val="auto"/>
          <w:szCs w:val="21"/>
          <w:highlight w:val="none"/>
        </w:rPr>
      </w:pPr>
      <w:r>
        <w:rPr>
          <w:rFonts w:hint="eastAsia" w:ascii="宋体" w:hAnsi="宋体" w:eastAsia="宋体"/>
          <w:bCs/>
          <w:color w:val="auto"/>
          <w:szCs w:val="21"/>
          <w:highlight w:val="none"/>
        </w:rPr>
        <w:t xml:space="preserve">                    </w:t>
      </w:r>
      <w:r>
        <w:rPr>
          <w:rFonts w:hint="eastAsia" w:ascii="宋体" w:hAnsi="宋体" w:eastAsia="宋体" w:cs="宋体"/>
          <w:color w:val="auto"/>
          <w:szCs w:val="21"/>
          <w:highlight w:val="none"/>
        </w:rPr>
        <w:sym w:font="Wingdings" w:char="00FE"/>
      </w:r>
      <w:r>
        <w:rPr>
          <w:rFonts w:hint="eastAsia" w:ascii="宋体" w:hAnsi="宋体" w:eastAsia="宋体"/>
          <w:bCs/>
          <w:color w:val="auto"/>
          <w:szCs w:val="21"/>
          <w:highlight w:val="none"/>
        </w:rPr>
        <w:t>否</w:t>
      </w:r>
    </w:p>
    <w:p w14:paraId="2622272C">
      <w:pPr>
        <w:adjustRightInd w:val="0"/>
        <w:snapToGrid w:val="0"/>
        <w:spacing w:line="400" w:lineRule="exact"/>
        <w:ind w:firstLine="840" w:firstLineChars="400"/>
        <w:rPr>
          <w:rFonts w:ascii="宋体" w:hAnsi="宋体"/>
          <w:bCs/>
          <w:color w:val="auto"/>
          <w:szCs w:val="21"/>
          <w:highlight w:val="none"/>
          <w:u w:val="single"/>
        </w:rPr>
      </w:pPr>
      <w:r>
        <w:rPr>
          <w:rFonts w:hint="eastAsia" w:ascii="宋体" w:hAnsi="宋体"/>
          <w:bCs/>
          <w:color w:val="auto"/>
          <w:szCs w:val="21"/>
          <w:highlight w:val="none"/>
        </w:rPr>
        <w:t>验收组织的其他事项：</w:t>
      </w:r>
      <w:r>
        <w:rPr>
          <w:rFonts w:hint="eastAsia" w:ascii="宋体" w:hAnsi="宋体"/>
          <w:bCs/>
          <w:color w:val="auto"/>
          <w:szCs w:val="21"/>
          <w:highlight w:val="none"/>
          <w:u w:val="single"/>
        </w:rPr>
        <w:t xml:space="preserve"> 无               </w:t>
      </w:r>
    </w:p>
    <w:p w14:paraId="6D34E870">
      <w:pPr>
        <w:adjustRightInd w:val="0"/>
        <w:snapToGrid w:val="0"/>
        <w:spacing w:line="400" w:lineRule="exact"/>
        <w:ind w:firstLine="420" w:firstLineChars="200"/>
        <w:rPr>
          <w:rFonts w:ascii="宋体" w:hAnsi="宋体"/>
          <w:bCs/>
          <w:color w:val="auto"/>
          <w:szCs w:val="21"/>
          <w:highlight w:val="none"/>
          <w:u w:val="single"/>
        </w:rPr>
      </w:pPr>
      <w:r>
        <w:rPr>
          <w:rFonts w:hint="eastAsia" w:ascii="宋体" w:hAnsi="宋体"/>
          <w:bCs/>
          <w:color w:val="auto"/>
          <w:szCs w:val="21"/>
          <w:highlight w:val="none"/>
        </w:rPr>
        <w:t>（2）履约验收时间：图书交付后</w:t>
      </w:r>
      <w:r>
        <w:rPr>
          <w:rFonts w:hint="eastAsia" w:ascii="宋体" w:hAnsi="宋体"/>
          <w:bCs/>
          <w:color w:val="auto"/>
          <w:szCs w:val="21"/>
          <w:highlight w:val="none"/>
          <w:u w:val="single"/>
        </w:rPr>
        <w:t>（计划于何时验收/</w:t>
      </w:r>
      <w:r>
        <w:rPr>
          <w:rFonts w:hint="eastAsia" w:ascii="宋体" w:hAnsi="宋体"/>
          <w:bCs/>
          <w:color w:val="auto"/>
          <w:szCs w:val="21"/>
          <w:highlight w:val="none"/>
          <w:u w:val="single"/>
          <w:lang w:eastAsia="zh-CN"/>
        </w:rPr>
        <w:t>乙方</w:t>
      </w:r>
      <w:r>
        <w:rPr>
          <w:rFonts w:hint="eastAsia" w:ascii="宋体" w:hAnsi="宋体"/>
          <w:bCs/>
          <w:color w:val="auto"/>
          <w:szCs w:val="21"/>
          <w:highlight w:val="none"/>
          <w:u w:val="single"/>
        </w:rPr>
        <w:t xml:space="preserve">提出验收申请之日起7日内组织验收） </w:t>
      </w:r>
    </w:p>
    <w:p w14:paraId="111B7A75">
      <w:pPr>
        <w:adjustRightInd w:val="0"/>
        <w:snapToGrid w:val="0"/>
        <w:spacing w:line="400" w:lineRule="exact"/>
        <w:ind w:firstLine="420" w:firstLineChars="200"/>
        <w:rPr>
          <w:rFonts w:ascii="宋体" w:hAnsi="宋体"/>
          <w:bCs/>
          <w:color w:val="auto"/>
          <w:szCs w:val="21"/>
          <w:highlight w:val="none"/>
        </w:rPr>
      </w:pPr>
      <w:r>
        <w:rPr>
          <w:rFonts w:hint="eastAsia" w:ascii="宋体" w:hAnsi="宋体"/>
          <w:bCs/>
          <w:color w:val="auto"/>
          <w:szCs w:val="21"/>
          <w:highlight w:val="none"/>
        </w:rPr>
        <w:t>（3）履约验收方式：</w:t>
      </w:r>
      <w:r>
        <w:rPr>
          <w:rFonts w:hint="eastAsia" w:ascii="宋体" w:hAnsi="宋体" w:eastAsia="宋体" w:cs="宋体"/>
          <w:color w:val="auto"/>
          <w:szCs w:val="21"/>
          <w:highlight w:val="none"/>
        </w:rPr>
        <w:sym w:font="Wingdings" w:char="00A8"/>
      </w:r>
      <w:r>
        <w:rPr>
          <w:rFonts w:hint="eastAsia" w:ascii="宋体" w:hAnsi="宋体"/>
          <w:bCs/>
          <w:color w:val="auto"/>
          <w:szCs w:val="21"/>
          <w:highlight w:val="none"/>
        </w:rPr>
        <w:t xml:space="preserve">一次性验收         </w:t>
      </w:r>
    </w:p>
    <w:p w14:paraId="11EA4977">
      <w:pPr>
        <w:adjustRightInd w:val="0"/>
        <w:snapToGrid w:val="0"/>
        <w:spacing w:line="400" w:lineRule="exact"/>
        <w:rPr>
          <w:rFonts w:ascii="宋体" w:hAnsi="宋体" w:eastAsia="宋体"/>
          <w:bCs/>
          <w:color w:val="auto"/>
          <w:szCs w:val="21"/>
          <w:highlight w:val="none"/>
        </w:rPr>
      </w:pPr>
      <w:r>
        <w:rPr>
          <w:rFonts w:hint="eastAsia" w:ascii="宋体" w:hAnsi="宋体"/>
          <w:bCs/>
          <w:color w:val="auto"/>
          <w:szCs w:val="21"/>
          <w:highlight w:val="none"/>
        </w:rPr>
        <w:t xml:space="preserve">                       </w:t>
      </w:r>
      <w:r>
        <w:rPr>
          <w:rFonts w:hint="eastAsia" w:ascii="宋体" w:hAnsi="宋体" w:eastAsia="宋体" w:cs="宋体"/>
          <w:color w:val="auto"/>
          <w:szCs w:val="21"/>
          <w:highlight w:val="none"/>
        </w:rPr>
        <w:sym w:font="Wingdings" w:char="00FE"/>
      </w:r>
      <w:r>
        <w:rPr>
          <w:rFonts w:hint="eastAsia" w:ascii="宋体" w:hAnsi="宋体"/>
          <w:bCs/>
          <w:color w:val="auto"/>
          <w:szCs w:val="21"/>
          <w:highlight w:val="none"/>
        </w:rPr>
        <w:t>分期/分项验收：</w:t>
      </w:r>
      <w:r>
        <w:rPr>
          <w:rFonts w:hint="eastAsia" w:ascii="宋体" w:hAnsi="宋体"/>
          <w:bCs/>
          <w:color w:val="auto"/>
          <w:szCs w:val="21"/>
          <w:highlight w:val="none"/>
          <w:u w:val="single"/>
        </w:rPr>
        <w:t xml:space="preserve"> （应明确分期</w:t>
      </w:r>
      <w:r>
        <w:rPr>
          <w:rFonts w:ascii="宋体" w:hAnsi="宋体"/>
          <w:bCs/>
          <w:color w:val="auto"/>
          <w:szCs w:val="21"/>
          <w:highlight w:val="none"/>
          <w:u w:val="single"/>
          <w:lang w:val="en"/>
        </w:rPr>
        <w:t>/</w:t>
      </w:r>
      <w:r>
        <w:rPr>
          <w:rFonts w:hint="eastAsia" w:ascii="宋体" w:hAnsi="宋体"/>
          <w:bCs/>
          <w:color w:val="auto"/>
          <w:szCs w:val="21"/>
          <w:highlight w:val="none"/>
          <w:u w:val="single"/>
          <w:lang w:val="en"/>
        </w:rPr>
        <w:t>分项验收的工作安排</w:t>
      </w:r>
      <w:r>
        <w:rPr>
          <w:rFonts w:hint="eastAsia" w:ascii="宋体" w:hAnsi="宋体"/>
          <w:bCs/>
          <w:color w:val="auto"/>
          <w:szCs w:val="21"/>
          <w:highlight w:val="none"/>
          <w:u w:val="single"/>
        </w:rPr>
        <w:t xml:space="preserve">）  </w:t>
      </w:r>
    </w:p>
    <w:p w14:paraId="0996CE06">
      <w:pPr>
        <w:adjustRightInd w:val="0"/>
        <w:snapToGrid w:val="0"/>
        <w:spacing w:line="400" w:lineRule="exact"/>
        <w:ind w:firstLine="420" w:firstLineChars="200"/>
        <w:rPr>
          <w:rFonts w:ascii="宋体" w:hAnsi="宋体"/>
          <w:bCs/>
          <w:color w:val="auto"/>
          <w:szCs w:val="21"/>
          <w:highlight w:val="none"/>
        </w:rPr>
      </w:pPr>
      <w:r>
        <w:rPr>
          <w:rFonts w:hint="eastAsia" w:ascii="宋体" w:hAnsi="宋体"/>
          <w:bCs/>
          <w:color w:val="auto"/>
          <w:szCs w:val="21"/>
          <w:highlight w:val="none"/>
        </w:rPr>
        <w:t>（4）履约验收程序：</w:t>
      </w:r>
      <w:r>
        <w:rPr>
          <w:rFonts w:hint="eastAsia" w:ascii="宋体" w:hAnsi="宋体"/>
          <w:bCs/>
          <w:color w:val="auto"/>
          <w:szCs w:val="21"/>
          <w:highlight w:val="none"/>
          <w:u w:val="single"/>
        </w:rPr>
        <w:t xml:space="preserve">详见采购需求（验收内容包括每一项技术和商务要求的履约情况。） </w:t>
      </w:r>
    </w:p>
    <w:p w14:paraId="0F41DE86">
      <w:pPr>
        <w:adjustRightInd w:val="0"/>
        <w:snapToGrid w:val="0"/>
        <w:spacing w:line="400" w:lineRule="exact"/>
        <w:ind w:firstLine="420" w:firstLineChars="200"/>
        <w:rPr>
          <w:rFonts w:ascii="宋体" w:hAnsi="宋体"/>
          <w:bCs/>
          <w:color w:val="auto"/>
          <w:szCs w:val="21"/>
          <w:highlight w:val="none"/>
          <w:u w:val="single"/>
        </w:rPr>
      </w:pPr>
      <w:r>
        <w:rPr>
          <w:rFonts w:hint="eastAsia" w:ascii="宋体" w:hAnsi="宋体"/>
          <w:bCs/>
          <w:color w:val="auto"/>
          <w:szCs w:val="21"/>
          <w:highlight w:val="none"/>
        </w:rPr>
        <w:t>（5）履约验收的内容：国内正式出版纸质图书；图书外观完好无损，内容完整无缺，内页完好，印刷清晰。</w:t>
      </w:r>
      <w:r>
        <w:rPr>
          <w:rFonts w:hint="eastAsia" w:ascii="宋体" w:hAnsi="宋体"/>
          <w:bCs/>
          <w:color w:val="auto"/>
          <w:szCs w:val="21"/>
          <w:highlight w:val="none"/>
          <w:u w:val="single"/>
        </w:rPr>
        <w:t xml:space="preserve"> （包括每一项技术和商务要求的履约情况，特别是落实政府采购扶持中小企业，支持绿色发展和乡村振兴等政策情况）                   </w:t>
      </w:r>
    </w:p>
    <w:p w14:paraId="63DC3206">
      <w:pPr>
        <w:adjustRightInd w:val="0"/>
        <w:snapToGrid w:val="0"/>
        <w:spacing w:line="400" w:lineRule="exact"/>
        <w:ind w:firstLine="420" w:firstLineChars="200"/>
        <w:rPr>
          <w:rFonts w:ascii="宋体" w:hAnsi="宋体"/>
          <w:bCs/>
          <w:color w:val="auto"/>
          <w:szCs w:val="21"/>
          <w:highlight w:val="none"/>
          <w:u w:val="single"/>
        </w:rPr>
      </w:pPr>
      <w:r>
        <w:rPr>
          <w:rFonts w:hint="eastAsia" w:ascii="宋体" w:hAnsi="宋体"/>
          <w:bCs/>
          <w:color w:val="auto"/>
          <w:szCs w:val="21"/>
          <w:highlight w:val="none"/>
        </w:rPr>
        <w:t>（6）履约验收标准：</w:t>
      </w:r>
      <w:r>
        <w:rPr>
          <w:rFonts w:hint="eastAsia" w:ascii="宋体" w:hAnsi="宋体"/>
          <w:bCs/>
          <w:color w:val="auto"/>
          <w:szCs w:val="21"/>
          <w:highlight w:val="none"/>
          <w:u w:val="single"/>
        </w:rPr>
        <w:t xml:space="preserve"> 所有纸质图书通过验收，经</w:t>
      </w:r>
      <w:r>
        <w:rPr>
          <w:rFonts w:hint="eastAsia" w:ascii="宋体" w:hAnsi="宋体"/>
          <w:bCs/>
          <w:color w:val="auto"/>
          <w:szCs w:val="21"/>
          <w:highlight w:val="none"/>
          <w:u w:val="single"/>
          <w:lang w:eastAsia="zh-CN"/>
        </w:rPr>
        <w:t>甲方</w:t>
      </w:r>
      <w:r>
        <w:rPr>
          <w:rFonts w:hint="eastAsia" w:ascii="宋体" w:hAnsi="宋体"/>
          <w:bCs/>
          <w:color w:val="auto"/>
          <w:szCs w:val="21"/>
          <w:highlight w:val="none"/>
          <w:u w:val="single"/>
        </w:rPr>
        <w:t xml:space="preserve">确认并出具项目验收报告书，视为验收合格。 </w:t>
      </w:r>
    </w:p>
    <w:p w14:paraId="385ECF8D">
      <w:pPr>
        <w:pStyle w:val="2"/>
        <w:ind w:firstLine="420"/>
        <w:rPr>
          <w:rFonts w:ascii="宋体" w:hAnsi="宋体" w:eastAsia="宋体" w:cs="宋体"/>
          <w:color w:val="auto"/>
          <w:sz w:val="21"/>
          <w:highlight w:val="none"/>
        </w:rPr>
      </w:pPr>
      <w:r>
        <w:rPr>
          <w:rFonts w:hint="eastAsia" w:ascii="宋体" w:hAnsi="宋体" w:eastAsia="宋体" w:cs="宋体"/>
          <w:bCs/>
          <w:color w:val="auto"/>
          <w:sz w:val="21"/>
          <w:highlight w:val="none"/>
        </w:rPr>
        <w:t>（7）是否以采购活动中</w:t>
      </w:r>
      <w:r>
        <w:rPr>
          <w:rFonts w:hint="eastAsia" w:ascii="宋体" w:hAnsi="宋体" w:eastAsia="宋体" w:cs="宋体"/>
          <w:bCs/>
          <w:color w:val="auto"/>
          <w:sz w:val="21"/>
          <w:highlight w:val="none"/>
          <w:lang w:eastAsia="zh-CN"/>
        </w:rPr>
        <w:t>乙方</w:t>
      </w:r>
      <w:r>
        <w:rPr>
          <w:rFonts w:hint="eastAsia" w:ascii="宋体" w:hAnsi="宋体" w:eastAsia="宋体" w:cs="宋体"/>
          <w:bCs/>
          <w:color w:val="auto"/>
          <w:sz w:val="21"/>
          <w:highlight w:val="none"/>
        </w:rPr>
        <w:t>提供的样品作为参考：</w:t>
      </w:r>
      <w:r>
        <w:rPr>
          <w:rFonts w:hint="eastAsia" w:ascii="宋体" w:hAnsi="宋体" w:eastAsia="宋体" w:cs="宋体"/>
          <w:color w:val="auto"/>
          <w:sz w:val="21"/>
          <w:highlight w:val="none"/>
        </w:rPr>
        <w:sym w:font="Wingdings" w:char="00A8"/>
      </w:r>
      <w:r>
        <w:rPr>
          <w:rFonts w:hint="eastAsia" w:ascii="宋体" w:hAnsi="宋体" w:eastAsia="宋体" w:cs="宋体"/>
          <w:bCs/>
          <w:color w:val="auto"/>
          <w:sz w:val="21"/>
          <w:highlight w:val="none"/>
        </w:rPr>
        <w:t xml:space="preserve">是  </w:t>
      </w:r>
      <w:r>
        <w:rPr>
          <w:rFonts w:hint="eastAsia" w:ascii="宋体" w:hAnsi="宋体" w:eastAsia="宋体" w:cs="宋体"/>
          <w:color w:val="auto"/>
          <w:sz w:val="21"/>
          <w:highlight w:val="none"/>
        </w:rPr>
        <w:sym w:font="Wingdings" w:char="00FE"/>
      </w:r>
      <w:r>
        <w:rPr>
          <w:rFonts w:hint="eastAsia" w:ascii="宋体" w:hAnsi="宋体" w:eastAsia="宋体" w:cs="宋体"/>
          <w:bCs/>
          <w:color w:val="auto"/>
          <w:sz w:val="21"/>
          <w:highlight w:val="none"/>
        </w:rPr>
        <w:t>否</w:t>
      </w:r>
    </w:p>
    <w:p w14:paraId="4D1D657F">
      <w:pPr>
        <w:adjustRightInd w:val="0"/>
        <w:snapToGrid w:val="0"/>
        <w:spacing w:line="400" w:lineRule="exact"/>
        <w:ind w:firstLine="420" w:firstLineChars="200"/>
        <w:rPr>
          <w:rFonts w:ascii="宋体" w:hAnsi="宋体" w:cs="宋体"/>
          <w:bCs/>
          <w:color w:val="auto"/>
          <w:szCs w:val="21"/>
          <w:highlight w:val="none"/>
          <w:u w:val="single"/>
        </w:rPr>
      </w:pPr>
      <w:r>
        <w:rPr>
          <w:rFonts w:hint="eastAsia" w:ascii="宋体" w:hAnsi="宋体" w:cs="宋体"/>
          <w:bCs/>
          <w:color w:val="auto"/>
          <w:szCs w:val="21"/>
          <w:highlight w:val="none"/>
        </w:rPr>
        <w:t>（8）履约验收其他事项：</w:t>
      </w:r>
      <w:r>
        <w:rPr>
          <w:rFonts w:hint="eastAsia" w:ascii="宋体" w:hAnsi="宋体" w:cs="宋体"/>
          <w:bCs/>
          <w:color w:val="auto"/>
          <w:szCs w:val="21"/>
          <w:highlight w:val="none"/>
          <w:u w:val="single"/>
        </w:rPr>
        <w:t xml:space="preserve"> 无     （产权过户登记等）          </w:t>
      </w:r>
    </w:p>
    <w:p w14:paraId="72852D1D">
      <w:pPr>
        <w:numPr>
          <w:ilvl w:val="0"/>
          <w:numId w:val="1"/>
        </w:numPr>
        <w:adjustRightInd w:val="0"/>
        <w:snapToGrid w:val="0"/>
        <w:spacing w:line="400" w:lineRule="exact"/>
        <w:ind w:firstLine="422" w:firstLineChars="200"/>
        <w:rPr>
          <w:rFonts w:ascii="宋体" w:hAnsi="宋体"/>
          <w:b/>
          <w:color w:val="auto"/>
          <w:szCs w:val="21"/>
          <w:highlight w:val="none"/>
        </w:rPr>
      </w:pPr>
      <w:r>
        <w:rPr>
          <w:rFonts w:hint="eastAsia" w:ascii="宋体" w:hAnsi="宋体"/>
          <w:b/>
          <w:color w:val="auto"/>
          <w:szCs w:val="21"/>
          <w:highlight w:val="none"/>
        </w:rPr>
        <w:t>组成合同的文件</w:t>
      </w:r>
    </w:p>
    <w:p w14:paraId="4DEB4E2C">
      <w:pPr>
        <w:adjustRightInd w:val="0"/>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本协议书与下列文件一起构成合同文件，如下述文件之间有任何抵触、矛盾或歧义，应按以下顺序解释：</w:t>
      </w:r>
    </w:p>
    <w:p w14:paraId="312E5DA4">
      <w:pPr>
        <w:adjustRightInd w:val="0"/>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（1）政府采购合同协议书及其变更、补充协议</w:t>
      </w:r>
    </w:p>
    <w:p w14:paraId="54F084CC">
      <w:pPr>
        <w:adjustRightInd w:val="0"/>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（2）政府采购合同专用条款</w:t>
      </w:r>
    </w:p>
    <w:p w14:paraId="2CF88B7C">
      <w:pPr>
        <w:adjustRightInd w:val="0"/>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（3）政府采购合同通用条款</w:t>
      </w:r>
    </w:p>
    <w:p w14:paraId="3ECED500">
      <w:pPr>
        <w:adjustRightInd w:val="0"/>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（4）中标（成交）通知书</w:t>
      </w:r>
    </w:p>
    <w:p w14:paraId="4139D9CF">
      <w:pPr>
        <w:adjustRightInd w:val="0"/>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（5）投标（响应）文件</w:t>
      </w:r>
    </w:p>
    <w:p w14:paraId="407A9DF2">
      <w:pPr>
        <w:adjustRightInd w:val="0"/>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（6）采购文件</w:t>
      </w:r>
    </w:p>
    <w:p w14:paraId="32A65D1A">
      <w:pPr>
        <w:adjustRightInd w:val="0"/>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（7）有关技术文件，图纸</w:t>
      </w:r>
    </w:p>
    <w:p w14:paraId="4344A872">
      <w:pPr>
        <w:pStyle w:val="2"/>
        <w:ind w:firstLine="420"/>
        <w:rPr>
          <w:rFonts w:ascii="宋体" w:hAnsi="宋体" w:eastAsia="宋体" w:cs="宋体"/>
          <w:color w:val="auto"/>
          <w:kern w:val="2"/>
          <w:sz w:val="21"/>
          <w:highlight w:val="none"/>
        </w:rPr>
      </w:pPr>
      <w:r>
        <w:rPr>
          <w:rFonts w:hint="eastAsia" w:ascii="宋体" w:hAnsi="宋体" w:eastAsia="宋体" w:cs="宋体"/>
          <w:color w:val="auto"/>
          <w:sz w:val="21"/>
          <w:highlight w:val="none"/>
        </w:rPr>
        <w:t>（8）</w:t>
      </w:r>
      <w:r>
        <w:rPr>
          <w:rFonts w:hint="eastAsia" w:ascii="宋体" w:hAnsi="宋体" w:eastAsia="宋体" w:cs="宋体"/>
          <w:color w:val="auto"/>
          <w:kern w:val="2"/>
          <w:sz w:val="21"/>
          <w:highlight w:val="none"/>
        </w:rPr>
        <w:t>国家法律、行政法规和规章制度规定或合同约定的作为合同组成部分的其他文件</w:t>
      </w:r>
    </w:p>
    <w:p w14:paraId="5D9DAE30">
      <w:pPr>
        <w:numPr>
          <w:ilvl w:val="0"/>
          <w:numId w:val="1"/>
        </w:numPr>
        <w:adjustRightInd w:val="0"/>
        <w:snapToGrid w:val="0"/>
        <w:spacing w:line="400" w:lineRule="exact"/>
        <w:ind w:firstLine="422" w:firstLineChars="200"/>
        <w:rPr>
          <w:rFonts w:ascii="宋体" w:hAnsi="宋体"/>
          <w:b/>
          <w:color w:val="auto"/>
          <w:szCs w:val="21"/>
          <w:highlight w:val="none"/>
        </w:rPr>
      </w:pPr>
      <w:r>
        <w:rPr>
          <w:rFonts w:hint="eastAsia" w:ascii="宋体" w:hAnsi="宋体"/>
          <w:b/>
          <w:color w:val="auto"/>
          <w:szCs w:val="21"/>
          <w:highlight w:val="none"/>
        </w:rPr>
        <w:t>合同生效</w:t>
      </w:r>
    </w:p>
    <w:p w14:paraId="29876A3D">
      <w:pPr>
        <w:adjustRightInd w:val="0"/>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本合同自</w:t>
      </w:r>
      <w:r>
        <w:rPr>
          <w:rFonts w:hint="eastAsia" w:ascii="宋体" w:hAnsi="宋体"/>
          <w:color w:val="auto"/>
          <w:szCs w:val="21"/>
          <w:highlight w:val="none"/>
          <w:u w:val="single"/>
        </w:rPr>
        <w:t xml:space="preserve"> 双方签订之日起 </w:t>
      </w:r>
      <w:r>
        <w:rPr>
          <w:rFonts w:hint="eastAsia" w:ascii="宋体" w:hAnsi="宋体"/>
          <w:color w:val="auto"/>
          <w:szCs w:val="21"/>
          <w:highlight w:val="none"/>
        </w:rPr>
        <w:t>生效。</w:t>
      </w:r>
    </w:p>
    <w:p w14:paraId="48C83776">
      <w:pPr>
        <w:numPr>
          <w:ilvl w:val="0"/>
          <w:numId w:val="1"/>
        </w:numPr>
        <w:adjustRightInd w:val="0"/>
        <w:snapToGrid w:val="0"/>
        <w:spacing w:line="400" w:lineRule="exact"/>
        <w:ind w:firstLine="422" w:firstLineChars="200"/>
        <w:rPr>
          <w:rFonts w:ascii="宋体" w:hAnsi="宋体"/>
          <w:b/>
          <w:color w:val="auto"/>
          <w:szCs w:val="21"/>
          <w:highlight w:val="none"/>
        </w:rPr>
      </w:pPr>
      <w:r>
        <w:rPr>
          <w:rFonts w:hint="eastAsia" w:ascii="宋体" w:hAnsi="宋体"/>
          <w:b/>
          <w:color w:val="auto"/>
          <w:szCs w:val="21"/>
          <w:highlight w:val="none"/>
        </w:rPr>
        <w:t>合同份数</w:t>
      </w:r>
    </w:p>
    <w:p w14:paraId="189401D7">
      <w:pPr>
        <w:adjustRightInd w:val="0"/>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本合同一式</w:t>
      </w:r>
      <w:r>
        <w:rPr>
          <w:rFonts w:hint="eastAsia" w:ascii="宋体" w:hAnsi="宋体"/>
          <w:color w:val="auto"/>
          <w:szCs w:val="21"/>
          <w:highlight w:val="none"/>
          <w:u w:val="single"/>
        </w:rPr>
        <w:t xml:space="preserve">  五  </w:t>
      </w:r>
      <w:r>
        <w:rPr>
          <w:rFonts w:hint="eastAsia" w:ascii="宋体" w:hAnsi="宋体"/>
          <w:color w:val="auto"/>
          <w:szCs w:val="21"/>
          <w:highlight w:val="none"/>
        </w:rPr>
        <w:t>份，甲方执</w:t>
      </w:r>
      <w:r>
        <w:rPr>
          <w:rFonts w:hint="eastAsia" w:ascii="宋体" w:hAnsi="宋体"/>
          <w:color w:val="auto"/>
          <w:szCs w:val="21"/>
          <w:highlight w:val="none"/>
          <w:u w:val="single"/>
        </w:rPr>
        <w:t xml:space="preserve">  三  </w:t>
      </w:r>
      <w:r>
        <w:rPr>
          <w:rFonts w:hint="eastAsia" w:ascii="宋体" w:hAnsi="宋体"/>
          <w:color w:val="auto"/>
          <w:szCs w:val="21"/>
          <w:highlight w:val="none"/>
        </w:rPr>
        <w:t>份，乙方执</w:t>
      </w:r>
      <w:r>
        <w:rPr>
          <w:rFonts w:hint="eastAsia" w:ascii="宋体" w:hAnsi="宋体"/>
          <w:color w:val="auto"/>
          <w:szCs w:val="21"/>
          <w:highlight w:val="none"/>
          <w:u w:val="single"/>
        </w:rPr>
        <w:t xml:space="preserve">  二  </w:t>
      </w:r>
      <w:r>
        <w:rPr>
          <w:rFonts w:hint="eastAsia" w:ascii="宋体" w:hAnsi="宋体"/>
          <w:color w:val="auto"/>
          <w:szCs w:val="21"/>
          <w:highlight w:val="none"/>
        </w:rPr>
        <w:t>份，均具有同等法律效力。</w:t>
      </w:r>
    </w:p>
    <w:p w14:paraId="62590651">
      <w:pPr>
        <w:adjustRightInd w:val="0"/>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合同订立时间：</w:t>
      </w:r>
      <w:r>
        <w:rPr>
          <w:rFonts w:hint="eastAsia" w:ascii="宋体" w:hAnsi="宋体"/>
          <w:color w:val="auto"/>
          <w:szCs w:val="21"/>
          <w:highlight w:val="none"/>
          <w:u w:val="single"/>
        </w:rPr>
        <w:t xml:space="preserve">         </w:t>
      </w:r>
      <w:r>
        <w:rPr>
          <w:rFonts w:hint="eastAsia" w:ascii="宋体" w:hAnsi="宋体"/>
          <w:color w:val="auto"/>
          <w:szCs w:val="21"/>
          <w:highlight w:val="none"/>
        </w:rPr>
        <w:t>年</w:t>
      </w:r>
      <w:r>
        <w:rPr>
          <w:rFonts w:hint="eastAsia" w:ascii="宋体" w:hAnsi="宋体"/>
          <w:color w:val="auto"/>
          <w:szCs w:val="21"/>
          <w:highlight w:val="none"/>
          <w:u w:val="single"/>
        </w:rPr>
        <w:t xml:space="preserve">      </w:t>
      </w:r>
      <w:r>
        <w:rPr>
          <w:rFonts w:hint="eastAsia" w:ascii="宋体" w:hAnsi="宋体"/>
          <w:color w:val="auto"/>
          <w:szCs w:val="21"/>
          <w:highlight w:val="none"/>
        </w:rPr>
        <w:t>月</w:t>
      </w:r>
      <w:r>
        <w:rPr>
          <w:rFonts w:hint="eastAsia" w:ascii="宋体" w:hAnsi="宋体"/>
          <w:color w:val="auto"/>
          <w:szCs w:val="21"/>
          <w:highlight w:val="none"/>
          <w:u w:val="single"/>
        </w:rPr>
        <w:t xml:space="preserve">      </w:t>
      </w:r>
      <w:r>
        <w:rPr>
          <w:rFonts w:hint="eastAsia" w:ascii="宋体" w:hAnsi="宋体"/>
          <w:color w:val="auto"/>
          <w:szCs w:val="21"/>
          <w:highlight w:val="none"/>
        </w:rPr>
        <w:t>日</w:t>
      </w:r>
    </w:p>
    <w:p w14:paraId="73915144">
      <w:pPr>
        <w:adjustRightInd w:val="0"/>
        <w:snapToGrid w:val="0"/>
        <w:spacing w:line="400" w:lineRule="exact"/>
        <w:ind w:firstLine="420" w:firstLineChars="200"/>
        <w:rPr>
          <w:rFonts w:ascii="宋体" w:hAnsi="宋体"/>
          <w:color w:val="auto"/>
          <w:szCs w:val="21"/>
          <w:highlight w:val="none"/>
        </w:rPr>
      </w:pPr>
      <w:r>
        <w:rPr>
          <w:rFonts w:hint="eastAsia" w:ascii="宋体" w:hAnsi="宋体"/>
          <w:color w:val="auto"/>
          <w:szCs w:val="21"/>
          <w:highlight w:val="none"/>
        </w:rPr>
        <w:t>合同订立地点：</w:t>
      </w:r>
      <w:r>
        <w:rPr>
          <w:rFonts w:hint="eastAsia" w:ascii="宋体" w:hAnsi="宋体"/>
          <w:color w:val="auto"/>
          <w:szCs w:val="21"/>
          <w:highlight w:val="none"/>
          <w:u w:val="single"/>
        </w:rPr>
        <w:t xml:space="preserve">                           </w:t>
      </w:r>
    </w:p>
    <w:p w14:paraId="1FCAFAB4">
      <w:pPr>
        <w:adjustRightInd w:val="0"/>
        <w:snapToGrid w:val="0"/>
        <w:spacing w:line="400" w:lineRule="exact"/>
        <w:ind w:firstLine="420" w:firstLineChars="200"/>
        <w:rPr>
          <w:color w:val="auto"/>
          <w:highlight w:val="none"/>
        </w:rPr>
      </w:pPr>
      <w:r>
        <w:rPr>
          <w:rFonts w:hint="eastAsia" w:ascii="宋体" w:hAnsi="宋体"/>
          <w:color w:val="auto"/>
          <w:szCs w:val="21"/>
          <w:highlight w:val="none"/>
        </w:rPr>
        <w:t>附件：具体标的及其技术要求和商务要求、联合协议、分包意向协议等。</w:t>
      </w:r>
    </w:p>
    <w:p w14:paraId="4139657A">
      <w:pPr>
        <w:pStyle w:val="10"/>
        <w:spacing w:line="400" w:lineRule="exact"/>
        <w:rPr>
          <w:color w:val="auto"/>
          <w:highlight w:val="none"/>
        </w:rPr>
      </w:pPr>
    </w:p>
    <w:p w14:paraId="46979580">
      <w:pPr>
        <w:rPr>
          <w:color w:val="auto"/>
          <w:highlight w:val="none"/>
        </w:rPr>
      </w:pPr>
      <w:r>
        <w:rPr>
          <w:color w:val="auto"/>
          <w:highlight w:val="none"/>
          <w:lang w:val="en"/>
        </w:rPr>
        <w:t xml:space="preserve">   </w:t>
      </w:r>
    </w:p>
    <w:p w14:paraId="26FAA5AF">
      <w:pPr>
        <w:rPr>
          <w:color w:val="auto"/>
          <w:highlight w:val="none"/>
        </w:rPr>
      </w:pPr>
      <w:r>
        <w:rPr>
          <w:rFonts w:hint="eastAsia"/>
          <w:color w:val="auto"/>
          <w:highlight w:val="none"/>
        </w:rPr>
        <w:br w:type="page"/>
      </w:r>
    </w:p>
    <w:p w14:paraId="24CD9B25">
      <w:pPr>
        <w:pStyle w:val="10"/>
        <w:rPr>
          <w:color w:val="auto"/>
          <w:highlight w:val="none"/>
        </w:rPr>
      </w:pPr>
    </w:p>
    <w:tbl>
      <w:tblPr>
        <w:tblStyle w:val="8"/>
        <w:tblW w:w="4927" w:type="pct"/>
        <w:tblInd w:w="0" w:type="dxa"/>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1890"/>
        <w:gridCol w:w="2412"/>
        <w:gridCol w:w="1890"/>
        <w:gridCol w:w="2206"/>
      </w:tblGrid>
      <w:tr w14:paraId="19DDF61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trPr>
        <w:tc>
          <w:tcPr>
            <w:tcW w:w="2561" w:type="pct"/>
            <w:gridSpan w:val="2"/>
            <w:tcBorders>
              <w:bottom w:val="single" w:color="auto" w:sz="2" w:space="0"/>
              <w:right w:val="single" w:color="auto" w:sz="2" w:space="0"/>
            </w:tcBorders>
            <w:vAlign w:val="center"/>
          </w:tcPr>
          <w:p w14:paraId="13CB8D96">
            <w:pPr>
              <w:adjustRightInd w:val="0"/>
              <w:snapToGrid w:val="0"/>
              <w:spacing w:line="300" w:lineRule="exact"/>
              <w:jc w:val="center"/>
              <w:rPr>
                <w:color w:val="auto"/>
                <w:highlight w:val="none"/>
              </w:rPr>
            </w:pPr>
            <w:r>
              <w:rPr>
                <w:color w:val="auto"/>
                <w:szCs w:val="21"/>
                <w:highlight w:val="none"/>
              </w:rPr>
              <w:t>甲方</w:t>
            </w:r>
            <w:r>
              <w:rPr>
                <w:rFonts w:hint="eastAsia"/>
                <w:color w:val="auto"/>
                <w:szCs w:val="21"/>
                <w:highlight w:val="none"/>
              </w:rPr>
              <w:t>（采购人</w:t>
            </w:r>
            <w:r>
              <w:rPr>
                <w:rFonts w:hint="eastAsia" w:ascii="宋体" w:hAnsi="宋体"/>
                <w:color w:val="auto"/>
                <w:szCs w:val="21"/>
                <w:highlight w:val="none"/>
              </w:rPr>
              <w:t>、受采购人委托签订合同的单位或</w:t>
            </w:r>
            <w:r>
              <w:rPr>
                <w:rFonts w:hint="eastAsia"/>
                <w:color w:val="auto"/>
                <w:szCs w:val="21"/>
                <w:highlight w:val="none"/>
              </w:rPr>
              <w:t>采购文件约定的合同甲方）</w:t>
            </w:r>
          </w:p>
        </w:tc>
        <w:tc>
          <w:tcPr>
            <w:tcW w:w="2438" w:type="pct"/>
            <w:gridSpan w:val="2"/>
            <w:tcBorders>
              <w:left w:val="single" w:color="auto" w:sz="2" w:space="0"/>
              <w:bottom w:val="single" w:color="auto" w:sz="2" w:space="0"/>
            </w:tcBorders>
            <w:vAlign w:val="center"/>
          </w:tcPr>
          <w:p w14:paraId="243ACBFE">
            <w:pPr>
              <w:adjustRightInd w:val="0"/>
              <w:snapToGrid w:val="0"/>
              <w:spacing w:line="300" w:lineRule="exact"/>
              <w:jc w:val="center"/>
              <w:rPr>
                <w:color w:val="auto"/>
                <w:highlight w:val="none"/>
              </w:rPr>
            </w:pPr>
            <w:r>
              <w:rPr>
                <w:color w:val="auto"/>
                <w:szCs w:val="21"/>
                <w:highlight w:val="none"/>
              </w:rPr>
              <w:t>乙方</w:t>
            </w:r>
            <w:r>
              <w:rPr>
                <w:rFonts w:hint="eastAsia"/>
                <w:color w:val="auto"/>
                <w:szCs w:val="21"/>
                <w:highlight w:val="none"/>
              </w:rPr>
              <w:t>（供应商）</w:t>
            </w:r>
          </w:p>
        </w:tc>
      </w:tr>
      <w:tr w14:paraId="75EDAC5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trPr>
        <w:tc>
          <w:tcPr>
            <w:tcW w:w="1125" w:type="pct"/>
            <w:tcBorders>
              <w:top w:val="single" w:color="auto" w:sz="2" w:space="0"/>
              <w:bottom w:val="single" w:color="auto" w:sz="2" w:space="0"/>
              <w:right w:val="single" w:color="auto" w:sz="2" w:space="0"/>
            </w:tcBorders>
            <w:vAlign w:val="center"/>
          </w:tcPr>
          <w:p w14:paraId="56CAD1E7">
            <w:pPr>
              <w:adjustRightInd w:val="0"/>
              <w:snapToGrid w:val="0"/>
              <w:spacing w:line="300" w:lineRule="exact"/>
              <w:jc w:val="center"/>
              <w:rPr>
                <w:color w:val="auto"/>
                <w:szCs w:val="21"/>
                <w:highlight w:val="none"/>
              </w:rPr>
            </w:pPr>
            <w:r>
              <w:rPr>
                <w:color w:val="auto"/>
                <w:szCs w:val="21"/>
                <w:highlight w:val="none"/>
              </w:rPr>
              <w:t>单位名称</w:t>
            </w:r>
            <w:r>
              <w:rPr>
                <w:rFonts w:hint="eastAsia"/>
                <w:color w:val="auto"/>
                <w:szCs w:val="21"/>
                <w:highlight w:val="none"/>
              </w:rPr>
              <w:t>（公章或合同章）</w:t>
            </w:r>
          </w:p>
        </w:tc>
        <w:tc>
          <w:tcPr>
            <w:tcW w:w="1436" w:type="pct"/>
            <w:tcBorders>
              <w:top w:val="single" w:color="auto" w:sz="2" w:space="0"/>
              <w:left w:val="single" w:color="auto" w:sz="2" w:space="0"/>
              <w:bottom w:val="single" w:color="auto" w:sz="2" w:space="0"/>
              <w:right w:val="single" w:color="auto" w:sz="2" w:space="0"/>
            </w:tcBorders>
            <w:vAlign w:val="center"/>
          </w:tcPr>
          <w:p w14:paraId="3B628AF4">
            <w:pPr>
              <w:adjustRightInd w:val="0"/>
              <w:snapToGrid w:val="0"/>
              <w:spacing w:line="300" w:lineRule="exact"/>
              <w:jc w:val="center"/>
              <w:rPr>
                <w:rFonts w:eastAsia="宋体"/>
                <w:color w:val="auto"/>
                <w:szCs w:val="21"/>
                <w:highlight w:val="none"/>
              </w:rPr>
            </w:pPr>
            <w:r>
              <w:rPr>
                <w:rFonts w:hint="eastAsia"/>
                <w:color w:val="auto"/>
                <w:szCs w:val="21"/>
                <w:highlight w:val="none"/>
              </w:rPr>
              <w:t>广东石油化工学院</w:t>
            </w:r>
          </w:p>
        </w:tc>
        <w:tc>
          <w:tcPr>
            <w:tcW w:w="1125" w:type="pct"/>
            <w:tcBorders>
              <w:top w:val="single" w:color="auto" w:sz="2" w:space="0"/>
              <w:left w:val="single" w:color="auto" w:sz="2" w:space="0"/>
              <w:bottom w:val="single" w:color="auto" w:sz="2" w:space="0"/>
              <w:right w:val="single" w:color="auto" w:sz="2" w:space="0"/>
            </w:tcBorders>
            <w:vAlign w:val="center"/>
          </w:tcPr>
          <w:p w14:paraId="243A9A15">
            <w:pPr>
              <w:adjustRightInd w:val="0"/>
              <w:snapToGrid w:val="0"/>
              <w:spacing w:line="300" w:lineRule="exact"/>
              <w:jc w:val="center"/>
              <w:rPr>
                <w:color w:val="auto"/>
                <w:szCs w:val="21"/>
                <w:highlight w:val="none"/>
              </w:rPr>
            </w:pPr>
            <w:r>
              <w:rPr>
                <w:color w:val="auto"/>
                <w:szCs w:val="21"/>
                <w:highlight w:val="none"/>
              </w:rPr>
              <w:t>单位名称</w:t>
            </w:r>
            <w:r>
              <w:rPr>
                <w:rFonts w:hint="eastAsia"/>
                <w:color w:val="auto"/>
                <w:szCs w:val="21"/>
                <w:highlight w:val="none"/>
              </w:rPr>
              <w:t>（公章或合同章）</w:t>
            </w:r>
          </w:p>
        </w:tc>
        <w:tc>
          <w:tcPr>
            <w:tcW w:w="1312" w:type="pct"/>
            <w:tcBorders>
              <w:top w:val="single" w:color="auto" w:sz="2" w:space="0"/>
              <w:left w:val="single" w:color="auto" w:sz="2" w:space="0"/>
              <w:bottom w:val="single" w:color="auto" w:sz="2" w:space="0"/>
            </w:tcBorders>
            <w:vAlign w:val="center"/>
          </w:tcPr>
          <w:p w14:paraId="4C11AF82">
            <w:pPr>
              <w:adjustRightInd w:val="0"/>
              <w:snapToGrid w:val="0"/>
              <w:spacing w:line="300" w:lineRule="exact"/>
              <w:jc w:val="center"/>
              <w:rPr>
                <w:color w:val="auto"/>
                <w:spacing w:val="20"/>
                <w:szCs w:val="21"/>
                <w:highlight w:val="none"/>
              </w:rPr>
            </w:pPr>
          </w:p>
        </w:tc>
      </w:tr>
      <w:tr w14:paraId="101E2B31">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trPr>
        <w:tc>
          <w:tcPr>
            <w:tcW w:w="1125" w:type="pct"/>
            <w:vMerge w:val="restart"/>
            <w:tcBorders>
              <w:top w:val="single" w:color="auto" w:sz="2" w:space="0"/>
              <w:right w:val="single" w:color="auto" w:sz="2" w:space="0"/>
            </w:tcBorders>
            <w:vAlign w:val="center"/>
          </w:tcPr>
          <w:p w14:paraId="561DA348">
            <w:pPr>
              <w:adjustRightInd w:val="0"/>
              <w:snapToGrid w:val="0"/>
              <w:spacing w:line="300" w:lineRule="exact"/>
              <w:jc w:val="center"/>
              <w:rPr>
                <w:color w:val="auto"/>
                <w:szCs w:val="21"/>
                <w:highlight w:val="none"/>
              </w:rPr>
            </w:pPr>
            <w:r>
              <w:rPr>
                <w:color w:val="auto"/>
                <w:szCs w:val="21"/>
                <w:highlight w:val="none"/>
              </w:rPr>
              <w:t>法定代表人</w:t>
            </w:r>
          </w:p>
          <w:p w14:paraId="1604B4CC">
            <w:pPr>
              <w:adjustRightInd w:val="0"/>
              <w:snapToGrid w:val="0"/>
              <w:spacing w:line="300" w:lineRule="exact"/>
              <w:ind w:firstLine="100" w:firstLineChars="48"/>
              <w:jc w:val="center"/>
              <w:rPr>
                <w:color w:val="auto"/>
                <w:szCs w:val="21"/>
                <w:highlight w:val="none"/>
              </w:rPr>
            </w:pPr>
            <w:r>
              <w:rPr>
                <w:rFonts w:hint="eastAsia"/>
                <w:color w:val="auto"/>
                <w:szCs w:val="21"/>
                <w:highlight w:val="none"/>
              </w:rPr>
              <w:t>或其</w:t>
            </w:r>
            <w:r>
              <w:rPr>
                <w:color w:val="auto"/>
                <w:szCs w:val="21"/>
                <w:highlight w:val="none"/>
              </w:rPr>
              <w:t>委托代理人</w:t>
            </w:r>
            <w:r>
              <w:rPr>
                <w:rFonts w:hint="eastAsia"/>
                <w:color w:val="auto"/>
                <w:szCs w:val="21"/>
                <w:highlight w:val="none"/>
              </w:rPr>
              <w:t>（签章）</w:t>
            </w:r>
          </w:p>
        </w:tc>
        <w:tc>
          <w:tcPr>
            <w:tcW w:w="1436" w:type="pct"/>
            <w:vMerge w:val="restart"/>
            <w:tcBorders>
              <w:top w:val="single" w:color="auto" w:sz="2" w:space="0"/>
              <w:left w:val="single" w:color="auto" w:sz="2" w:space="0"/>
              <w:right w:val="single" w:color="auto" w:sz="2" w:space="0"/>
            </w:tcBorders>
            <w:vAlign w:val="center"/>
          </w:tcPr>
          <w:p w14:paraId="7ABD76B2">
            <w:pPr>
              <w:adjustRightInd w:val="0"/>
              <w:snapToGrid w:val="0"/>
              <w:spacing w:line="300" w:lineRule="exact"/>
              <w:jc w:val="center"/>
              <w:rPr>
                <w:color w:val="auto"/>
                <w:szCs w:val="21"/>
                <w:highlight w:val="none"/>
              </w:rPr>
            </w:pPr>
          </w:p>
        </w:tc>
        <w:tc>
          <w:tcPr>
            <w:tcW w:w="1125" w:type="pct"/>
            <w:tcBorders>
              <w:top w:val="single" w:color="auto" w:sz="2" w:space="0"/>
              <w:left w:val="single" w:color="auto" w:sz="2" w:space="0"/>
              <w:right w:val="single" w:color="auto" w:sz="2" w:space="0"/>
            </w:tcBorders>
            <w:vAlign w:val="center"/>
          </w:tcPr>
          <w:p w14:paraId="1BAB4BF4">
            <w:pPr>
              <w:adjustRightInd w:val="0"/>
              <w:snapToGrid w:val="0"/>
              <w:spacing w:line="300" w:lineRule="exact"/>
              <w:jc w:val="center"/>
              <w:rPr>
                <w:color w:val="auto"/>
                <w:szCs w:val="21"/>
                <w:highlight w:val="none"/>
              </w:rPr>
            </w:pPr>
            <w:r>
              <w:rPr>
                <w:color w:val="auto"/>
                <w:szCs w:val="21"/>
                <w:highlight w:val="none"/>
              </w:rPr>
              <w:t>法定代表人</w:t>
            </w:r>
          </w:p>
          <w:p w14:paraId="0BCE38E9">
            <w:pPr>
              <w:adjustRightInd w:val="0"/>
              <w:snapToGrid w:val="0"/>
              <w:spacing w:line="300" w:lineRule="exact"/>
              <w:jc w:val="center"/>
              <w:rPr>
                <w:color w:val="auto"/>
                <w:szCs w:val="21"/>
                <w:highlight w:val="none"/>
              </w:rPr>
            </w:pPr>
            <w:r>
              <w:rPr>
                <w:rFonts w:hint="eastAsia"/>
                <w:color w:val="auto"/>
                <w:szCs w:val="21"/>
                <w:highlight w:val="none"/>
              </w:rPr>
              <w:t>或其</w:t>
            </w:r>
            <w:r>
              <w:rPr>
                <w:color w:val="auto"/>
                <w:szCs w:val="21"/>
                <w:highlight w:val="none"/>
              </w:rPr>
              <w:t>委托代理人</w:t>
            </w:r>
            <w:r>
              <w:rPr>
                <w:rFonts w:hint="eastAsia"/>
                <w:color w:val="auto"/>
                <w:szCs w:val="21"/>
                <w:highlight w:val="none"/>
              </w:rPr>
              <w:t>（签章）</w:t>
            </w:r>
          </w:p>
        </w:tc>
        <w:tc>
          <w:tcPr>
            <w:tcW w:w="1312" w:type="pct"/>
            <w:tcBorders>
              <w:top w:val="single" w:color="auto" w:sz="2" w:space="0"/>
              <w:left w:val="single" w:color="auto" w:sz="2" w:space="0"/>
              <w:bottom w:val="single" w:color="auto" w:sz="2" w:space="0"/>
            </w:tcBorders>
            <w:vAlign w:val="center"/>
          </w:tcPr>
          <w:p w14:paraId="3332284D">
            <w:pPr>
              <w:adjustRightInd w:val="0"/>
              <w:snapToGrid w:val="0"/>
              <w:spacing w:line="300" w:lineRule="exact"/>
              <w:jc w:val="center"/>
              <w:rPr>
                <w:color w:val="auto"/>
                <w:szCs w:val="21"/>
                <w:highlight w:val="none"/>
              </w:rPr>
            </w:pPr>
          </w:p>
        </w:tc>
      </w:tr>
      <w:tr w14:paraId="4E86F696">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5" w:type="pct"/>
            <w:vMerge w:val="continue"/>
            <w:tcBorders>
              <w:bottom w:val="single" w:color="auto" w:sz="2" w:space="0"/>
              <w:right w:val="single" w:color="auto" w:sz="2" w:space="0"/>
            </w:tcBorders>
            <w:vAlign w:val="center"/>
          </w:tcPr>
          <w:p w14:paraId="77196ABB">
            <w:pPr>
              <w:adjustRightInd w:val="0"/>
              <w:snapToGrid w:val="0"/>
              <w:spacing w:line="300" w:lineRule="exact"/>
              <w:jc w:val="center"/>
              <w:rPr>
                <w:color w:val="auto"/>
                <w:szCs w:val="21"/>
                <w:highlight w:val="none"/>
              </w:rPr>
            </w:pPr>
          </w:p>
        </w:tc>
        <w:tc>
          <w:tcPr>
            <w:tcW w:w="1436" w:type="pct"/>
            <w:vMerge w:val="continue"/>
            <w:tcBorders>
              <w:left w:val="single" w:color="auto" w:sz="2" w:space="0"/>
              <w:bottom w:val="single" w:color="auto" w:sz="2" w:space="0"/>
              <w:right w:val="single" w:color="auto" w:sz="2" w:space="0"/>
            </w:tcBorders>
            <w:vAlign w:val="center"/>
          </w:tcPr>
          <w:p w14:paraId="11DE7E05">
            <w:pPr>
              <w:adjustRightInd w:val="0"/>
              <w:snapToGrid w:val="0"/>
              <w:spacing w:line="300" w:lineRule="exact"/>
              <w:jc w:val="center"/>
              <w:rPr>
                <w:color w:val="auto"/>
                <w:szCs w:val="21"/>
                <w:highlight w:val="none"/>
              </w:rPr>
            </w:pPr>
          </w:p>
        </w:tc>
        <w:tc>
          <w:tcPr>
            <w:tcW w:w="1125" w:type="pct"/>
            <w:tcBorders>
              <w:top w:val="single" w:color="auto" w:sz="2" w:space="0"/>
              <w:left w:val="single" w:color="auto" w:sz="2" w:space="0"/>
              <w:bottom w:val="single" w:color="auto" w:sz="2" w:space="0"/>
              <w:right w:val="single" w:color="auto" w:sz="2" w:space="0"/>
            </w:tcBorders>
            <w:vAlign w:val="center"/>
          </w:tcPr>
          <w:p w14:paraId="5F9F2F57">
            <w:pPr>
              <w:adjustRightInd w:val="0"/>
              <w:snapToGrid w:val="0"/>
              <w:spacing w:line="300" w:lineRule="exact"/>
              <w:jc w:val="center"/>
              <w:rPr>
                <w:rFonts w:eastAsia="宋体"/>
                <w:color w:val="auto"/>
                <w:szCs w:val="21"/>
                <w:highlight w:val="none"/>
              </w:rPr>
            </w:pPr>
            <w:r>
              <w:rPr>
                <w:rFonts w:hint="eastAsia"/>
                <w:color w:val="auto"/>
                <w:szCs w:val="21"/>
                <w:highlight w:val="none"/>
              </w:rPr>
              <w:t>拥有者性别</w:t>
            </w:r>
          </w:p>
        </w:tc>
        <w:tc>
          <w:tcPr>
            <w:tcW w:w="1312" w:type="pct"/>
            <w:tcBorders>
              <w:top w:val="single" w:color="auto" w:sz="2" w:space="0"/>
              <w:left w:val="single" w:color="auto" w:sz="2" w:space="0"/>
              <w:bottom w:val="single" w:color="auto" w:sz="2" w:space="0"/>
            </w:tcBorders>
            <w:vAlign w:val="center"/>
          </w:tcPr>
          <w:p w14:paraId="21A61515">
            <w:pPr>
              <w:adjustRightInd w:val="0"/>
              <w:snapToGrid w:val="0"/>
              <w:spacing w:line="300" w:lineRule="exact"/>
              <w:jc w:val="center"/>
              <w:rPr>
                <w:color w:val="auto"/>
                <w:spacing w:val="20"/>
                <w:szCs w:val="21"/>
                <w:highlight w:val="none"/>
              </w:rPr>
            </w:pPr>
          </w:p>
        </w:tc>
      </w:tr>
      <w:tr w14:paraId="4092BB8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5" w:type="pct"/>
            <w:tcBorders>
              <w:top w:val="single" w:color="auto" w:sz="2" w:space="0"/>
              <w:bottom w:val="single" w:color="auto" w:sz="2" w:space="0"/>
              <w:right w:val="single" w:color="auto" w:sz="2" w:space="0"/>
            </w:tcBorders>
            <w:vAlign w:val="center"/>
          </w:tcPr>
          <w:p w14:paraId="244744EF">
            <w:pPr>
              <w:adjustRightInd w:val="0"/>
              <w:snapToGrid w:val="0"/>
              <w:spacing w:line="300" w:lineRule="exact"/>
              <w:jc w:val="center"/>
              <w:rPr>
                <w:rFonts w:eastAsia="宋体"/>
                <w:color w:val="auto"/>
                <w:szCs w:val="21"/>
                <w:highlight w:val="none"/>
              </w:rPr>
            </w:pPr>
            <w:r>
              <w:rPr>
                <w:rFonts w:hint="eastAsia"/>
                <w:color w:val="auto"/>
                <w:szCs w:val="21"/>
                <w:highlight w:val="none"/>
              </w:rPr>
              <w:t>住  所</w:t>
            </w:r>
          </w:p>
        </w:tc>
        <w:tc>
          <w:tcPr>
            <w:tcW w:w="1436" w:type="pct"/>
            <w:tcBorders>
              <w:top w:val="single" w:color="auto" w:sz="2" w:space="0"/>
              <w:left w:val="single" w:color="auto" w:sz="2" w:space="0"/>
              <w:bottom w:val="single" w:color="auto" w:sz="2" w:space="0"/>
              <w:right w:val="single" w:color="auto" w:sz="2" w:space="0"/>
            </w:tcBorders>
            <w:vAlign w:val="center"/>
          </w:tcPr>
          <w:p w14:paraId="02D8F15B">
            <w:pPr>
              <w:adjustRightInd w:val="0"/>
              <w:snapToGrid w:val="0"/>
              <w:spacing w:line="300" w:lineRule="exact"/>
              <w:jc w:val="center"/>
              <w:rPr>
                <w:color w:val="auto"/>
                <w:szCs w:val="21"/>
                <w:highlight w:val="none"/>
              </w:rPr>
            </w:pPr>
            <w:r>
              <w:rPr>
                <w:rFonts w:hint="eastAsia"/>
                <w:color w:val="auto"/>
                <w:szCs w:val="21"/>
                <w:highlight w:val="none"/>
              </w:rPr>
              <w:t>广东省茂名市官渡二路139号</w:t>
            </w:r>
          </w:p>
        </w:tc>
        <w:tc>
          <w:tcPr>
            <w:tcW w:w="1125" w:type="pct"/>
            <w:tcBorders>
              <w:top w:val="single" w:color="auto" w:sz="2" w:space="0"/>
              <w:left w:val="single" w:color="auto" w:sz="2" w:space="0"/>
              <w:bottom w:val="single" w:color="auto" w:sz="2" w:space="0"/>
              <w:right w:val="single" w:color="auto" w:sz="2" w:space="0"/>
            </w:tcBorders>
            <w:vAlign w:val="center"/>
          </w:tcPr>
          <w:p w14:paraId="0EF66486">
            <w:pPr>
              <w:adjustRightInd w:val="0"/>
              <w:snapToGrid w:val="0"/>
              <w:spacing w:line="300" w:lineRule="exact"/>
              <w:jc w:val="center"/>
              <w:rPr>
                <w:rFonts w:eastAsia="宋体"/>
                <w:color w:val="auto"/>
                <w:szCs w:val="21"/>
                <w:highlight w:val="none"/>
              </w:rPr>
            </w:pPr>
            <w:r>
              <w:rPr>
                <w:rFonts w:hint="eastAsia"/>
                <w:color w:val="auto"/>
                <w:szCs w:val="21"/>
                <w:highlight w:val="none"/>
              </w:rPr>
              <w:t>住  所</w:t>
            </w:r>
          </w:p>
        </w:tc>
        <w:tc>
          <w:tcPr>
            <w:tcW w:w="1312" w:type="pct"/>
            <w:tcBorders>
              <w:top w:val="single" w:color="auto" w:sz="2" w:space="0"/>
              <w:left w:val="single" w:color="auto" w:sz="2" w:space="0"/>
              <w:bottom w:val="single" w:color="auto" w:sz="2" w:space="0"/>
            </w:tcBorders>
            <w:vAlign w:val="center"/>
          </w:tcPr>
          <w:p w14:paraId="712FB9AA">
            <w:pPr>
              <w:adjustRightInd w:val="0"/>
              <w:snapToGrid w:val="0"/>
              <w:spacing w:line="300" w:lineRule="exact"/>
              <w:jc w:val="center"/>
              <w:rPr>
                <w:color w:val="auto"/>
                <w:spacing w:val="20"/>
                <w:szCs w:val="21"/>
                <w:highlight w:val="none"/>
              </w:rPr>
            </w:pPr>
          </w:p>
        </w:tc>
      </w:tr>
      <w:tr w14:paraId="0FDFC95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5" w:type="pct"/>
            <w:tcBorders>
              <w:top w:val="single" w:color="auto" w:sz="2" w:space="0"/>
              <w:bottom w:val="single" w:color="auto" w:sz="2" w:space="0"/>
              <w:right w:val="single" w:color="auto" w:sz="2" w:space="0"/>
            </w:tcBorders>
            <w:vAlign w:val="center"/>
          </w:tcPr>
          <w:p w14:paraId="06DF59F0">
            <w:pPr>
              <w:adjustRightInd w:val="0"/>
              <w:snapToGrid w:val="0"/>
              <w:spacing w:line="300" w:lineRule="exact"/>
              <w:jc w:val="center"/>
              <w:rPr>
                <w:color w:val="auto"/>
                <w:szCs w:val="21"/>
                <w:highlight w:val="none"/>
              </w:rPr>
            </w:pPr>
            <w:r>
              <w:rPr>
                <w:color w:val="auto"/>
                <w:szCs w:val="21"/>
                <w:highlight w:val="none"/>
              </w:rPr>
              <w:t>联 系 人</w:t>
            </w:r>
          </w:p>
        </w:tc>
        <w:tc>
          <w:tcPr>
            <w:tcW w:w="1436" w:type="pct"/>
            <w:tcBorders>
              <w:top w:val="single" w:color="auto" w:sz="2" w:space="0"/>
              <w:left w:val="single" w:color="auto" w:sz="2" w:space="0"/>
              <w:bottom w:val="single" w:color="auto" w:sz="2" w:space="0"/>
              <w:right w:val="single" w:color="auto" w:sz="2" w:space="0"/>
            </w:tcBorders>
            <w:vAlign w:val="center"/>
          </w:tcPr>
          <w:p w14:paraId="2DED35CD">
            <w:pPr>
              <w:adjustRightInd w:val="0"/>
              <w:snapToGrid w:val="0"/>
              <w:spacing w:line="300" w:lineRule="exact"/>
              <w:jc w:val="center"/>
              <w:rPr>
                <w:color w:val="auto"/>
                <w:szCs w:val="21"/>
                <w:highlight w:val="none"/>
              </w:rPr>
            </w:pPr>
          </w:p>
        </w:tc>
        <w:tc>
          <w:tcPr>
            <w:tcW w:w="1125" w:type="pct"/>
            <w:tcBorders>
              <w:top w:val="single" w:color="auto" w:sz="2" w:space="0"/>
              <w:left w:val="single" w:color="auto" w:sz="2" w:space="0"/>
              <w:bottom w:val="single" w:color="auto" w:sz="2" w:space="0"/>
              <w:right w:val="single" w:color="auto" w:sz="2" w:space="0"/>
            </w:tcBorders>
            <w:vAlign w:val="center"/>
          </w:tcPr>
          <w:p w14:paraId="6ECBE568">
            <w:pPr>
              <w:adjustRightInd w:val="0"/>
              <w:snapToGrid w:val="0"/>
              <w:spacing w:line="300" w:lineRule="exact"/>
              <w:jc w:val="center"/>
              <w:rPr>
                <w:color w:val="auto"/>
                <w:szCs w:val="21"/>
                <w:highlight w:val="none"/>
              </w:rPr>
            </w:pPr>
            <w:r>
              <w:rPr>
                <w:color w:val="auto"/>
                <w:szCs w:val="21"/>
                <w:highlight w:val="none"/>
              </w:rPr>
              <w:t>联 系 人</w:t>
            </w:r>
          </w:p>
        </w:tc>
        <w:tc>
          <w:tcPr>
            <w:tcW w:w="1312" w:type="pct"/>
            <w:tcBorders>
              <w:top w:val="single" w:color="auto" w:sz="2" w:space="0"/>
              <w:left w:val="single" w:color="auto" w:sz="2" w:space="0"/>
              <w:bottom w:val="single" w:color="auto" w:sz="2" w:space="0"/>
            </w:tcBorders>
            <w:vAlign w:val="center"/>
          </w:tcPr>
          <w:p w14:paraId="068C3BF1">
            <w:pPr>
              <w:adjustRightInd w:val="0"/>
              <w:snapToGrid w:val="0"/>
              <w:spacing w:line="300" w:lineRule="exact"/>
              <w:jc w:val="center"/>
              <w:rPr>
                <w:color w:val="auto"/>
                <w:spacing w:val="20"/>
                <w:szCs w:val="21"/>
                <w:highlight w:val="none"/>
              </w:rPr>
            </w:pPr>
          </w:p>
        </w:tc>
      </w:tr>
      <w:tr w14:paraId="013B05C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5" w:type="pct"/>
            <w:tcBorders>
              <w:top w:val="single" w:color="auto" w:sz="2" w:space="0"/>
              <w:bottom w:val="single" w:color="auto" w:sz="2" w:space="0"/>
              <w:right w:val="single" w:color="auto" w:sz="2" w:space="0"/>
            </w:tcBorders>
            <w:vAlign w:val="center"/>
          </w:tcPr>
          <w:p w14:paraId="4367F52E">
            <w:pPr>
              <w:adjustRightInd w:val="0"/>
              <w:snapToGrid w:val="0"/>
              <w:spacing w:line="300" w:lineRule="exact"/>
              <w:jc w:val="center"/>
              <w:rPr>
                <w:color w:val="auto"/>
                <w:szCs w:val="21"/>
                <w:highlight w:val="none"/>
              </w:rPr>
            </w:pPr>
            <w:r>
              <w:rPr>
                <w:color w:val="auto"/>
                <w:szCs w:val="21"/>
                <w:highlight w:val="none"/>
              </w:rPr>
              <w:t>联系电话</w:t>
            </w:r>
          </w:p>
        </w:tc>
        <w:tc>
          <w:tcPr>
            <w:tcW w:w="1436" w:type="pct"/>
            <w:tcBorders>
              <w:top w:val="single" w:color="auto" w:sz="2" w:space="0"/>
              <w:left w:val="single" w:color="auto" w:sz="2" w:space="0"/>
              <w:bottom w:val="single" w:color="auto" w:sz="2" w:space="0"/>
              <w:right w:val="single" w:color="auto" w:sz="2" w:space="0"/>
            </w:tcBorders>
            <w:vAlign w:val="center"/>
          </w:tcPr>
          <w:p w14:paraId="331FB7FC">
            <w:pPr>
              <w:adjustRightInd w:val="0"/>
              <w:snapToGrid w:val="0"/>
              <w:spacing w:line="300" w:lineRule="exact"/>
              <w:jc w:val="center"/>
              <w:rPr>
                <w:color w:val="auto"/>
                <w:szCs w:val="21"/>
                <w:highlight w:val="none"/>
              </w:rPr>
            </w:pPr>
          </w:p>
        </w:tc>
        <w:tc>
          <w:tcPr>
            <w:tcW w:w="1125" w:type="pct"/>
            <w:tcBorders>
              <w:top w:val="single" w:color="auto" w:sz="2" w:space="0"/>
              <w:left w:val="single" w:color="auto" w:sz="2" w:space="0"/>
              <w:bottom w:val="single" w:color="auto" w:sz="2" w:space="0"/>
              <w:right w:val="single" w:color="auto" w:sz="2" w:space="0"/>
            </w:tcBorders>
            <w:vAlign w:val="center"/>
          </w:tcPr>
          <w:p w14:paraId="31161543">
            <w:pPr>
              <w:adjustRightInd w:val="0"/>
              <w:snapToGrid w:val="0"/>
              <w:spacing w:line="300" w:lineRule="exact"/>
              <w:jc w:val="center"/>
              <w:rPr>
                <w:color w:val="auto"/>
                <w:szCs w:val="21"/>
                <w:highlight w:val="none"/>
              </w:rPr>
            </w:pPr>
            <w:r>
              <w:rPr>
                <w:color w:val="auto"/>
                <w:szCs w:val="21"/>
                <w:highlight w:val="none"/>
              </w:rPr>
              <w:t>联系电话</w:t>
            </w:r>
          </w:p>
        </w:tc>
        <w:tc>
          <w:tcPr>
            <w:tcW w:w="1312" w:type="pct"/>
            <w:tcBorders>
              <w:top w:val="single" w:color="auto" w:sz="2" w:space="0"/>
              <w:left w:val="single" w:color="auto" w:sz="2" w:space="0"/>
              <w:bottom w:val="single" w:color="auto" w:sz="2" w:space="0"/>
            </w:tcBorders>
            <w:vAlign w:val="center"/>
          </w:tcPr>
          <w:p w14:paraId="43EF5C89">
            <w:pPr>
              <w:adjustRightInd w:val="0"/>
              <w:snapToGrid w:val="0"/>
              <w:spacing w:line="300" w:lineRule="exact"/>
              <w:jc w:val="center"/>
              <w:rPr>
                <w:color w:val="auto"/>
                <w:spacing w:val="20"/>
                <w:szCs w:val="21"/>
                <w:highlight w:val="none"/>
              </w:rPr>
            </w:pPr>
          </w:p>
        </w:tc>
      </w:tr>
      <w:tr w14:paraId="0D727356">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5" w:type="pct"/>
            <w:tcBorders>
              <w:top w:val="single" w:color="auto" w:sz="2" w:space="0"/>
              <w:bottom w:val="single" w:color="auto" w:sz="2" w:space="0"/>
              <w:right w:val="single" w:color="auto" w:sz="2" w:space="0"/>
            </w:tcBorders>
            <w:vAlign w:val="center"/>
          </w:tcPr>
          <w:p w14:paraId="530F10B7">
            <w:pPr>
              <w:adjustRightInd w:val="0"/>
              <w:snapToGrid w:val="0"/>
              <w:spacing w:line="300" w:lineRule="exact"/>
              <w:jc w:val="center"/>
              <w:rPr>
                <w:rFonts w:eastAsia="宋体"/>
                <w:color w:val="auto"/>
                <w:szCs w:val="21"/>
                <w:highlight w:val="none"/>
              </w:rPr>
            </w:pPr>
            <w:r>
              <w:rPr>
                <w:rFonts w:hint="eastAsia"/>
                <w:color w:val="auto"/>
                <w:szCs w:val="21"/>
                <w:highlight w:val="none"/>
              </w:rPr>
              <w:t>通信地址</w:t>
            </w:r>
          </w:p>
        </w:tc>
        <w:tc>
          <w:tcPr>
            <w:tcW w:w="1436" w:type="pct"/>
            <w:tcBorders>
              <w:top w:val="single" w:color="auto" w:sz="2" w:space="0"/>
              <w:left w:val="single" w:color="auto" w:sz="2" w:space="0"/>
              <w:bottom w:val="single" w:color="auto" w:sz="2" w:space="0"/>
              <w:right w:val="single" w:color="auto" w:sz="2" w:space="0"/>
            </w:tcBorders>
            <w:vAlign w:val="center"/>
          </w:tcPr>
          <w:p w14:paraId="5E4C4FE7">
            <w:pPr>
              <w:adjustRightInd w:val="0"/>
              <w:snapToGrid w:val="0"/>
              <w:spacing w:line="300" w:lineRule="exact"/>
              <w:jc w:val="center"/>
              <w:rPr>
                <w:color w:val="auto"/>
                <w:szCs w:val="21"/>
                <w:highlight w:val="none"/>
              </w:rPr>
            </w:pPr>
          </w:p>
        </w:tc>
        <w:tc>
          <w:tcPr>
            <w:tcW w:w="1125" w:type="pct"/>
            <w:tcBorders>
              <w:top w:val="single" w:color="auto" w:sz="2" w:space="0"/>
              <w:left w:val="single" w:color="auto" w:sz="2" w:space="0"/>
              <w:bottom w:val="single" w:color="auto" w:sz="2" w:space="0"/>
              <w:right w:val="single" w:color="auto" w:sz="2" w:space="0"/>
            </w:tcBorders>
            <w:vAlign w:val="center"/>
          </w:tcPr>
          <w:p w14:paraId="0608B3F5">
            <w:pPr>
              <w:adjustRightInd w:val="0"/>
              <w:snapToGrid w:val="0"/>
              <w:spacing w:line="300" w:lineRule="exact"/>
              <w:jc w:val="center"/>
              <w:rPr>
                <w:color w:val="auto"/>
                <w:szCs w:val="21"/>
                <w:highlight w:val="none"/>
              </w:rPr>
            </w:pPr>
            <w:r>
              <w:rPr>
                <w:rFonts w:hint="eastAsia"/>
                <w:color w:val="auto"/>
                <w:szCs w:val="21"/>
                <w:highlight w:val="none"/>
              </w:rPr>
              <w:t>通信地址</w:t>
            </w:r>
          </w:p>
        </w:tc>
        <w:tc>
          <w:tcPr>
            <w:tcW w:w="1312" w:type="pct"/>
            <w:tcBorders>
              <w:top w:val="single" w:color="auto" w:sz="2" w:space="0"/>
              <w:left w:val="single" w:color="auto" w:sz="2" w:space="0"/>
              <w:bottom w:val="single" w:color="auto" w:sz="2" w:space="0"/>
            </w:tcBorders>
            <w:vAlign w:val="center"/>
          </w:tcPr>
          <w:p w14:paraId="5F6A07D1">
            <w:pPr>
              <w:adjustRightInd w:val="0"/>
              <w:snapToGrid w:val="0"/>
              <w:spacing w:line="300" w:lineRule="exact"/>
              <w:jc w:val="center"/>
              <w:rPr>
                <w:color w:val="auto"/>
                <w:spacing w:val="20"/>
                <w:szCs w:val="21"/>
                <w:highlight w:val="none"/>
              </w:rPr>
            </w:pPr>
          </w:p>
        </w:tc>
      </w:tr>
      <w:tr w14:paraId="40659B0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5" w:type="pct"/>
            <w:tcBorders>
              <w:top w:val="single" w:color="auto" w:sz="2" w:space="0"/>
              <w:bottom w:val="single" w:color="auto" w:sz="2" w:space="0"/>
              <w:right w:val="single" w:color="auto" w:sz="2" w:space="0"/>
            </w:tcBorders>
            <w:vAlign w:val="center"/>
          </w:tcPr>
          <w:p w14:paraId="6F009A29">
            <w:pPr>
              <w:adjustRightInd w:val="0"/>
              <w:snapToGrid w:val="0"/>
              <w:spacing w:line="300" w:lineRule="exact"/>
              <w:jc w:val="center"/>
              <w:rPr>
                <w:color w:val="auto"/>
                <w:szCs w:val="21"/>
                <w:highlight w:val="none"/>
              </w:rPr>
            </w:pPr>
            <w:r>
              <w:rPr>
                <w:color w:val="auto"/>
                <w:szCs w:val="21"/>
                <w:highlight w:val="none"/>
              </w:rPr>
              <w:t>邮政编码</w:t>
            </w:r>
          </w:p>
        </w:tc>
        <w:tc>
          <w:tcPr>
            <w:tcW w:w="1436" w:type="pct"/>
            <w:tcBorders>
              <w:top w:val="single" w:color="auto" w:sz="2" w:space="0"/>
              <w:left w:val="single" w:color="auto" w:sz="2" w:space="0"/>
              <w:bottom w:val="single" w:color="auto" w:sz="2" w:space="0"/>
              <w:right w:val="single" w:color="auto" w:sz="2" w:space="0"/>
            </w:tcBorders>
            <w:vAlign w:val="center"/>
          </w:tcPr>
          <w:p w14:paraId="188A024F">
            <w:pPr>
              <w:adjustRightInd w:val="0"/>
              <w:snapToGrid w:val="0"/>
              <w:spacing w:line="300" w:lineRule="exact"/>
              <w:jc w:val="center"/>
              <w:rPr>
                <w:color w:val="auto"/>
                <w:szCs w:val="21"/>
                <w:highlight w:val="none"/>
              </w:rPr>
            </w:pPr>
          </w:p>
        </w:tc>
        <w:tc>
          <w:tcPr>
            <w:tcW w:w="1125" w:type="pct"/>
            <w:tcBorders>
              <w:top w:val="single" w:color="auto" w:sz="2" w:space="0"/>
              <w:left w:val="single" w:color="auto" w:sz="2" w:space="0"/>
              <w:bottom w:val="single" w:color="auto" w:sz="2" w:space="0"/>
              <w:right w:val="single" w:color="auto" w:sz="2" w:space="0"/>
            </w:tcBorders>
            <w:vAlign w:val="center"/>
          </w:tcPr>
          <w:p w14:paraId="103C19B7">
            <w:pPr>
              <w:adjustRightInd w:val="0"/>
              <w:snapToGrid w:val="0"/>
              <w:spacing w:line="300" w:lineRule="exact"/>
              <w:jc w:val="center"/>
              <w:rPr>
                <w:color w:val="auto"/>
                <w:szCs w:val="21"/>
                <w:highlight w:val="none"/>
              </w:rPr>
            </w:pPr>
            <w:r>
              <w:rPr>
                <w:color w:val="auto"/>
                <w:szCs w:val="21"/>
                <w:highlight w:val="none"/>
              </w:rPr>
              <w:t>邮政编码</w:t>
            </w:r>
          </w:p>
        </w:tc>
        <w:tc>
          <w:tcPr>
            <w:tcW w:w="1312" w:type="pct"/>
            <w:tcBorders>
              <w:top w:val="single" w:color="auto" w:sz="2" w:space="0"/>
              <w:left w:val="single" w:color="auto" w:sz="2" w:space="0"/>
              <w:bottom w:val="single" w:color="auto" w:sz="2" w:space="0"/>
            </w:tcBorders>
            <w:vAlign w:val="center"/>
          </w:tcPr>
          <w:p w14:paraId="7C28188A">
            <w:pPr>
              <w:adjustRightInd w:val="0"/>
              <w:snapToGrid w:val="0"/>
              <w:spacing w:line="300" w:lineRule="exact"/>
              <w:jc w:val="center"/>
              <w:rPr>
                <w:color w:val="auto"/>
                <w:spacing w:val="20"/>
                <w:szCs w:val="21"/>
                <w:highlight w:val="none"/>
              </w:rPr>
            </w:pPr>
          </w:p>
        </w:tc>
      </w:tr>
      <w:tr w14:paraId="5C1C9FF0">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5" w:type="pct"/>
            <w:tcBorders>
              <w:top w:val="single" w:color="auto" w:sz="2" w:space="0"/>
              <w:bottom w:val="single" w:color="auto" w:sz="2" w:space="0"/>
              <w:right w:val="single" w:color="auto" w:sz="2" w:space="0"/>
            </w:tcBorders>
            <w:vAlign w:val="center"/>
          </w:tcPr>
          <w:p w14:paraId="7B188222">
            <w:pPr>
              <w:adjustRightInd w:val="0"/>
              <w:snapToGrid w:val="0"/>
              <w:spacing w:line="300" w:lineRule="exact"/>
              <w:jc w:val="center"/>
              <w:rPr>
                <w:color w:val="auto"/>
                <w:szCs w:val="21"/>
                <w:highlight w:val="none"/>
              </w:rPr>
            </w:pPr>
            <w:r>
              <w:rPr>
                <w:rFonts w:hint="eastAsia"/>
                <w:color w:val="auto"/>
                <w:szCs w:val="21"/>
                <w:highlight w:val="none"/>
              </w:rPr>
              <w:t>电子邮箱</w:t>
            </w:r>
          </w:p>
        </w:tc>
        <w:tc>
          <w:tcPr>
            <w:tcW w:w="1436" w:type="pct"/>
            <w:tcBorders>
              <w:top w:val="single" w:color="auto" w:sz="2" w:space="0"/>
              <w:left w:val="single" w:color="auto" w:sz="2" w:space="0"/>
              <w:bottom w:val="single" w:color="auto" w:sz="2" w:space="0"/>
              <w:right w:val="single" w:color="auto" w:sz="2" w:space="0"/>
            </w:tcBorders>
            <w:vAlign w:val="center"/>
          </w:tcPr>
          <w:p w14:paraId="101A736B">
            <w:pPr>
              <w:adjustRightInd w:val="0"/>
              <w:snapToGrid w:val="0"/>
              <w:spacing w:line="300" w:lineRule="exact"/>
              <w:jc w:val="center"/>
              <w:rPr>
                <w:color w:val="auto"/>
                <w:szCs w:val="21"/>
                <w:highlight w:val="none"/>
              </w:rPr>
            </w:pPr>
          </w:p>
        </w:tc>
        <w:tc>
          <w:tcPr>
            <w:tcW w:w="1125" w:type="pct"/>
            <w:tcBorders>
              <w:top w:val="single" w:color="auto" w:sz="2" w:space="0"/>
              <w:left w:val="single" w:color="auto" w:sz="2" w:space="0"/>
              <w:bottom w:val="single" w:color="auto" w:sz="2" w:space="0"/>
              <w:right w:val="single" w:color="auto" w:sz="2" w:space="0"/>
            </w:tcBorders>
            <w:vAlign w:val="center"/>
          </w:tcPr>
          <w:p w14:paraId="75B03D87">
            <w:pPr>
              <w:adjustRightInd w:val="0"/>
              <w:snapToGrid w:val="0"/>
              <w:spacing w:line="300" w:lineRule="exact"/>
              <w:jc w:val="center"/>
              <w:rPr>
                <w:color w:val="auto"/>
                <w:szCs w:val="21"/>
                <w:highlight w:val="none"/>
              </w:rPr>
            </w:pPr>
            <w:r>
              <w:rPr>
                <w:rFonts w:hint="eastAsia"/>
                <w:color w:val="auto"/>
                <w:szCs w:val="21"/>
                <w:highlight w:val="none"/>
              </w:rPr>
              <w:t>电子邮箱</w:t>
            </w:r>
          </w:p>
        </w:tc>
        <w:tc>
          <w:tcPr>
            <w:tcW w:w="1312" w:type="pct"/>
            <w:tcBorders>
              <w:top w:val="single" w:color="auto" w:sz="2" w:space="0"/>
              <w:left w:val="single" w:color="auto" w:sz="2" w:space="0"/>
              <w:bottom w:val="single" w:color="auto" w:sz="2" w:space="0"/>
            </w:tcBorders>
            <w:vAlign w:val="center"/>
          </w:tcPr>
          <w:p w14:paraId="07A2C893">
            <w:pPr>
              <w:adjustRightInd w:val="0"/>
              <w:snapToGrid w:val="0"/>
              <w:spacing w:line="300" w:lineRule="exact"/>
              <w:jc w:val="center"/>
              <w:rPr>
                <w:color w:val="auto"/>
                <w:spacing w:val="20"/>
                <w:szCs w:val="21"/>
                <w:highlight w:val="none"/>
              </w:rPr>
            </w:pPr>
          </w:p>
        </w:tc>
      </w:tr>
      <w:tr w14:paraId="24ABF226">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5" w:type="pct"/>
            <w:tcBorders>
              <w:top w:val="single" w:color="auto" w:sz="2" w:space="0"/>
              <w:bottom w:val="single" w:color="auto" w:sz="2" w:space="0"/>
              <w:right w:val="single" w:color="auto" w:sz="2" w:space="0"/>
            </w:tcBorders>
            <w:vAlign w:val="center"/>
          </w:tcPr>
          <w:p w14:paraId="32E31B91">
            <w:pPr>
              <w:adjustRightInd w:val="0"/>
              <w:snapToGrid w:val="0"/>
              <w:spacing w:line="300" w:lineRule="exact"/>
              <w:jc w:val="center"/>
              <w:rPr>
                <w:color w:val="auto"/>
                <w:szCs w:val="21"/>
                <w:highlight w:val="none"/>
              </w:rPr>
            </w:pPr>
            <w:r>
              <w:rPr>
                <w:rFonts w:hint="eastAsia"/>
                <w:color w:val="auto"/>
                <w:szCs w:val="21"/>
                <w:highlight w:val="none"/>
              </w:rPr>
              <w:t>统一社会信用代码</w:t>
            </w:r>
          </w:p>
        </w:tc>
        <w:tc>
          <w:tcPr>
            <w:tcW w:w="1436" w:type="pct"/>
            <w:tcBorders>
              <w:top w:val="single" w:color="auto" w:sz="2" w:space="0"/>
              <w:left w:val="single" w:color="auto" w:sz="2" w:space="0"/>
              <w:bottom w:val="single" w:color="auto" w:sz="2" w:space="0"/>
              <w:right w:val="single" w:color="auto" w:sz="2" w:space="0"/>
            </w:tcBorders>
            <w:vAlign w:val="center"/>
          </w:tcPr>
          <w:p w14:paraId="32604F9F">
            <w:pPr>
              <w:adjustRightInd w:val="0"/>
              <w:snapToGrid w:val="0"/>
              <w:spacing w:line="300" w:lineRule="exact"/>
              <w:jc w:val="center"/>
              <w:rPr>
                <w:color w:val="auto"/>
                <w:szCs w:val="21"/>
                <w:highlight w:val="none"/>
              </w:rPr>
            </w:pPr>
          </w:p>
        </w:tc>
        <w:tc>
          <w:tcPr>
            <w:tcW w:w="1125" w:type="pct"/>
            <w:tcBorders>
              <w:top w:val="single" w:color="auto" w:sz="2" w:space="0"/>
              <w:left w:val="single" w:color="auto" w:sz="2" w:space="0"/>
              <w:bottom w:val="single" w:color="auto" w:sz="2" w:space="0"/>
              <w:right w:val="single" w:color="auto" w:sz="2" w:space="0"/>
            </w:tcBorders>
            <w:vAlign w:val="center"/>
          </w:tcPr>
          <w:p w14:paraId="08CB0B7B">
            <w:pPr>
              <w:adjustRightInd w:val="0"/>
              <w:snapToGrid w:val="0"/>
              <w:spacing w:line="300" w:lineRule="exact"/>
              <w:jc w:val="center"/>
              <w:rPr>
                <w:color w:val="auto"/>
                <w:szCs w:val="21"/>
                <w:highlight w:val="none"/>
              </w:rPr>
            </w:pPr>
            <w:r>
              <w:rPr>
                <w:rFonts w:hint="eastAsia"/>
                <w:color w:val="auto"/>
                <w:szCs w:val="21"/>
                <w:highlight w:val="none"/>
              </w:rPr>
              <w:t>统一社会信用代码</w:t>
            </w:r>
          </w:p>
        </w:tc>
        <w:tc>
          <w:tcPr>
            <w:tcW w:w="1312" w:type="pct"/>
            <w:tcBorders>
              <w:top w:val="single" w:color="auto" w:sz="2" w:space="0"/>
              <w:left w:val="single" w:color="auto" w:sz="2" w:space="0"/>
              <w:bottom w:val="single" w:color="auto" w:sz="2" w:space="0"/>
            </w:tcBorders>
            <w:vAlign w:val="center"/>
          </w:tcPr>
          <w:p w14:paraId="6982E392">
            <w:pPr>
              <w:adjustRightInd w:val="0"/>
              <w:snapToGrid w:val="0"/>
              <w:spacing w:line="300" w:lineRule="exact"/>
              <w:jc w:val="center"/>
              <w:rPr>
                <w:color w:val="auto"/>
                <w:spacing w:val="20"/>
                <w:szCs w:val="21"/>
                <w:highlight w:val="none"/>
              </w:rPr>
            </w:pPr>
          </w:p>
        </w:tc>
      </w:tr>
      <w:tr w14:paraId="1B5C83B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5" w:type="pct"/>
            <w:tcBorders>
              <w:top w:val="single" w:color="auto" w:sz="2" w:space="0"/>
              <w:bottom w:val="single" w:color="auto" w:sz="2" w:space="0"/>
              <w:right w:val="single" w:color="auto" w:sz="2" w:space="0"/>
            </w:tcBorders>
            <w:vAlign w:val="center"/>
          </w:tcPr>
          <w:p w14:paraId="70375A0D">
            <w:pPr>
              <w:adjustRightInd w:val="0"/>
              <w:snapToGrid w:val="0"/>
              <w:spacing w:line="300" w:lineRule="exact"/>
              <w:jc w:val="center"/>
              <w:rPr>
                <w:color w:val="auto"/>
                <w:szCs w:val="21"/>
                <w:highlight w:val="none"/>
              </w:rPr>
            </w:pPr>
          </w:p>
        </w:tc>
        <w:tc>
          <w:tcPr>
            <w:tcW w:w="1436" w:type="pct"/>
            <w:tcBorders>
              <w:top w:val="single" w:color="auto" w:sz="2" w:space="0"/>
              <w:left w:val="single" w:color="auto" w:sz="2" w:space="0"/>
              <w:bottom w:val="single" w:color="auto" w:sz="2" w:space="0"/>
              <w:right w:val="single" w:color="auto" w:sz="2" w:space="0"/>
            </w:tcBorders>
            <w:vAlign w:val="center"/>
          </w:tcPr>
          <w:p w14:paraId="0B184074">
            <w:pPr>
              <w:adjustRightInd w:val="0"/>
              <w:snapToGrid w:val="0"/>
              <w:spacing w:line="300" w:lineRule="exact"/>
              <w:jc w:val="center"/>
              <w:rPr>
                <w:color w:val="auto"/>
                <w:szCs w:val="21"/>
                <w:highlight w:val="none"/>
              </w:rPr>
            </w:pPr>
          </w:p>
        </w:tc>
        <w:tc>
          <w:tcPr>
            <w:tcW w:w="1125" w:type="pct"/>
            <w:tcBorders>
              <w:top w:val="single" w:color="auto" w:sz="2" w:space="0"/>
              <w:left w:val="single" w:color="auto" w:sz="2" w:space="0"/>
              <w:bottom w:val="single" w:color="auto" w:sz="2" w:space="0"/>
              <w:right w:val="single" w:color="auto" w:sz="2" w:space="0"/>
            </w:tcBorders>
            <w:vAlign w:val="center"/>
          </w:tcPr>
          <w:p w14:paraId="14485A44">
            <w:pPr>
              <w:adjustRightInd w:val="0"/>
              <w:snapToGrid w:val="0"/>
              <w:spacing w:line="300" w:lineRule="exact"/>
              <w:jc w:val="center"/>
              <w:rPr>
                <w:color w:val="auto"/>
                <w:szCs w:val="21"/>
                <w:highlight w:val="none"/>
              </w:rPr>
            </w:pPr>
            <w:r>
              <w:rPr>
                <w:color w:val="auto"/>
                <w:szCs w:val="21"/>
                <w:highlight w:val="none"/>
              </w:rPr>
              <w:t>开户名称</w:t>
            </w:r>
          </w:p>
        </w:tc>
        <w:tc>
          <w:tcPr>
            <w:tcW w:w="1312" w:type="pct"/>
            <w:tcBorders>
              <w:top w:val="single" w:color="auto" w:sz="2" w:space="0"/>
              <w:left w:val="single" w:color="auto" w:sz="2" w:space="0"/>
              <w:bottom w:val="single" w:color="auto" w:sz="2" w:space="0"/>
            </w:tcBorders>
            <w:vAlign w:val="center"/>
          </w:tcPr>
          <w:p w14:paraId="4B292CD4">
            <w:pPr>
              <w:adjustRightInd w:val="0"/>
              <w:snapToGrid w:val="0"/>
              <w:spacing w:line="300" w:lineRule="exact"/>
              <w:jc w:val="center"/>
              <w:rPr>
                <w:color w:val="auto"/>
                <w:spacing w:val="20"/>
                <w:szCs w:val="21"/>
                <w:highlight w:val="none"/>
              </w:rPr>
            </w:pPr>
          </w:p>
        </w:tc>
      </w:tr>
      <w:tr w14:paraId="1D15D72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5" w:type="pct"/>
            <w:tcBorders>
              <w:top w:val="single" w:color="auto" w:sz="2" w:space="0"/>
              <w:bottom w:val="single" w:color="auto" w:sz="2" w:space="0"/>
              <w:right w:val="single" w:color="auto" w:sz="2" w:space="0"/>
            </w:tcBorders>
            <w:vAlign w:val="center"/>
          </w:tcPr>
          <w:p w14:paraId="00C02727">
            <w:pPr>
              <w:adjustRightInd w:val="0"/>
              <w:snapToGrid w:val="0"/>
              <w:spacing w:line="300" w:lineRule="exact"/>
              <w:jc w:val="center"/>
              <w:rPr>
                <w:color w:val="auto"/>
                <w:szCs w:val="21"/>
                <w:highlight w:val="none"/>
              </w:rPr>
            </w:pPr>
          </w:p>
        </w:tc>
        <w:tc>
          <w:tcPr>
            <w:tcW w:w="1436" w:type="pct"/>
            <w:tcBorders>
              <w:top w:val="single" w:color="auto" w:sz="2" w:space="0"/>
              <w:left w:val="single" w:color="auto" w:sz="2" w:space="0"/>
              <w:bottom w:val="single" w:color="auto" w:sz="2" w:space="0"/>
              <w:right w:val="single" w:color="auto" w:sz="2" w:space="0"/>
            </w:tcBorders>
            <w:vAlign w:val="center"/>
          </w:tcPr>
          <w:p w14:paraId="5E6FA293">
            <w:pPr>
              <w:adjustRightInd w:val="0"/>
              <w:snapToGrid w:val="0"/>
              <w:spacing w:line="300" w:lineRule="exact"/>
              <w:jc w:val="center"/>
              <w:rPr>
                <w:color w:val="auto"/>
                <w:szCs w:val="21"/>
                <w:highlight w:val="none"/>
              </w:rPr>
            </w:pPr>
          </w:p>
        </w:tc>
        <w:tc>
          <w:tcPr>
            <w:tcW w:w="1125" w:type="pct"/>
            <w:tcBorders>
              <w:top w:val="single" w:color="auto" w:sz="2" w:space="0"/>
              <w:left w:val="single" w:color="auto" w:sz="2" w:space="0"/>
              <w:bottom w:val="single" w:color="auto" w:sz="2" w:space="0"/>
              <w:right w:val="single" w:color="auto" w:sz="2" w:space="0"/>
            </w:tcBorders>
            <w:vAlign w:val="center"/>
          </w:tcPr>
          <w:p w14:paraId="5F099D3F">
            <w:pPr>
              <w:adjustRightInd w:val="0"/>
              <w:snapToGrid w:val="0"/>
              <w:spacing w:line="300" w:lineRule="exact"/>
              <w:jc w:val="center"/>
              <w:rPr>
                <w:color w:val="auto"/>
                <w:szCs w:val="21"/>
                <w:highlight w:val="none"/>
              </w:rPr>
            </w:pPr>
            <w:r>
              <w:rPr>
                <w:color w:val="auto"/>
                <w:szCs w:val="21"/>
                <w:highlight w:val="none"/>
              </w:rPr>
              <w:t>开户银行</w:t>
            </w:r>
          </w:p>
        </w:tc>
        <w:tc>
          <w:tcPr>
            <w:tcW w:w="1312" w:type="pct"/>
            <w:tcBorders>
              <w:top w:val="single" w:color="auto" w:sz="2" w:space="0"/>
              <w:left w:val="single" w:color="auto" w:sz="2" w:space="0"/>
              <w:bottom w:val="single" w:color="auto" w:sz="2" w:space="0"/>
            </w:tcBorders>
            <w:vAlign w:val="center"/>
          </w:tcPr>
          <w:p w14:paraId="18DC538B">
            <w:pPr>
              <w:adjustRightInd w:val="0"/>
              <w:snapToGrid w:val="0"/>
              <w:spacing w:line="300" w:lineRule="exact"/>
              <w:jc w:val="center"/>
              <w:rPr>
                <w:color w:val="auto"/>
                <w:spacing w:val="20"/>
                <w:szCs w:val="21"/>
                <w:highlight w:val="none"/>
              </w:rPr>
            </w:pPr>
          </w:p>
        </w:tc>
      </w:tr>
      <w:tr w14:paraId="32BAAED7">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5" w:type="pct"/>
            <w:tcBorders>
              <w:top w:val="single" w:color="auto" w:sz="2" w:space="0"/>
              <w:bottom w:val="single" w:color="auto" w:sz="2" w:space="0"/>
              <w:right w:val="single" w:color="auto" w:sz="2" w:space="0"/>
            </w:tcBorders>
            <w:vAlign w:val="center"/>
          </w:tcPr>
          <w:p w14:paraId="32C10D4B">
            <w:pPr>
              <w:adjustRightInd w:val="0"/>
              <w:snapToGrid w:val="0"/>
              <w:spacing w:line="300" w:lineRule="exact"/>
              <w:jc w:val="center"/>
              <w:rPr>
                <w:color w:val="auto"/>
                <w:szCs w:val="21"/>
                <w:highlight w:val="none"/>
              </w:rPr>
            </w:pPr>
          </w:p>
        </w:tc>
        <w:tc>
          <w:tcPr>
            <w:tcW w:w="1436" w:type="pct"/>
            <w:tcBorders>
              <w:top w:val="single" w:color="auto" w:sz="2" w:space="0"/>
              <w:left w:val="single" w:color="auto" w:sz="2" w:space="0"/>
              <w:bottom w:val="single" w:color="auto" w:sz="2" w:space="0"/>
              <w:right w:val="single" w:color="auto" w:sz="2" w:space="0"/>
            </w:tcBorders>
            <w:vAlign w:val="center"/>
          </w:tcPr>
          <w:p w14:paraId="24904147">
            <w:pPr>
              <w:adjustRightInd w:val="0"/>
              <w:snapToGrid w:val="0"/>
              <w:spacing w:line="300" w:lineRule="exact"/>
              <w:jc w:val="center"/>
              <w:rPr>
                <w:color w:val="auto"/>
                <w:szCs w:val="21"/>
                <w:highlight w:val="none"/>
              </w:rPr>
            </w:pPr>
          </w:p>
        </w:tc>
        <w:tc>
          <w:tcPr>
            <w:tcW w:w="1125" w:type="pct"/>
            <w:tcBorders>
              <w:top w:val="single" w:color="auto" w:sz="2" w:space="0"/>
              <w:left w:val="single" w:color="auto" w:sz="2" w:space="0"/>
              <w:bottom w:val="single" w:color="auto" w:sz="2" w:space="0"/>
              <w:right w:val="single" w:color="auto" w:sz="2" w:space="0"/>
            </w:tcBorders>
            <w:vAlign w:val="center"/>
          </w:tcPr>
          <w:p w14:paraId="48EC6B45">
            <w:pPr>
              <w:adjustRightInd w:val="0"/>
              <w:snapToGrid w:val="0"/>
              <w:spacing w:line="300" w:lineRule="exact"/>
              <w:jc w:val="center"/>
              <w:rPr>
                <w:color w:val="auto"/>
                <w:szCs w:val="21"/>
                <w:highlight w:val="none"/>
              </w:rPr>
            </w:pPr>
            <w:r>
              <w:rPr>
                <w:color w:val="auto"/>
                <w:szCs w:val="21"/>
                <w:highlight w:val="none"/>
              </w:rPr>
              <w:t>银行账号</w:t>
            </w:r>
          </w:p>
        </w:tc>
        <w:tc>
          <w:tcPr>
            <w:tcW w:w="1312" w:type="pct"/>
            <w:tcBorders>
              <w:top w:val="single" w:color="auto" w:sz="2" w:space="0"/>
              <w:left w:val="single" w:color="auto" w:sz="2" w:space="0"/>
              <w:bottom w:val="single" w:color="auto" w:sz="2" w:space="0"/>
            </w:tcBorders>
            <w:vAlign w:val="center"/>
          </w:tcPr>
          <w:p w14:paraId="16F2126B">
            <w:pPr>
              <w:adjustRightInd w:val="0"/>
              <w:snapToGrid w:val="0"/>
              <w:spacing w:line="300" w:lineRule="exact"/>
              <w:jc w:val="center"/>
              <w:rPr>
                <w:color w:val="auto"/>
                <w:spacing w:val="20"/>
                <w:szCs w:val="21"/>
                <w:highlight w:val="none"/>
              </w:rPr>
            </w:pPr>
          </w:p>
        </w:tc>
      </w:tr>
    </w:tbl>
    <w:p w14:paraId="3BFF9495">
      <w:pPr>
        <w:pStyle w:val="3"/>
        <w:adjustRightInd w:val="0"/>
        <w:snapToGrid w:val="0"/>
        <w:spacing w:before="156" w:beforeLines="50"/>
        <w:jc w:val="center"/>
        <w:rPr>
          <w:rFonts w:ascii="黑体" w:hAnsi="黑体" w:eastAsia="黑体"/>
          <w:color w:val="auto"/>
          <w:sz w:val="28"/>
          <w:szCs w:val="28"/>
          <w:highlight w:val="none"/>
        </w:rPr>
      </w:pPr>
      <w:r>
        <w:rPr>
          <w:rFonts w:ascii="宋体" w:hAnsi="宋体"/>
          <w:color w:val="auto"/>
          <w:sz w:val="21"/>
          <w:szCs w:val="21"/>
          <w:highlight w:val="none"/>
          <w:u w:val="single"/>
        </w:rPr>
        <w:br w:type="page"/>
      </w:r>
      <w:bookmarkStart w:id="1" w:name="_Toc27624"/>
      <w:r>
        <w:rPr>
          <w:rFonts w:hint="eastAsia" w:ascii="黑体" w:hAnsi="黑体" w:eastAsia="黑体"/>
          <w:b w:val="0"/>
          <w:bCs w:val="0"/>
          <w:color w:val="auto"/>
          <w:sz w:val="28"/>
          <w:szCs w:val="28"/>
          <w:highlight w:val="none"/>
        </w:rPr>
        <w:t>第二节 政府采购合同通用条款</w:t>
      </w:r>
      <w:bookmarkEnd w:id="1"/>
    </w:p>
    <w:p w14:paraId="094C95B7">
      <w:pPr>
        <w:tabs>
          <w:tab w:val="left" w:pos="8820"/>
          <w:tab w:val="left" w:pos="9345"/>
          <w:tab w:val="left" w:pos="9765"/>
        </w:tabs>
        <w:adjustRightInd w:val="0"/>
        <w:snapToGrid w:val="0"/>
        <w:spacing w:line="400" w:lineRule="exact"/>
        <w:jc w:val="left"/>
        <w:rPr>
          <w:rFonts w:ascii="宋体" w:hAnsi="宋体"/>
          <w:b/>
          <w:bCs/>
          <w:color w:val="auto"/>
          <w:sz w:val="24"/>
          <w:highlight w:val="none"/>
        </w:rPr>
      </w:pPr>
      <w:r>
        <w:rPr>
          <w:rFonts w:hint="eastAsia" w:ascii="宋体" w:hAnsi="宋体"/>
          <w:b/>
          <w:color w:val="auto"/>
          <w:sz w:val="24"/>
          <w:highlight w:val="none"/>
        </w:rPr>
        <w:t xml:space="preserve">1. </w:t>
      </w:r>
      <w:r>
        <w:rPr>
          <w:rFonts w:hint="eastAsia" w:ascii="宋体" w:hAnsi="宋体"/>
          <w:b/>
          <w:bCs/>
          <w:color w:val="auto"/>
          <w:sz w:val="24"/>
          <w:highlight w:val="none"/>
        </w:rPr>
        <w:t>定义</w:t>
      </w:r>
    </w:p>
    <w:p w14:paraId="29278C28">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1.1合同当事人</w:t>
      </w:r>
    </w:p>
    <w:p w14:paraId="633962F4">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（1）采购人（以下称甲方）是指使用财政性资金，通过政府采购方式向供应商购买货物及其相关服务的国家机关、事业单位、团体组织。</w:t>
      </w:r>
    </w:p>
    <w:p w14:paraId="2F3B67FF">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（2）供应商（以下称乙方）是指参加政府采购活动并且中标（成交），向采购人提供合同约定的货物及其相关服务的法人、非法人组织或者自然人。</w:t>
      </w:r>
    </w:p>
    <w:p w14:paraId="7FD93B88">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（3）其他合同主体是指除采购人和供应商以外，</w:t>
      </w:r>
      <w:r>
        <w:rPr>
          <w:rFonts w:hint="eastAsia" w:ascii="宋体" w:hAnsi="宋体" w:eastAsia="宋体" w:cs="宋体"/>
          <w:bCs/>
          <w:color w:val="auto"/>
          <w:szCs w:val="21"/>
          <w:highlight w:val="none"/>
        </w:rPr>
        <w:t>依法参与合同缔结或履行，享有权利、承担义务的合同当事人</w:t>
      </w:r>
      <w:r>
        <w:rPr>
          <w:rFonts w:hint="eastAsia" w:ascii="宋体" w:hAnsi="宋体"/>
          <w:color w:val="auto"/>
          <w:szCs w:val="21"/>
          <w:highlight w:val="none"/>
        </w:rPr>
        <w:t>。</w:t>
      </w:r>
    </w:p>
    <w:p w14:paraId="77217075">
      <w:pPr>
        <w:tabs>
          <w:tab w:val="left" w:pos="570"/>
          <w:tab w:val="left" w:pos="9240"/>
          <w:tab w:val="left" w:pos="9555"/>
        </w:tabs>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1.2本合同下列术语应解释为：</w:t>
      </w:r>
    </w:p>
    <w:p w14:paraId="7A184AF9">
      <w:pPr>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（1）“合同”系指</w:t>
      </w:r>
      <w:r>
        <w:rPr>
          <w:rFonts w:hint="eastAsia" w:ascii="宋体" w:hAnsi="宋体" w:eastAsia="宋体" w:cs="宋体"/>
          <w:bCs/>
          <w:color w:val="auto"/>
          <w:szCs w:val="21"/>
          <w:highlight w:val="none"/>
        </w:rPr>
        <w:t>合同当事人意思表示达成一致的任何协议，包括签署的</w:t>
      </w:r>
      <w:r>
        <w:rPr>
          <w:rFonts w:hint="eastAsia" w:ascii="宋体" w:hAnsi="宋体"/>
          <w:color w:val="auto"/>
          <w:szCs w:val="21"/>
          <w:highlight w:val="none"/>
        </w:rPr>
        <w:t>政府采购合同协议书及其变更、补充协议，政府采购合同专用条款，政府采购合同通用条款，中标（成交）通知书，投标（响应）文件，采购文件，有关技术文件和图纸，以及</w:t>
      </w:r>
      <w:r>
        <w:rPr>
          <w:rFonts w:hint="eastAsia" w:ascii="宋体" w:hAnsi="宋体" w:eastAsia="宋体" w:cs="宋体"/>
          <w:color w:val="auto"/>
          <w:szCs w:val="21"/>
          <w:highlight w:val="none"/>
        </w:rPr>
        <w:t>国家法律、行政法规和规章制度规定或合同约定的作为合同组成部分的其他文件</w:t>
      </w:r>
      <w:r>
        <w:rPr>
          <w:rFonts w:hint="eastAsia" w:ascii="宋体" w:hAnsi="宋体"/>
          <w:color w:val="auto"/>
          <w:szCs w:val="21"/>
          <w:highlight w:val="none"/>
        </w:rPr>
        <w:t>。</w:t>
      </w:r>
    </w:p>
    <w:p w14:paraId="24C2C783">
      <w:pPr>
        <w:tabs>
          <w:tab w:val="left" w:pos="570"/>
          <w:tab w:val="left" w:pos="9240"/>
          <w:tab w:val="left" w:pos="9555"/>
        </w:tabs>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（2）“合同价款”系指根据本合同规定乙方在全面履行合同义务后甲方应支付给乙方的价款。</w:t>
      </w:r>
    </w:p>
    <w:p w14:paraId="5E934016">
      <w:pPr>
        <w:tabs>
          <w:tab w:val="left" w:pos="570"/>
          <w:tab w:val="left" w:pos="9240"/>
          <w:tab w:val="left" w:pos="9555"/>
        </w:tabs>
        <w:adjustRightInd w:val="0"/>
        <w:snapToGrid w:val="0"/>
        <w:spacing w:line="400" w:lineRule="exact"/>
        <w:ind w:firstLine="420" w:firstLineChars="200"/>
        <w:jc w:val="left"/>
        <w:rPr>
          <w:rFonts w:ascii="宋体" w:hAnsi="宋体" w:eastAsia="宋体"/>
          <w:color w:val="auto"/>
          <w:szCs w:val="21"/>
          <w:highlight w:val="none"/>
        </w:rPr>
      </w:pPr>
      <w:r>
        <w:rPr>
          <w:rFonts w:hint="eastAsia" w:ascii="宋体" w:hAnsi="宋体"/>
          <w:color w:val="auto"/>
          <w:szCs w:val="21"/>
          <w:highlight w:val="none"/>
        </w:rPr>
        <w:t>（3）“货物”系指乙方根据本合同规定须向甲方提供的各种形态和种类的物品，包括原材料、设备、产品（</w:t>
      </w:r>
      <w:r>
        <w:rPr>
          <w:rFonts w:hint="eastAsia" w:ascii="宋体" w:hAnsi="宋体"/>
          <w:color w:val="auto"/>
          <w:szCs w:val="21"/>
          <w:highlight w:val="none"/>
        </w:rPr>
        <w:t>包括软件）及相关的其备品备件、工具、手册及</w:t>
      </w:r>
      <w:r>
        <w:rPr>
          <w:rFonts w:ascii="宋体" w:hAnsi="宋体"/>
          <w:color w:val="auto"/>
          <w:szCs w:val="21"/>
          <w:highlight w:val="none"/>
          <w:lang w:val="en"/>
        </w:rPr>
        <w:t>其他</w:t>
      </w:r>
      <w:r>
        <w:rPr>
          <w:rFonts w:hint="eastAsia" w:ascii="宋体" w:hAnsi="宋体"/>
          <w:color w:val="auto"/>
          <w:szCs w:val="21"/>
          <w:highlight w:val="none"/>
        </w:rPr>
        <w:t>技术资料和材料等。</w:t>
      </w:r>
    </w:p>
    <w:p w14:paraId="06E4AD15">
      <w:pPr>
        <w:adjustRightInd w:val="0"/>
        <w:snapToGrid w:val="0"/>
        <w:spacing w:line="400" w:lineRule="exact"/>
        <w:ind w:firstLine="420" w:firstLineChars="200"/>
        <w:jc w:val="left"/>
        <w:rPr>
          <w:rFonts w:ascii="宋体" w:hAnsi="宋体" w:eastAsia="宋体"/>
          <w:color w:val="auto"/>
          <w:szCs w:val="21"/>
          <w:highlight w:val="none"/>
        </w:rPr>
      </w:pPr>
      <w:r>
        <w:rPr>
          <w:rFonts w:hint="eastAsia" w:ascii="宋体" w:hAnsi="宋体"/>
          <w:color w:val="auto"/>
          <w:szCs w:val="21"/>
          <w:highlight w:val="none"/>
        </w:rPr>
        <w:t>（4）“</w:t>
      </w:r>
      <w:r>
        <w:rPr>
          <w:rFonts w:hint="eastAsia" w:ascii="宋体" w:hAnsi="宋体"/>
          <w:color w:val="auto"/>
          <w:szCs w:val="21"/>
          <w:highlight w:val="none"/>
        </w:rPr>
        <w:t>相关</w:t>
      </w:r>
      <w:r>
        <w:rPr>
          <w:rFonts w:hint="eastAsia" w:ascii="宋体" w:hAnsi="宋体"/>
          <w:color w:val="auto"/>
          <w:szCs w:val="21"/>
          <w:highlight w:val="none"/>
        </w:rPr>
        <w:t>服务”系指根据合同规定，乙方应提供的与货物有关的技术、管理和</w:t>
      </w:r>
      <w:r>
        <w:rPr>
          <w:rFonts w:ascii="宋体" w:hAnsi="宋体"/>
          <w:color w:val="auto"/>
          <w:szCs w:val="21"/>
          <w:highlight w:val="none"/>
          <w:lang w:val="en"/>
        </w:rPr>
        <w:t>其他</w:t>
      </w:r>
      <w:r>
        <w:rPr>
          <w:rFonts w:hint="eastAsia" w:ascii="宋体" w:hAnsi="宋体"/>
          <w:color w:val="auto"/>
          <w:szCs w:val="21"/>
          <w:highlight w:val="none"/>
        </w:rPr>
        <w:t>服务，包括但不限于：管理和质量保证、运输、保险、检验、现场准备、安装、集成、调试、培训、维修、废弃处置、技术支持等以及合同中规定乙方应承担的</w:t>
      </w:r>
      <w:r>
        <w:rPr>
          <w:rFonts w:ascii="宋体" w:hAnsi="宋体"/>
          <w:color w:val="auto"/>
          <w:szCs w:val="21"/>
          <w:highlight w:val="none"/>
          <w:lang w:val="en"/>
        </w:rPr>
        <w:t>其他</w:t>
      </w:r>
      <w:r>
        <w:rPr>
          <w:rFonts w:hint="eastAsia" w:ascii="宋体" w:hAnsi="宋体"/>
          <w:color w:val="auto"/>
          <w:szCs w:val="21"/>
          <w:highlight w:val="none"/>
        </w:rPr>
        <w:t>义务。</w:t>
      </w:r>
    </w:p>
    <w:p w14:paraId="204B8F6A">
      <w:pPr>
        <w:adjustRightInd w:val="0"/>
        <w:snapToGrid w:val="0"/>
        <w:spacing w:line="400" w:lineRule="exact"/>
        <w:ind w:firstLine="420" w:firstLineChars="200"/>
        <w:jc w:val="left"/>
        <w:rPr>
          <w:rFonts w:ascii="宋体" w:hAnsi="宋体" w:eastAsia="宋体"/>
          <w:color w:val="auto"/>
          <w:szCs w:val="21"/>
          <w:highlight w:val="none"/>
        </w:rPr>
      </w:pPr>
      <w:r>
        <w:rPr>
          <w:rFonts w:hint="eastAsia" w:ascii="宋体" w:hAnsi="宋体"/>
          <w:color w:val="auto"/>
          <w:szCs w:val="21"/>
          <w:highlight w:val="none"/>
        </w:rPr>
        <w:t>（5）“分包”系指中标（成交）供应商按采购文件、投标（响应）文件的规定，根据分包意向协议，将中标（成交）项目中的部分履约内容，分给具有相应资质条件的供应商履行合同的行为。</w:t>
      </w:r>
    </w:p>
    <w:p w14:paraId="6FA0FC82">
      <w:pPr>
        <w:tabs>
          <w:tab w:val="left" w:pos="570"/>
          <w:tab w:val="left" w:pos="9240"/>
          <w:tab w:val="left" w:pos="9555"/>
        </w:tabs>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（6）</w:t>
      </w:r>
      <w:r>
        <w:rPr>
          <w:rFonts w:hint="eastAsia" w:ascii="宋体" w:hAnsi="宋体"/>
          <w:color w:val="auto"/>
          <w:szCs w:val="21"/>
          <w:highlight w:val="none"/>
        </w:rPr>
        <w:t>“联合体”系指由两个以上的自然人、法人或者非法人组织组成，以一个供应商的身份共同参加政府采购的主体</w:t>
      </w:r>
      <w:r>
        <w:rPr>
          <w:rFonts w:hint="eastAsia" w:ascii="宋体" w:hAnsi="宋体"/>
          <w:color w:val="auto"/>
          <w:szCs w:val="21"/>
          <w:highlight w:val="none"/>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rFonts w:hint="eastAsia" w:ascii="宋体" w:hAnsi="宋体"/>
          <w:b/>
          <w:bCs/>
          <w:color w:val="auto"/>
          <w:szCs w:val="21"/>
          <w:highlight w:val="none"/>
        </w:rPr>
        <w:t>政府采购合同专用条款</w:t>
      </w:r>
      <w:r>
        <w:rPr>
          <w:rFonts w:hint="eastAsia" w:ascii="宋体" w:hAnsi="宋体"/>
          <w:color w:val="auto"/>
          <w:szCs w:val="21"/>
          <w:highlight w:val="none"/>
        </w:rPr>
        <w:t>】。</w:t>
      </w:r>
    </w:p>
    <w:p w14:paraId="14AABB9D">
      <w:pPr>
        <w:tabs>
          <w:tab w:val="left" w:pos="570"/>
          <w:tab w:val="left" w:pos="9240"/>
          <w:tab w:val="left" w:pos="9555"/>
        </w:tabs>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（7）其他术语解释，见【</w:t>
      </w:r>
      <w:r>
        <w:rPr>
          <w:rFonts w:hint="eastAsia" w:ascii="宋体" w:hAnsi="宋体"/>
          <w:b/>
          <w:bCs/>
          <w:color w:val="auto"/>
          <w:szCs w:val="21"/>
          <w:highlight w:val="none"/>
        </w:rPr>
        <w:t>政府采购合同专用条款</w:t>
      </w:r>
      <w:r>
        <w:rPr>
          <w:rFonts w:hint="eastAsia" w:ascii="宋体" w:hAnsi="宋体"/>
          <w:color w:val="auto"/>
          <w:szCs w:val="21"/>
          <w:highlight w:val="none"/>
        </w:rPr>
        <w:t>】。</w:t>
      </w:r>
    </w:p>
    <w:p w14:paraId="36F7DB64">
      <w:pPr>
        <w:numPr>
          <w:ilvl w:val="0"/>
          <w:numId w:val="4"/>
        </w:numPr>
        <w:autoSpaceDE w:val="0"/>
        <w:autoSpaceDN w:val="0"/>
        <w:adjustRightInd w:val="0"/>
        <w:snapToGrid w:val="0"/>
        <w:spacing w:line="400" w:lineRule="exact"/>
        <w:jc w:val="left"/>
        <w:rPr>
          <w:rFonts w:ascii="宋体" w:hAnsi="宋体"/>
          <w:b/>
          <w:bCs/>
          <w:color w:val="auto"/>
          <w:sz w:val="24"/>
          <w:highlight w:val="none"/>
        </w:rPr>
      </w:pPr>
      <w:r>
        <w:rPr>
          <w:rFonts w:hint="eastAsia" w:ascii="宋体" w:hAnsi="宋体"/>
          <w:b/>
          <w:color w:val="auto"/>
          <w:sz w:val="24"/>
          <w:highlight w:val="none"/>
        </w:rPr>
        <w:t>合同标的及金额</w:t>
      </w:r>
    </w:p>
    <w:p w14:paraId="20DDBD59">
      <w:pPr>
        <w:autoSpaceDE w:val="0"/>
        <w:autoSpaceDN w:val="0"/>
        <w:adjustRightInd w:val="0"/>
        <w:snapToGrid w:val="0"/>
        <w:spacing w:line="400" w:lineRule="exact"/>
        <w:ind w:firstLine="420" w:firstLineChars="200"/>
        <w:jc w:val="left"/>
        <w:rPr>
          <w:rFonts w:ascii="宋体" w:hAnsi="宋体"/>
          <w:b/>
          <w:bCs/>
          <w:i/>
          <w:iCs/>
          <w:color w:val="auto"/>
          <w:szCs w:val="21"/>
          <w:highlight w:val="none"/>
        </w:rPr>
      </w:pPr>
      <w:r>
        <w:rPr>
          <w:rFonts w:hint="eastAsia" w:ascii="宋体" w:hAnsi="宋体"/>
          <w:color w:val="auto"/>
          <w:szCs w:val="21"/>
          <w:highlight w:val="none"/>
        </w:rPr>
        <w:t>2.1 合同标的及金额应与中标（成交）结果一致。乙方为履行本合同而发生的所有费用均应包含在合同价款中，甲方不再另行支付</w:t>
      </w:r>
      <w:r>
        <w:rPr>
          <w:rFonts w:ascii="宋体" w:hAnsi="宋体"/>
          <w:color w:val="auto"/>
          <w:szCs w:val="21"/>
          <w:highlight w:val="none"/>
          <w:lang w:val="en"/>
        </w:rPr>
        <w:t>其他</w:t>
      </w:r>
      <w:r>
        <w:rPr>
          <w:rFonts w:hint="eastAsia" w:ascii="宋体" w:hAnsi="宋体"/>
          <w:color w:val="auto"/>
          <w:szCs w:val="21"/>
          <w:highlight w:val="none"/>
        </w:rPr>
        <w:t>任何费用。</w:t>
      </w:r>
    </w:p>
    <w:p w14:paraId="1F9C6674">
      <w:pPr>
        <w:adjustRightInd w:val="0"/>
        <w:snapToGrid w:val="0"/>
        <w:spacing w:line="400" w:lineRule="exact"/>
        <w:jc w:val="left"/>
        <w:rPr>
          <w:rFonts w:ascii="宋体" w:hAnsi="宋体"/>
          <w:b/>
          <w:color w:val="auto"/>
          <w:sz w:val="24"/>
          <w:highlight w:val="none"/>
        </w:rPr>
      </w:pPr>
      <w:r>
        <w:rPr>
          <w:rFonts w:hint="eastAsia" w:ascii="宋体" w:hAnsi="宋体"/>
          <w:b/>
          <w:color w:val="auto"/>
          <w:sz w:val="24"/>
          <w:highlight w:val="none"/>
        </w:rPr>
        <w:t>3. 履行合同的时间、地点和方式</w:t>
      </w:r>
    </w:p>
    <w:p w14:paraId="0BCA8185">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 xml:space="preserve">3.1 </w:t>
      </w:r>
      <w:r>
        <w:rPr>
          <w:rFonts w:hint="eastAsia" w:ascii="宋体" w:hAnsi="宋体" w:eastAsia="宋体" w:cs="宋体"/>
          <w:color w:val="auto"/>
          <w:szCs w:val="21"/>
          <w:highlight w:val="none"/>
        </w:rPr>
        <w:t>乙方应当在约定的时间、地点</w:t>
      </w:r>
      <w:r>
        <w:rPr>
          <w:rFonts w:hint="eastAsia" w:ascii="宋体" w:hAnsi="宋体" w:cs="宋体"/>
          <w:color w:val="auto"/>
          <w:szCs w:val="21"/>
          <w:highlight w:val="none"/>
        </w:rPr>
        <w:t>，按照约定</w:t>
      </w:r>
      <w:r>
        <w:rPr>
          <w:rFonts w:hint="eastAsia" w:ascii="宋体" w:hAnsi="宋体" w:eastAsia="宋体" w:cs="宋体"/>
          <w:color w:val="auto"/>
          <w:szCs w:val="21"/>
          <w:highlight w:val="none"/>
        </w:rPr>
        <w:t>方式履行合同。</w:t>
      </w:r>
    </w:p>
    <w:p w14:paraId="4BD21239">
      <w:pPr>
        <w:autoSpaceDE w:val="0"/>
        <w:autoSpaceDN w:val="0"/>
        <w:adjustRightInd w:val="0"/>
        <w:snapToGrid w:val="0"/>
        <w:spacing w:line="400" w:lineRule="exact"/>
        <w:jc w:val="left"/>
        <w:rPr>
          <w:rFonts w:ascii="宋体" w:hAnsi="宋体"/>
          <w:b/>
          <w:bCs/>
          <w:color w:val="auto"/>
          <w:sz w:val="24"/>
          <w:highlight w:val="none"/>
        </w:rPr>
      </w:pPr>
      <w:r>
        <w:rPr>
          <w:rFonts w:hint="eastAsia" w:ascii="宋体" w:hAnsi="宋体"/>
          <w:b/>
          <w:bCs/>
          <w:color w:val="auto"/>
          <w:sz w:val="24"/>
          <w:highlight w:val="none"/>
        </w:rPr>
        <w:t>4. 甲方的权利和义务</w:t>
      </w:r>
    </w:p>
    <w:p w14:paraId="581F9036">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4.1</w:t>
      </w:r>
      <w:r>
        <w:rPr>
          <w:rFonts w:ascii="宋体" w:hAnsi="宋体"/>
          <w:color w:val="auto"/>
          <w:szCs w:val="21"/>
          <w:highlight w:val="none"/>
        </w:rPr>
        <w:t xml:space="preserve"> 签署合同后，甲方</w:t>
      </w:r>
      <w:r>
        <w:rPr>
          <w:rFonts w:hint="eastAsia" w:ascii="宋体" w:hAnsi="宋体"/>
          <w:color w:val="auto"/>
          <w:szCs w:val="21"/>
          <w:highlight w:val="none"/>
        </w:rPr>
        <w:t>应</w:t>
      </w:r>
      <w:r>
        <w:rPr>
          <w:rFonts w:ascii="宋体" w:hAnsi="宋体"/>
          <w:color w:val="auto"/>
          <w:szCs w:val="21"/>
          <w:highlight w:val="none"/>
        </w:rPr>
        <w:t>确定</w:t>
      </w:r>
      <w:r>
        <w:rPr>
          <w:rFonts w:hint="eastAsia" w:ascii="宋体" w:hAnsi="宋体"/>
          <w:color w:val="auto"/>
          <w:szCs w:val="21"/>
          <w:highlight w:val="none"/>
        </w:rPr>
        <w:t>项目负责人（或项目联系人）</w:t>
      </w:r>
      <w:r>
        <w:rPr>
          <w:rFonts w:ascii="宋体" w:hAnsi="宋体"/>
          <w:color w:val="auto"/>
          <w:szCs w:val="21"/>
          <w:highlight w:val="none"/>
        </w:rPr>
        <w:t>，负责与本合同有关的事务。</w:t>
      </w:r>
      <w:r>
        <w:rPr>
          <w:rFonts w:hint="eastAsia" w:ascii="宋体" w:hAnsi="宋体"/>
          <w:color w:val="auto"/>
          <w:szCs w:val="21"/>
          <w:highlight w:val="none"/>
        </w:rPr>
        <w:t>甲方有权对乙方的履约行为进行检查，并</w:t>
      </w:r>
      <w:r>
        <w:rPr>
          <w:rFonts w:ascii="宋体" w:hAnsi="宋体"/>
          <w:color w:val="auto"/>
          <w:szCs w:val="21"/>
          <w:highlight w:val="none"/>
        </w:rPr>
        <w:t>及时确认乙方提交的事项</w:t>
      </w:r>
      <w:r>
        <w:rPr>
          <w:rFonts w:hint="eastAsia" w:ascii="宋体" w:hAnsi="宋体"/>
          <w:color w:val="auto"/>
          <w:szCs w:val="21"/>
          <w:highlight w:val="none"/>
        </w:rPr>
        <w:t>。甲方应当</w:t>
      </w:r>
      <w:r>
        <w:rPr>
          <w:rFonts w:ascii="宋体" w:hAnsi="宋体"/>
          <w:color w:val="auto"/>
          <w:szCs w:val="21"/>
          <w:highlight w:val="none"/>
        </w:rPr>
        <w:t>配合乙方完成</w:t>
      </w:r>
      <w:r>
        <w:rPr>
          <w:rFonts w:hint="eastAsia" w:ascii="宋体" w:hAnsi="宋体"/>
          <w:color w:val="auto"/>
          <w:szCs w:val="21"/>
          <w:highlight w:val="none"/>
        </w:rPr>
        <w:t>相关项目</w:t>
      </w:r>
      <w:r>
        <w:rPr>
          <w:rFonts w:ascii="宋体" w:hAnsi="宋体"/>
          <w:color w:val="auto"/>
          <w:szCs w:val="21"/>
          <w:highlight w:val="none"/>
        </w:rPr>
        <w:t>实施工作。</w:t>
      </w:r>
    </w:p>
    <w:p w14:paraId="0C47AA47">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 xml:space="preserve">4.2 </w:t>
      </w:r>
      <w:r>
        <w:rPr>
          <w:rFonts w:ascii="宋体" w:hAnsi="宋体"/>
          <w:color w:val="auto"/>
          <w:szCs w:val="21"/>
          <w:highlight w:val="none"/>
        </w:rPr>
        <w:t>甲方有权要求乙方按时提交各阶段有关</w:t>
      </w:r>
      <w:r>
        <w:rPr>
          <w:rFonts w:hint="eastAsia" w:ascii="宋体" w:hAnsi="宋体"/>
          <w:color w:val="auto"/>
          <w:szCs w:val="21"/>
          <w:highlight w:val="none"/>
        </w:rPr>
        <w:t>安排计划</w:t>
      </w:r>
      <w:r>
        <w:rPr>
          <w:rFonts w:ascii="宋体" w:hAnsi="宋体"/>
          <w:color w:val="auto"/>
          <w:szCs w:val="21"/>
          <w:highlight w:val="none"/>
        </w:rPr>
        <w:t>，并有权</w:t>
      </w:r>
      <w:r>
        <w:rPr>
          <w:rFonts w:hint="eastAsia" w:ascii="宋体" w:hAnsi="宋体"/>
          <w:color w:val="auto"/>
          <w:szCs w:val="21"/>
          <w:highlight w:val="none"/>
        </w:rPr>
        <w:t>定期核对乙方提供货物数量、规格、质量等内容。甲方</w:t>
      </w:r>
      <w:r>
        <w:rPr>
          <w:rFonts w:ascii="宋体" w:hAnsi="宋体"/>
          <w:color w:val="auto"/>
          <w:szCs w:val="21"/>
          <w:highlight w:val="none"/>
        </w:rPr>
        <w:t>有权督促乙方工作并要求乙方</w:t>
      </w:r>
      <w:r>
        <w:rPr>
          <w:rFonts w:hint="eastAsia" w:ascii="宋体" w:hAnsi="宋体"/>
          <w:color w:val="auto"/>
          <w:szCs w:val="21"/>
          <w:highlight w:val="none"/>
        </w:rPr>
        <w:t>更</w:t>
      </w:r>
      <w:r>
        <w:rPr>
          <w:rFonts w:ascii="宋体" w:hAnsi="宋体"/>
          <w:color w:val="auto"/>
          <w:szCs w:val="21"/>
          <w:highlight w:val="none"/>
        </w:rPr>
        <w:t>换不符合要求的</w:t>
      </w:r>
      <w:r>
        <w:rPr>
          <w:rFonts w:hint="eastAsia" w:ascii="宋体" w:hAnsi="宋体"/>
          <w:color w:val="auto"/>
          <w:szCs w:val="21"/>
          <w:highlight w:val="none"/>
        </w:rPr>
        <w:t>货物</w:t>
      </w:r>
      <w:r>
        <w:rPr>
          <w:rFonts w:ascii="宋体" w:hAnsi="宋体"/>
          <w:color w:val="auto"/>
          <w:szCs w:val="21"/>
          <w:highlight w:val="none"/>
        </w:rPr>
        <w:t>。</w:t>
      </w:r>
    </w:p>
    <w:p w14:paraId="3B60D7AB">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4.</w:t>
      </w:r>
      <w:r>
        <w:rPr>
          <w:rFonts w:ascii="宋体" w:hAnsi="宋体"/>
          <w:color w:val="auto"/>
          <w:szCs w:val="21"/>
          <w:highlight w:val="none"/>
        </w:rPr>
        <w:t>3</w:t>
      </w:r>
      <w:r>
        <w:rPr>
          <w:rFonts w:hint="eastAsia" w:ascii="宋体" w:hAnsi="宋体"/>
          <w:color w:val="auto"/>
          <w:szCs w:val="21"/>
          <w:highlight w:val="none"/>
        </w:rPr>
        <w:t xml:space="preserve"> </w:t>
      </w:r>
      <w:r>
        <w:rPr>
          <w:rFonts w:ascii="宋体" w:hAnsi="宋体"/>
          <w:color w:val="auto"/>
          <w:szCs w:val="21"/>
          <w:highlight w:val="none"/>
        </w:rPr>
        <w:t>甲方</w:t>
      </w:r>
      <w:r>
        <w:rPr>
          <w:rFonts w:hint="eastAsia" w:ascii="宋体" w:hAnsi="宋体"/>
          <w:color w:val="auto"/>
          <w:szCs w:val="21"/>
          <w:highlight w:val="none"/>
        </w:rPr>
        <w:t>有权要求乙方对缺陷部分予以修复，并按合同约定享有货物保修及其他合同约定的权利。</w:t>
      </w:r>
    </w:p>
    <w:p w14:paraId="063F1EF9">
      <w:pPr>
        <w:snapToGrid w:val="0"/>
        <w:spacing w:line="400" w:lineRule="exact"/>
        <w:ind w:firstLine="420" w:firstLineChars="200"/>
        <w:rPr>
          <w:rFonts w:eastAsia="华文楷体"/>
          <w:color w:val="auto"/>
          <w:highlight w:val="none"/>
        </w:rPr>
      </w:pPr>
      <w:r>
        <w:rPr>
          <w:rFonts w:ascii="宋体" w:hAnsi="宋体"/>
          <w:color w:val="auto"/>
          <w:szCs w:val="21"/>
          <w:highlight w:val="none"/>
        </w:rPr>
        <w:t>4.4 甲方应当按照合同约定及时对交付的货物进行验收</w:t>
      </w:r>
      <w:r>
        <w:rPr>
          <w:rFonts w:hint="eastAsia" w:ascii="宋体" w:hAnsi="宋体"/>
          <w:color w:val="auto"/>
          <w:szCs w:val="21"/>
          <w:highlight w:val="none"/>
        </w:rPr>
        <w:t>，</w:t>
      </w:r>
      <w:r>
        <w:rPr>
          <w:rFonts w:hint="eastAsia" w:ascii="宋体" w:hAnsi="宋体" w:cs="宋体"/>
          <w:color w:val="auto"/>
          <w:szCs w:val="21"/>
          <w:highlight w:val="none"/>
        </w:rPr>
        <w:t>未</w:t>
      </w:r>
      <w:r>
        <w:rPr>
          <w:rFonts w:hint="eastAsia" w:ascii="宋体" w:hAnsi="宋体"/>
          <w:color w:val="auto"/>
          <w:szCs w:val="21"/>
          <w:highlight w:val="none"/>
        </w:rPr>
        <w:t>在</w:t>
      </w:r>
      <w:r>
        <w:rPr>
          <w:rFonts w:hint="eastAsia" w:ascii="宋体" w:hAnsi="宋体" w:eastAsia="宋体" w:cs="宋体"/>
          <w:b/>
          <w:bCs/>
          <w:color w:val="auto"/>
          <w:szCs w:val="21"/>
          <w:highlight w:val="none"/>
        </w:rPr>
        <w:t>【政府采购合同专用条款】</w:t>
      </w:r>
      <w:r>
        <w:rPr>
          <w:rFonts w:hint="eastAsia" w:ascii="宋体" w:hAnsi="宋体" w:cs="宋体"/>
          <w:color w:val="auto"/>
          <w:szCs w:val="21"/>
          <w:highlight w:val="none"/>
        </w:rPr>
        <w:t>约定的期限内对乙方履约提出任何异议或者向乙方作出任何说明的，</w:t>
      </w:r>
      <w:r>
        <w:rPr>
          <w:rFonts w:hint="eastAsia" w:ascii="宋体" w:hAnsi="宋体"/>
          <w:color w:val="auto"/>
          <w:szCs w:val="21"/>
          <w:highlight w:val="none"/>
        </w:rPr>
        <w:t>视为验收通过。</w:t>
      </w:r>
    </w:p>
    <w:p w14:paraId="097358D8">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ascii="宋体" w:hAnsi="宋体"/>
          <w:color w:val="auto"/>
          <w:szCs w:val="21"/>
          <w:highlight w:val="none"/>
        </w:rPr>
        <w:t>4</w:t>
      </w:r>
      <w:r>
        <w:rPr>
          <w:rFonts w:hint="eastAsia" w:ascii="宋体" w:hAnsi="宋体"/>
          <w:color w:val="auto"/>
          <w:szCs w:val="21"/>
          <w:highlight w:val="none"/>
        </w:rPr>
        <w:t>.</w:t>
      </w:r>
      <w:r>
        <w:rPr>
          <w:rFonts w:ascii="宋体" w:hAnsi="宋体"/>
          <w:color w:val="auto"/>
          <w:szCs w:val="21"/>
          <w:highlight w:val="none"/>
        </w:rPr>
        <w:t xml:space="preserve">5 </w:t>
      </w:r>
      <w:r>
        <w:rPr>
          <w:rFonts w:hint="eastAsia" w:ascii="宋体" w:hAnsi="宋体"/>
          <w:color w:val="auto"/>
          <w:szCs w:val="21"/>
          <w:highlight w:val="none"/>
        </w:rPr>
        <w:t>甲方应当根据合同约定及时向乙方支付合同价款</w:t>
      </w:r>
      <w:r>
        <w:rPr>
          <w:rFonts w:ascii="宋体" w:hAnsi="宋体"/>
          <w:color w:val="auto"/>
          <w:szCs w:val="21"/>
          <w:highlight w:val="none"/>
        </w:rPr>
        <w:t>，不得以内部人员变更、履行内部付款流程等为由，拒绝或迟延支付。</w:t>
      </w:r>
    </w:p>
    <w:p w14:paraId="10459374">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4.6</w:t>
      </w:r>
      <w:r>
        <w:rPr>
          <w:rFonts w:ascii="宋体" w:hAnsi="宋体"/>
          <w:color w:val="auto"/>
          <w:szCs w:val="21"/>
          <w:highlight w:val="none"/>
        </w:rPr>
        <w:t xml:space="preserve"> </w:t>
      </w:r>
      <w:r>
        <w:rPr>
          <w:rFonts w:hint="eastAsia" w:ascii="宋体" w:hAnsi="宋体"/>
          <w:color w:val="auto"/>
          <w:szCs w:val="21"/>
          <w:highlight w:val="none"/>
        </w:rPr>
        <w:t>国家法律法规规定及</w:t>
      </w:r>
      <w:r>
        <w:rPr>
          <w:rFonts w:hint="eastAsia" w:ascii="宋体" w:hAnsi="宋体" w:eastAsia="宋体" w:cs="宋体"/>
          <w:b/>
          <w:bCs/>
          <w:color w:val="auto"/>
          <w:szCs w:val="21"/>
          <w:highlight w:val="none"/>
        </w:rPr>
        <w:t>【政府采购合同专用条款】</w:t>
      </w:r>
      <w:r>
        <w:rPr>
          <w:rFonts w:hint="eastAsia" w:ascii="宋体" w:hAnsi="宋体"/>
          <w:color w:val="auto"/>
          <w:szCs w:val="21"/>
          <w:highlight w:val="none"/>
        </w:rPr>
        <w:t>约定应由甲方承担的其他义务和责任。</w:t>
      </w:r>
    </w:p>
    <w:p w14:paraId="75A46124">
      <w:pPr>
        <w:autoSpaceDE w:val="0"/>
        <w:autoSpaceDN w:val="0"/>
        <w:adjustRightInd w:val="0"/>
        <w:snapToGrid w:val="0"/>
        <w:spacing w:line="400" w:lineRule="exact"/>
        <w:jc w:val="left"/>
        <w:rPr>
          <w:rFonts w:ascii="宋体" w:hAnsi="宋体"/>
          <w:b/>
          <w:bCs/>
          <w:color w:val="auto"/>
          <w:sz w:val="24"/>
          <w:highlight w:val="none"/>
        </w:rPr>
      </w:pPr>
      <w:r>
        <w:rPr>
          <w:rFonts w:hint="eastAsia" w:ascii="宋体" w:hAnsi="宋体"/>
          <w:b/>
          <w:bCs/>
          <w:color w:val="auto"/>
          <w:sz w:val="24"/>
          <w:highlight w:val="none"/>
        </w:rPr>
        <w:t>5. 乙方的权利和义务</w:t>
      </w:r>
    </w:p>
    <w:p w14:paraId="5DDE5041">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 xml:space="preserve">5.1 </w:t>
      </w:r>
      <w:r>
        <w:rPr>
          <w:rFonts w:ascii="宋体" w:hAnsi="宋体"/>
          <w:color w:val="auto"/>
          <w:szCs w:val="21"/>
          <w:highlight w:val="none"/>
        </w:rPr>
        <w:t>签署合同后，乙方</w:t>
      </w:r>
      <w:r>
        <w:rPr>
          <w:rFonts w:hint="eastAsia" w:ascii="宋体" w:hAnsi="宋体"/>
          <w:color w:val="auto"/>
          <w:szCs w:val="21"/>
          <w:highlight w:val="none"/>
        </w:rPr>
        <w:t>应</w:t>
      </w:r>
      <w:r>
        <w:rPr>
          <w:rFonts w:ascii="宋体" w:hAnsi="宋体"/>
          <w:color w:val="auto"/>
          <w:szCs w:val="21"/>
          <w:highlight w:val="none"/>
        </w:rPr>
        <w:t>确定</w:t>
      </w:r>
      <w:r>
        <w:rPr>
          <w:rFonts w:hint="eastAsia" w:ascii="宋体" w:hAnsi="宋体"/>
          <w:color w:val="auto"/>
          <w:szCs w:val="21"/>
          <w:highlight w:val="none"/>
        </w:rPr>
        <w:t>项目负责人（或项目联系人）</w:t>
      </w:r>
      <w:r>
        <w:rPr>
          <w:rFonts w:ascii="宋体" w:hAnsi="宋体"/>
          <w:color w:val="auto"/>
          <w:szCs w:val="21"/>
          <w:highlight w:val="none"/>
        </w:rPr>
        <w:t>，负责与本合同有关的事务。</w:t>
      </w:r>
    </w:p>
    <w:p w14:paraId="4F976751">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5.</w:t>
      </w:r>
      <w:r>
        <w:rPr>
          <w:rFonts w:ascii="宋体" w:hAnsi="宋体"/>
          <w:color w:val="auto"/>
          <w:szCs w:val="21"/>
          <w:highlight w:val="none"/>
        </w:rPr>
        <w:t>2 乙方应按照合同要求</w:t>
      </w:r>
      <w:r>
        <w:rPr>
          <w:rFonts w:hint="eastAsia" w:ascii="宋体" w:hAnsi="宋体"/>
          <w:color w:val="auto"/>
          <w:szCs w:val="21"/>
          <w:highlight w:val="none"/>
        </w:rPr>
        <w:t>履约</w:t>
      </w:r>
      <w:r>
        <w:rPr>
          <w:rFonts w:ascii="宋体" w:hAnsi="宋体"/>
          <w:color w:val="auto"/>
          <w:szCs w:val="21"/>
          <w:highlight w:val="none"/>
        </w:rPr>
        <w:t>，充分合理安排，确保</w:t>
      </w:r>
      <w:r>
        <w:rPr>
          <w:rFonts w:hint="eastAsia" w:ascii="宋体" w:hAnsi="宋体"/>
          <w:color w:val="auto"/>
          <w:szCs w:val="21"/>
          <w:highlight w:val="none"/>
        </w:rPr>
        <w:t>提供的货物及相关服务符合合同有关</w:t>
      </w:r>
      <w:r>
        <w:rPr>
          <w:rFonts w:ascii="宋体" w:hAnsi="宋体"/>
          <w:color w:val="auto"/>
          <w:szCs w:val="21"/>
          <w:highlight w:val="none"/>
        </w:rPr>
        <w:t>要求</w:t>
      </w:r>
      <w:r>
        <w:rPr>
          <w:rFonts w:hint="eastAsia" w:ascii="宋体" w:hAnsi="宋体"/>
          <w:color w:val="auto"/>
          <w:szCs w:val="21"/>
          <w:highlight w:val="none"/>
        </w:rPr>
        <w:t>。接受项目行业管理部门及政府有关部门的指导，配合甲方的履约检查及验收，并</w:t>
      </w:r>
      <w:r>
        <w:rPr>
          <w:rFonts w:ascii="宋体" w:hAnsi="宋体"/>
          <w:color w:val="auto"/>
          <w:szCs w:val="21"/>
          <w:highlight w:val="none"/>
        </w:rPr>
        <w:t>负责项目实施过程中的所有协调工作。</w:t>
      </w:r>
    </w:p>
    <w:p w14:paraId="7F2B3BBB">
      <w:pPr>
        <w:pStyle w:val="4"/>
        <w:spacing w:after="0" w:line="400" w:lineRule="exact"/>
        <w:ind w:firstLine="369" w:firstLineChars="176"/>
        <w:rPr>
          <w:rFonts w:ascii="宋体" w:hAnsi="宋体" w:cs="宋体"/>
          <w:color w:val="auto"/>
          <w:szCs w:val="21"/>
          <w:highlight w:val="none"/>
        </w:rPr>
      </w:pPr>
      <w:r>
        <w:rPr>
          <w:rFonts w:hint="eastAsia" w:ascii="宋体" w:hAnsi="宋体"/>
          <w:color w:val="auto"/>
          <w:szCs w:val="21"/>
          <w:highlight w:val="none"/>
        </w:rPr>
        <w:t>5.</w:t>
      </w:r>
      <w:r>
        <w:rPr>
          <w:rFonts w:ascii="宋体" w:hAnsi="宋体"/>
          <w:color w:val="auto"/>
          <w:szCs w:val="21"/>
          <w:highlight w:val="none"/>
        </w:rPr>
        <w:t>3</w:t>
      </w:r>
      <w:r>
        <w:rPr>
          <w:rFonts w:hint="eastAsia" w:ascii="宋体" w:hAnsi="宋体"/>
          <w:color w:val="auto"/>
          <w:szCs w:val="21"/>
          <w:highlight w:val="none"/>
        </w:rPr>
        <w:t>乙方有权</w:t>
      </w:r>
      <w:r>
        <w:rPr>
          <w:rFonts w:hint="eastAsia" w:ascii="宋体" w:hAnsi="宋体" w:cs="宋体"/>
          <w:color w:val="auto"/>
          <w:szCs w:val="21"/>
          <w:highlight w:val="none"/>
        </w:rPr>
        <w:t>根据合同约定向甲方收取合同价款。</w:t>
      </w:r>
    </w:p>
    <w:p w14:paraId="51469304">
      <w:pPr>
        <w:pStyle w:val="4"/>
        <w:spacing w:after="0" w:line="400" w:lineRule="exact"/>
        <w:ind w:firstLine="369" w:firstLineChars="176"/>
        <w:rPr>
          <w:rFonts w:ascii="宋体" w:hAnsi="宋体" w:cs="宋体"/>
          <w:color w:val="auto"/>
          <w:szCs w:val="21"/>
          <w:highlight w:val="none"/>
        </w:rPr>
      </w:pPr>
      <w:r>
        <w:rPr>
          <w:rFonts w:hint="eastAsia" w:ascii="宋体" w:hAnsi="宋体"/>
          <w:color w:val="auto"/>
          <w:szCs w:val="21"/>
          <w:highlight w:val="none"/>
        </w:rPr>
        <w:t>5.</w:t>
      </w:r>
      <w:r>
        <w:rPr>
          <w:rFonts w:ascii="宋体" w:hAnsi="宋体"/>
          <w:color w:val="auto"/>
          <w:szCs w:val="21"/>
          <w:highlight w:val="none"/>
        </w:rPr>
        <w:t>4</w:t>
      </w:r>
      <w:r>
        <w:rPr>
          <w:rFonts w:hint="eastAsia" w:ascii="宋体" w:hAnsi="宋体" w:cs="宋体"/>
          <w:color w:val="auto"/>
          <w:szCs w:val="21"/>
          <w:highlight w:val="none"/>
        </w:rPr>
        <w:t>国家法律法规规定</w:t>
      </w:r>
      <w:r>
        <w:rPr>
          <w:rFonts w:hint="eastAsia" w:ascii="宋体" w:hAnsi="宋体"/>
          <w:color w:val="auto"/>
          <w:szCs w:val="21"/>
          <w:highlight w:val="none"/>
        </w:rPr>
        <w:t>及</w:t>
      </w:r>
      <w:r>
        <w:rPr>
          <w:rFonts w:hint="eastAsia" w:ascii="宋体" w:hAnsi="宋体" w:eastAsia="宋体" w:cs="宋体"/>
          <w:b/>
          <w:bCs/>
          <w:color w:val="auto"/>
          <w:szCs w:val="21"/>
          <w:highlight w:val="none"/>
        </w:rPr>
        <w:t>【政府采购合同专用条款】</w:t>
      </w:r>
      <w:r>
        <w:rPr>
          <w:rFonts w:hint="eastAsia" w:ascii="宋体" w:hAnsi="宋体" w:cs="宋体"/>
          <w:color w:val="auto"/>
          <w:szCs w:val="21"/>
          <w:highlight w:val="none"/>
        </w:rPr>
        <w:t>约定应</w:t>
      </w:r>
      <w:r>
        <w:rPr>
          <w:rFonts w:hint="eastAsia" w:ascii="宋体" w:hAnsi="宋体" w:cs="宋体"/>
          <w:color w:val="auto"/>
          <w:szCs w:val="21"/>
          <w:highlight w:val="none"/>
        </w:rPr>
        <w:t>由乙方承担的其他义务和责任。</w:t>
      </w:r>
    </w:p>
    <w:p w14:paraId="2CB2F117">
      <w:pPr>
        <w:numPr>
          <w:ilvl w:val="0"/>
          <w:numId w:val="5"/>
        </w:numPr>
        <w:autoSpaceDE w:val="0"/>
        <w:autoSpaceDN w:val="0"/>
        <w:adjustRightInd w:val="0"/>
        <w:snapToGrid w:val="0"/>
        <w:spacing w:line="400" w:lineRule="exact"/>
        <w:jc w:val="left"/>
        <w:rPr>
          <w:rFonts w:ascii="宋体" w:hAnsi="宋体"/>
          <w:b/>
          <w:bCs/>
          <w:color w:val="auto"/>
          <w:sz w:val="24"/>
          <w:highlight w:val="none"/>
        </w:rPr>
      </w:pPr>
      <w:r>
        <w:rPr>
          <w:rFonts w:hint="eastAsia" w:ascii="宋体" w:hAnsi="宋体"/>
          <w:b/>
          <w:bCs/>
          <w:color w:val="auto"/>
          <w:sz w:val="24"/>
          <w:highlight w:val="none"/>
        </w:rPr>
        <w:t>合同履行</w:t>
      </w:r>
    </w:p>
    <w:p w14:paraId="5FBAD3AC">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6.1 甲乙双方应当按照</w:t>
      </w:r>
      <w:r>
        <w:rPr>
          <w:rFonts w:hint="eastAsia" w:ascii="宋体" w:hAnsi="宋体" w:eastAsia="宋体" w:cs="宋体"/>
          <w:b/>
          <w:bCs/>
          <w:color w:val="auto"/>
          <w:szCs w:val="21"/>
          <w:highlight w:val="none"/>
        </w:rPr>
        <w:t>【政府采购合同专用条款】</w:t>
      </w:r>
      <w:r>
        <w:rPr>
          <w:rFonts w:hint="eastAsia" w:ascii="宋体" w:hAnsi="宋体"/>
          <w:color w:val="auto"/>
          <w:szCs w:val="21"/>
          <w:highlight w:val="none"/>
        </w:rPr>
        <w:t>约定顺序履行合同义务；如果没有先后顺序的，应当同时履行。</w:t>
      </w:r>
    </w:p>
    <w:p w14:paraId="73A43C17">
      <w:pPr>
        <w:autoSpaceDE w:val="0"/>
        <w:autoSpaceDN w:val="0"/>
        <w:adjustRightInd w:val="0"/>
        <w:snapToGrid w:val="0"/>
        <w:spacing w:line="400" w:lineRule="exact"/>
        <w:ind w:firstLine="420" w:firstLineChars="200"/>
        <w:jc w:val="left"/>
        <w:rPr>
          <w:color w:val="auto"/>
          <w:highlight w:val="none"/>
        </w:rPr>
      </w:pPr>
      <w:r>
        <w:rPr>
          <w:rFonts w:hint="eastAsia" w:ascii="宋体" w:hAnsi="宋体"/>
          <w:color w:val="auto"/>
          <w:szCs w:val="21"/>
          <w:highlight w:val="none"/>
        </w:rPr>
        <w:t>6.2 甲乙双方按照合同约定顺序履行合同义务时，应当先履行一方未履行的，后履行一方有权拒绝其履行请求。先履行一方履行不符合约定的，后履行一方有权拒绝其相应的履行请求。</w:t>
      </w:r>
    </w:p>
    <w:p w14:paraId="493DD334">
      <w:pPr>
        <w:adjustRightInd w:val="0"/>
        <w:snapToGrid w:val="0"/>
        <w:spacing w:line="400" w:lineRule="exact"/>
        <w:jc w:val="left"/>
        <w:rPr>
          <w:rFonts w:ascii="宋体" w:hAnsi="宋体"/>
          <w:b/>
          <w:bCs/>
          <w:color w:val="auto"/>
          <w:sz w:val="24"/>
          <w:highlight w:val="none"/>
        </w:rPr>
      </w:pPr>
      <w:r>
        <w:rPr>
          <w:rFonts w:hint="eastAsia" w:ascii="宋体" w:hAnsi="宋体"/>
          <w:b/>
          <w:bCs/>
          <w:color w:val="auto"/>
          <w:sz w:val="24"/>
          <w:highlight w:val="none"/>
        </w:rPr>
        <w:t>7. 货物包装、运输、保险和交付要求</w:t>
      </w:r>
    </w:p>
    <w:p w14:paraId="0A44377D">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7.1 本合同</w:t>
      </w:r>
      <w:r>
        <w:rPr>
          <w:rFonts w:hint="eastAsia" w:ascii="宋体" w:hAnsi="宋体"/>
          <w:bCs/>
          <w:color w:val="auto"/>
          <w:szCs w:val="21"/>
          <w:highlight w:val="none"/>
        </w:rPr>
        <w:t>涉及商品包装、快递包装的，</w:t>
      </w:r>
      <w:r>
        <w:rPr>
          <w:rFonts w:hint="eastAsia" w:ascii="宋体" w:hAnsi="宋体"/>
          <w:color w:val="auto"/>
          <w:szCs w:val="21"/>
          <w:highlight w:val="none"/>
        </w:rPr>
        <w:t>除</w:t>
      </w:r>
      <w:r>
        <w:rPr>
          <w:rFonts w:hint="eastAsia" w:ascii="宋体" w:hAnsi="宋体"/>
          <w:b/>
          <w:color w:val="auto"/>
          <w:szCs w:val="21"/>
          <w:highlight w:val="none"/>
        </w:rPr>
        <w:t>【政府采购合同专用条款】</w:t>
      </w:r>
      <w:r>
        <w:rPr>
          <w:rFonts w:hint="eastAsia" w:ascii="宋体" w:hAnsi="宋体"/>
          <w:bCs/>
          <w:color w:val="auto"/>
          <w:szCs w:val="21"/>
          <w:highlight w:val="none"/>
        </w:rPr>
        <w:t>另有约定外，</w:t>
      </w:r>
      <w:r>
        <w:rPr>
          <w:rFonts w:hint="eastAsia" w:ascii="宋体" w:hAnsi="宋体"/>
          <w:color w:val="auto"/>
          <w:szCs w:val="21"/>
          <w:highlight w:val="none"/>
        </w:rPr>
        <w:t>包装应适应远距离运输、防潮、防震、防锈和防野蛮装卸等要求，确保货物安全无损地运抵</w:t>
      </w:r>
      <w:r>
        <w:rPr>
          <w:rFonts w:hint="eastAsia" w:ascii="宋体" w:hAnsi="宋体"/>
          <w:b/>
          <w:color w:val="auto"/>
          <w:szCs w:val="21"/>
          <w:highlight w:val="none"/>
        </w:rPr>
        <w:t>【政府采购合同专用条款】</w:t>
      </w:r>
      <w:r>
        <w:rPr>
          <w:rFonts w:hint="eastAsia" w:ascii="宋体" w:hAnsi="宋体"/>
          <w:bCs/>
          <w:color w:val="auto"/>
          <w:szCs w:val="21"/>
          <w:highlight w:val="none"/>
        </w:rPr>
        <w:t>约定的</w:t>
      </w:r>
      <w:r>
        <w:rPr>
          <w:rFonts w:hint="eastAsia" w:ascii="宋体" w:hAnsi="宋体"/>
          <w:color w:val="auto"/>
          <w:szCs w:val="21"/>
          <w:highlight w:val="none"/>
        </w:rPr>
        <w:t>指定现场。</w:t>
      </w:r>
    </w:p>
    <w:p w14:paraId="307F87DA">
      <w:pPr>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7.2 除</w:t>
      </w:r>
      <w:r>
        <w:rPr>
          <w:rFonts w:hint="eastAsia" w:ascii="宋体" w:hAnsi="宋体"/>
          <w:b/>
          <w:color w:val="auto"/>
          <w:szCs w:val="21"/>
          <w:highlight w:val="none"/>
        </w:rPr>
        <w:t>【政府采购合同专用条款】</w:t>
      </w:r>
      <w:r>
        <w:rPr>
          <w:rFonts w:hint="eastAsia" w:ascii="宋体" w:hAnsi="宋体"/>
          <w:bCs/>
          <w:color w:val="auto"/>
          <w:szCs w:val="21"/>
          <w:highlight w:val="none"/>
        </w:rPr>
        <w:t>另有约定外，</w:t>
      </w:r>
      <w:r>
        <w:rPr>
          <w:rFonts w:hint="eastAsia" w:ascii="宋体" w:hAnsi="宋体"/>
          <w:color w:val="auto"/>
          <w:szCs w:val="21"/>
          <w:highlight w:val="none"/>
        </w:rPr>
        <w:t>乙方负责办理将货物运抵本合同规定的交货地点，并装卸、交付至甲方的一切运输事项，相关费用应包含在合同价款中。</w:t>
      </w:r>
    </w:p>
    <w:p w14:paraId="20B740E7">
      <w:pPr>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7.3 货物保险要求按</w:t>
      </w:r>
      <w:r>
        <w:rPr>
          <w:rFonts w:hint="eastAsia" w:ascii="宋体" w:hAnsi="宋体"/>
          <w:b/>
          <w:color w:val="auto"/>
          <w:szCs w:val="21"/>
          <w:highlight w:val="none"/>
        </w:rPr>
        <w:t>【政府采购合同专用条款】</w:t>
      </w:r>
      <w:r>
        <w:rPr>
          <w:rFonts w:hint="eastAsia" w:ascii="宋体" w:hAnsi="宋体"/>
          <w:bCs/>
          <w:color w:val="auto"/>
          <w:szCs w:val="21"/>
          <w:highlight w:val="none"/>
        </w:rPr>
        <w:t>规定执行</w:t>
      </w:r>
      <w:r>
        <w:rPr>
          <w:rFonts w:hint="eastAsia" w:ascii="宋体" w:hAnsi="宋体"/>
          <w:color w:val="auto"/>
          <w:szCs w:val="21"/>
          <w:highlight w:val="none"/>
        </w:rPr>
        <w:t>。</w:t>
      </w:r>
    </w:p>
    <w:p w14:paraId="76F9F8A0">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7.4 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72A168D0">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 xml:space="preserve">7.5 </w:t>
      </w:r>
      <w:r>
        <w:rPr>
          <w:rFonts w:hint="eastAsia" w:ascii="宋体" w:hAnsi="宋体" w:eastAsia="宋体" w:cs="宋体"/>
          <w:color w:val="auto"/>
          <w:szCs w:val="21"/>
          <w:highlight w:val="none"/>
        </w:rPr>
        <w:t>乙方在运输到达之前</w:t>
      </w:r>
      <w:r>
        <w:rPr>
          <w:rFonts w:hint="eastAsia" w:ascii="宋体" w:hAnsi="宋体" w:cs="宋体"/>
          <w:color w:val="auto"/>
          <w:szCs w:val="21"/>
          <w:highlight w:val="none"/>
        </w:rPr>
        <w:t>应</w:t>
      </w:r>
      <w:r>
        <w:rPr>
          <w:rFonts w:hint="eastAsia" w:ascii="宋体" w:hAnsi="宋体" w:eastAsia="宋体" w:cs="宋体"/>
          <w:color w:val="auto"/>
          <w:szCs w:val="21"/>
          <w:highlight w:val="none"/>
        </w:rPr>
        <w:t>提前通知</w:t>
      </w:r>
      <w:r>
        <w:rPr>
          <w:rFonts w:hint="eastAsia" w:ascii="宋体" w:hAnsi="宋体" w:cs="宋体"/>
          <w:color w:val="auto"/>
          <w:szCs w:val="21"/>
          <w:highlight w:val="none"/>
        </w:rPr>
        <w:t>甲方</w:t>
      </w:r>
      <w:r>
        <w:rPr>
          <w:rFonts w:hint="eastAsia" w:ascii="宋体" w:hAnsi="宋体" w:eastAsia="宋体" w:cs="宋体"/>
          <w:color w:val="auto"/>
          <w:szCs w:val="21"/>
          <w:highlight w:val="none"/>
        </w:rPr>
        <w:t>，并提示货物运输装卸的注意事项</w:t>
      </w:r>
      <w:r>
        <w:rPr>
          <w:rFonts w:hint="eastAsia" w:ascii="宋体" w:hAnsi="宋体" w:cs="宋体"/>
          <w:color w:val="auto"/>
          <w:szCs w:val="21"/>
          <w:highlight w:val="none"/>
        </w:rPr>
        <w:t>，甲方配合乙方做好货物的接收工作。</w:t>
      </w:r>
    </w:p>
    <w:p w14:paraId="3760CA05">
      <w:pPr>
        <w:pStyle w:val="2"/>
        <w:ind w:firstLine="420"/>
        <w:rPr>
          <w:color w:val="auto"/>
          <w:sz w:val="21"/>
          <w:highlight w:val="none"/>
        </w:rPr>
      </w:pPr>
      <w:r>
        <w:rPr>
          <w:rFonts w:hint="eastAsia" w:ascii="宋体" w:hAnsi="宋体" w:eastAsia="宋体" w:cs="Times New Roman"/>
          <w:color w:val="auto"/>
          <w:kern w:val="2"/>
          <w:sz w:val="21"/>
          <w:highlight w:val="none"/>
        </w:rPr>
        <w:t xml:space="preserve">7.6 </w:t>
      </w:r>
      <w:r>
        <w:rPr>
          <w:rFonts w:hint="eastAsia" w:ascii="宋体" w:hAnsi="宋体" w:eastAsia="宋体" w:cs="Times New Roman"/>
          <w:color w:val="auto"/>
          <w:kern w:val="2"/>
          <w:sz w:val="21"/>
          <w:highlight w:val="none"/>
        </w:rPr>
        <w:t>如因包装、运输问题导致货物</w:t>
      </w:r>
      <w:r>
        <w:rPr>
          <w:rFonts w:hint="eastAsia" w:ascii="宋体" w:hAnsi="宋体" w:eastAsia="宋体" w:cs="Times New Roman"/>
          <w:color w:val="auto"/>
          <w:kern w:val="2"/>
          <w:sz w:val="21"/>
          <w:highlight w:val="none"/>
        </w:rPr>
        <w:t>损毁、丢失</w:t>
      </w:r>
      <w:r>
        <w:rPr>
          <w:rFonts w:hint="eastAsia" w:ascii="宋体" w:hAnsi="宋体" w:eastAsia="宋体" w:cs="Times New Roman"/>
          <w:color w:val="auto"/>
          <w:kern w:val="2"/>
          <w:sz w:val="21"/>
          <w:highlight w:val="none"/>
        </w:rPr>
        <w:t>或者品质下降，甲方有权要求降价、换货、拒收部分或整批货物，由此产生的费用和损失，均由乙方承担。</w:t>
      </w:r>
    </w:p>
    <w:p w14:paraId="20938767">
      <w:pPr>
        <w:adjustRightInd w:val="0"/>
        <w:snapToGrid w:val="0"/>
        <w:spacing w:line="400" w:lineRule="exact"/>
        <w:jc w:val="left"/>
        <w:rPr>
          <w:rFonts w:ascii="宋体" w:hAnsi="宋体"/>
          <w:b/>
          <w:color w:val="auto"/>
          <w:sz w:val="24"/>
          <w:highlight w:val="none"/>
        </w:rPr>
      </w:pPr>
      <w:r>
        <w:rPr>
          <w:rFonts w:hint="eastAsia" w:ascii="宋体" w:hAnsi="宋体"/>
          <w:b/>
          <w:color w:val="auto"/>
          <w:sz w:val="24"/>
          <w:highlight w:val="none"/>
        </w:rPr>
        <w:t xml:space="preserve">8. </w:t>
      </w:r>
      <w:r>
        <w:rPr>
          <w:rFonts w:hint="eastAsia" w:ascii="宋体" w:hAnsi="宋体"/>
          <w:b/>
          <w:color w:val="auto"/>
          <w:sz w:val="24"/>
          <w:highlight w:val="none"/>
        </w:rPr>
        <w:t>质量标准和保证</w:t>
      </w:r>
    </w:p>
    <w:p w14:paraId="6D4A475A">
      <w:pPr>
        <w:pStyle w:val="6"/>
        <w:adjustRightInd w:val="0"/>
        <w:snapToGrid w:val="0"/>
        <w:spacing w:line="400" w:lineRule="exact"/>
        <w:ind w:firstLine="420" w:firstLineChars="200"/>
        <w:jc w:val="left"/>
        <w:rPr>
          <w:rFonts w:hAnsi="宋体"/>
          <w:b/>
          <w:color w:val="auto"/>
          <w:highlight w:val="none"/>
        </w:rPr>
      </w:pPr>
      <w:r>
        <w:rPr>
          <w:rFonts w:hint="eastAsia" w:hAnsi="宋体"/>
          <w:color w:val="auto"/>
          <w:highlight w:val="none"/>
        </w:rPr>
        <w:t>8.1 质量标准</w:t>
      </w:r>
    </w:p>
    <w:p w14:paraId="7A821EA3">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（1）本合同下提供的货物应符合合同</w:t>
      </w:r>
      <w:r>
        <w:rPr>
          <w:rFonts w:hint="eastAsia" w:ascii="宋体" w:hAnsi="宋体" w:cs="宋体"/>
          <w:color w:val="auto"/>
          <w:szCs w:val="21"/>
          <w:highlight w:val="none"/>
        </w:rPr>
        <w:t>约</w:t>
      </w:r>
      <w:r>
        <w:rPr>
          <w:rFonts w:hint="eastAsia" w:ascii="宋体" w:hAnsi="宋体" w:eastAsia="宋体" w:cs="宋体"/>
          <w:color w:val="auto"/>
          <w:szCs w:val="21"/>
          <w:highlight w:val="none"/>
        </w:rPr>
        <w:t>定的</w:t>
      </w:r>
      <w:r>
        <w:rPr>
          <w:rFonts w:hint="eastAsia" w:ascii="宋体" w:hAnsi="宋体" w:eastAsia="宋体" w:cs="宋体"/>
          <w:color w:val="auto"/>
          <w:szCs w:val="21"/>
          <w:highlight w:val="none"/>
        </w:rPr>
        <w:t>品牌、规格型号、技术性能、配置、质量、数量等要求。</w:t>
      </w:r>
      <w:r>
        <w:rPr>
          <w:rFonts w:hint="eastAsia" w:ascii="宋体" w:hAnsi="宋体"/>
          <w:color w:val="auto"/>
          <w:szCs w:val="21"/>
          <w:highlight w:val="none"/>
        </w:rPr>
        <w:t>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0F8D7E2C">
      <w:pPr>
        <w:pStyle w:val="6"/>
        <w:adjustRightInd w:val="0"/>
        <w:snapToGrid w:val="0"/>
        <w:spacing w:line="400" w:lineRule="exact"/>
        <w:ind w:firstLine="420" w:firstLineChars="200"/>
        <w:jc w:val="left"/>
        <w:rPr>
          <w:rFonts w:hAnsi="宋体"/>
          <w:color w:val="auto"/>
          <w:highlight w:val="none"/>
        </w:rPr>
      </w:pPr>
      <w:r>
        <w:rPr>
          <w:rFonts w:hint="eastAsia" w:hAnsi="宋体"/>
          <w:color w:val="auto"/>
          <w:highlight w:val="none"/>
        </w:rPr>
        <w:t>（2）采用中华人民共和国法定计量单位。</w:t>
      </w:r>
    </w:p>
    <w:p w14:paraId="3CF804AC">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（3）乙方所提供的货物应符合国家有关安全、环保、卫生的规定。</w:t>
      </w:r>
    </w:p>
    <w:p w14:paraId="3AFCEBC3">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（4）乙方应向甲方提交所提供货物的技术文件，包括相应的中文技术文件，如：产品目录、图纸、操作手册、使用说明、维护手册或服务指南等。上述文件应包装好随货物一同发运。</w:t>
      </w:r>
    </w:p>
    <w:p w14:paraId="7F0211DB">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8.2 保证</w:t>
      </w:r>
    </w:p>
    <w:p w14:paraId="1C27805F">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（1）乙方应保证提供的货物完全符合合同规定的质量、规格和性能要求。乙方应保证货物在正确安装、正常使用和保养条件下，</w:t>
      </w:r>
      <w:r>
        <w:rPr>
          <w:rFonts w:hint="eastAsia" w:ascii="宋体" w:hAnsi="宋体" w:eastAsia="宋体" w:cs="宋体"/>
          <w:color w:val="auto"/>
          <w:szCs w:val="21"/>
          <w:highlight w:val="none"/>
        </w:rPr>
        <w:t>在其使用寿命期内具</w:t>
      </w:r>
      <w:r>
        <w:rPr>
          <w:rFonts w:hint="eastAsia" w:ascii="宋体" w:hAnsi="宋体" w:cs="宋体"/>
          <w:color w:val="auto"/>
          <w:szCs w:val="21"/>
          <w:highlight w:val="none"/>
        </w:rPr>
        <w:t>备合同约定</w:t>
      </w:r>
      <w:r>
        <w:rPr>
          <w:rFonts w:hint="eastAsia" w:ascii="宋体" w:hAnsi="宋体" w:eastAsia="宋体" w:cs="宋体"/>
          <w:color w:val="auto"/>
          <w:szCs w:val="21"/>
          <w:highlight w:val="none"/>
        </w:rPr>
        <w:t>的性能</w:t>
      </w:r>
      <w:r>
        <w:rPr>
          <w:rFonts w:hint="eastAsia" w:ascii="宋体" w:hAnsi="宋体"/>
          <w:color w:val="auto"/>
          <w:szCs w:val="21"/>
          <w:highlight w:val="none"/>
        </w:rPr>
        <w:t>。存在质量保证期的，货物最终交付验收合格后在</w:t>
      </w:r>
      <w:r>
        <w:rPr>
          <w:rFonts w:hint="eastAsia" w:ascii="宋体" w:hAnsi="宋体"/>
          <w:b/>
          <w:color w:val="auto"/>
          <w:szCs w:val="21"/>
          <w:highlight w:val="none"/>
        </w:rPr>
        <w:t>【政府采购合同专用条款】</w:t>
      </w:r>
      <w:r>
        <w:rPr>
          <w:rFonts w:hint="eastAsia" w:ascii="宋体" w:hAnsi="宋体"/>
          <w:color w:val="auto"/>
          <w:szCs w:val="21"/>
          <w:highlight w:val="none"/>
        </w:rPr>
        <w:t>规定或乙方书面承诺（两者以较长的为准）的质量保证期内，本保证保持有效。</w:t>
      </w:r>
    </w:p>
    <w:p w14:paraId="68DE5C74">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（2）在质量保证期内所发现的缺陷，甲方应尽快以书面形式通知乙方。</w:t>
      </w:r>
    </w:p>
    <w:p w14:paraId="7A810F80">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（3）乙方收到通知后，应在</w:t>
      </w:r>
      <w:r>
        <w:rPr>
          <w:rFonts w:hint="eastAsia" w:ascii="宋体" w:hAnsi="宋体"/>
          <w:b/>
          <w:color w:val="auto"/>
          <w:szCs w:val="21"/>
          <w:highlight w:val="none"/>
        </w:rPr>
        <w:t>【政府采购合同专用条款】</w:t>
      </w:r>
      <w:r>
        <w:rPr>
          <w:rFonts w:hint="eastAsia" w:ascii="宋体" w:hAnsi="宋体"/>
          <w:color w:val="auto"/>
          <w:szCs w:val="21"/>
          <w:highlight w:val="none"/>
        </w:rPr>
        <w:t>规定的响应时间内以合理的速度免费维修或更换有缺陷的货物或部件。</w:t>
      </w:r>
    </w:p>
    <w:p w14:paraId="34BEC022">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（4）在质量保证期内，如果货物的质量或规格与合同不符，或证实货物是有缺陷的，包括潜在的缺陷或使用不符合要求的材料等，甲方可以根据本合同第1</w:t>
      </w:r>
      <w:r>
        <w:rPr>
          <w:rFonts w:hint="eastAsia" w:ascii="宋体" w:hAnsi="宋体"/>
          <w:color w:val="auto"/>
          <w:szCs w:val="21"/>
          <w:highlight w:val="none"/>
        </w:rPr>
        <w:t>5</w:t>
      </w:r>
      <w:r>
        <w:rPr>
          <w:rFonts w:hint="eastAsia" w:ascii="宋体" w:hAnsi="宋体"/>
          <w:color w:val="auto"/>
          <w:szCs w:val="21"/>
          <w:highlight w:val="none"/>
        </w:rPr>
        <w:t>.1条规定以书面形式</w:t>
      </w:r>
      <w:r>
        <w:rPr>
          <w:rFonts w:hint="eastAsia" w:ascii="宋体" w:hAnsi="宋体"/>
          <w:color w:val="auto"/>
          <w:szCs w:val="21"/>
          <w:highlight w:val="none"/>
        </w:rPr>
        <w:t>追究</w:t>
      </w:r>
      <w:r>
        <w:rPr>
          <w:rFonts w:hint="eastAsia" w:ascii="宋体" w:hAnsi="宋体"/>
          <w:color w:val="auto"/>
          <w:szCs w:val="21"/>
          <w:highlight w:val="none"/>
        </w:rPr>
        <w:t>乙方</w:t>
      </w:r>
      <w:r>
        <w:rPr>
          <w:rFonts w:hint="eastAsia" w:ascii="宋体" w:hAnsi="宋体"/>
          <w:color w:val="auto"/>
          <w:szCs w:val="21"/>
          <w:highlight w:val="none"/>
        </w:rPr>
        <w:t>的违约责任</w:t>
      </w:r>
      <w:r>
        <w:rPr>
          <w:rFonts w:hint="eastAsia" w:ascii="宋体" w:hAnsi="宋体"/>
          <w:color w:val="auto"/>
          <w:szCs w:val="21"/>
          <w:highlight w:val="none"/>
        </w:rPr>
        <w:t>。</w:t>
      </w:r>
    </w:p>
    <w:p w14:paraId="54CD55A8">
      <w:pPr>
        <w:adjustRightInd w:val="0"/>
        <w:snapToGrid w:val="0"/>
        <w:spacing w:line="400" w:lineRule="exact"/>
        <w:ind w:firstLine="420" w:firstLineChars="200"/>
        <w:jc w:val="left"/>
        <w:rPr>
          <w:color w:val="auto"/>
          <w:highlight w:val="none"/>
        </w:rPr>
      </w:pPr>
      <w:r>
        <w:rPr>
          <w:rFonts w:hint="eastAsia" w:ascii="宋体" w:hAnsi="宋体"/>
          <w:color w:val="auto"/>
          <w:szCs w:val="21"/>
          <w:highlight w:val="none"/>
        </w:rPr>
        <w:t>（5）乙方在约定的时间内未能弥补缺陷，甲方可采取必要的补救措施，但其风险和费用将由乙方承担，甲方根据合同约定对乙方行使的其他权利不受影响。</w:t>
      </w:r>
    </w:p>
    <w:p w14:paraId="66708F2D">
      <w:pPr>
        <w:adjustRightInd w:val="0"/>
        <w:snapToGrid w:val="0"/>
        <w:spacing w:line="400" w:lineRule="exact"/>
        <w:jc w:val="left"/>
        <w:rPr>
          <w:rFonts w:ascii="宋体" w:hAnsi="宋体"/>
          <w:b/>
          <w:bCs/>
          <w:color w:val="auto"/>
          <w:sz w:val="24"/>
          <w:highlight w:val="none"/>
        </w:rPr>
      </w:pPr>
      <w:r>
        <w:rPr>
          <w:rFonts w:hint="eastAsia" w:ascii="宋体" w:hAnsi="宋体"/>
          <w:b/>
          <w:bCs/>
          <w:color w:val="auto"/>
          <w:sz w:val="24"/>
          <w:highlight w:val="none"/>
        </w:rPr>
        <w:t>9</w:t>
      </w:r>
      <w:r>
        <w:rPr>
          <w:rFonts w:hint="eastAsia" w:ascii="宋体" w:hAnsi="宋体"/>
          <w:b/>
          <w:bCs/>
          <w:color w:val="auto"/>
          <w:sz w:val="24"/>
          <w:highlight w:val="none"/>
        </w:rPr>
        <w:t>.</w:t>
      </w:r>
      <w:r>
        <w:rPr>
          <w:rFonts w:hint="eastAsia" w:ascii="宋体" w:hAnsi="宋体"/>
          <w:b/>
          <w:bCs/>
          <w:color w:val="auto"/>
          <w:sz w:val="24"/>
          <w:highlight w:val="none"/>
        </w:rPr>
        <w:t xml:space="preserve"> </w:t>
      </w:r>
      <w:r>
        <w:rPr>
          <w:rFonts w:hint="eastAsia" w:ascii="宋体" w:hAnsi="宋体"/>
          <w:b/>
          <w:bCs/>
          <w:color w:val="auto"/>
          <w:sz w:val="24"/>
          <w:highlight w:val="none"/>
        </w:rPr>
        <w:t>权利瑕疵担保</w:t>
      </w:r>
    </w:p>
    <w:p w14:paraId="563AA224">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9.1 乙方保证对其出售的货物享有合法的权利。</w:t>
      </w:r>
    </w:p>
    <w:p w14:paraId="742F19A4">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 xml:space="preserve">9.2 </w:t>
      </w:r>
      <w:r>
        <w:rPr>
          <w:rFonts w:hint="eastAsia" w:ascii="宋体" w:hAnsi="宋体" w:eastAsia="宋体" w:cs="宋体"/>
          <w:color w:val="auto"/>
          <w:szCs w:val="15"/>
          <w:highlight w:val="none"/>
        </w:rPr>
        <w:t>乙方保证在交付的货物上不存在抵押权等担保物权。</w:t>
      </w:r>
    </w:p>
    <w:p w14:paraId="12DF79F6">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9.3 如甲方使用上述货物构成对第三人侵权的，则由乙方承担全部责任。</w:t>
      </w:r>
    </w:p>
    <w:p w14:paraId="0FFBB078">
      <w:pPr>
        <w:autoSpaceDE w:val="0"/>
        <w:autoSpaceDN w:val="0"/>
        <w:adjustRightInd w:val="0"/>
        <w:snapToGrid w:val="0"/>
        <w:spacing w:line="400" w:lineRule="exact"/>
        <w:jc w:val="left"/>
        <w:rPr>
          <w:rFonts w:ascii="宋体" w:hAnsi="宋体"/>
          <w:b/>
          <w:bCs/>
          <w:color w:val="auto"/>
          <w:sz w:val="24"/>
          <w:highlight w:val="none"/>
        </w:rPr>
      </w:pPr>
      <w:r>
        <w:rPr>
          <w:rFonts w:hint="eastAsia" w:ascii="宋体" w:hAnsi="宋体"/>
          <w:b/>
          <w:bCs/>
          <w:color w:val="auto"/>
          <w:sz w:val="24"/>
          <w:highlight w:val="none"/>
        </w:rPr>
        <w:t>10. 知识产权保护</w:t>
      </w:r>
    </w:p>
    <w:p w14:paraId="0D00FD9D">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10.1 乙方对其所销售的货物应当享有知识产权或经权利人合法授权，保证没有侵犯任</w:t>
      </w:r>
      <w:r>
        <w:rPr>
          <w:rFonts w:hint="eastAsia" w:ascii="宋体" w:hAnsi="宋体"/>
          <w:color w:val="auto"/>
          <w:szCs w:val="21"/>
          <w:highlight w:val="none"/>
        </w:rPr>
        <w:t>何第三人的知识产权等权利。</w:t>
      </w:r>
      <w:bookmarkStart w:id="2" w:name="_Hlk163047038"/>
      <w:r>
        <w:rPr>
          <w:rFonts w:hint="eastAsia" w:ascii="宋体" w:hAnsi="宋体" w:eastAsia="宋体" w:cs="宋体"/>
          <w:color w:val="auto"/>
          <w:szCs w:val="15"/>
          <w:highlight w:val="none"/>
        </w:rPr>
        <w:t>因违反前述约定对第三人构成侵权的，应当由乙方向第三人承担法律责任；甲方依法向第三人赔偿后，有权向乙方追偿。甲方有其他损失的，乙方应当赔偿</w:t>
      </w:r>
      <w:bookmarkEnd w:id="2"/>
      <w:r>
        <w:rPr>
          <w:rFonts w:hint="eastAsia" w:ascii="宋体" w:hAnsi="宋体"/>
          <w:color w:val="auto"/>
          <w:szCs w:val="21"/>
          <w:highlight w:val="none"/>
        </w:rPr>
        <w:t>。</w:t>
      </w:r>
    </w:p>
    <w:p w14:paraId="41D0ACE9">
      <w:pPr>
        <w:autoSpaceDE w:val="0"/>
        <w:autoSpaceDN w:val="0"/>
        <w:adjustRightInd w:val="0"/>
        <w:snapToGrid w:val="0"/>
        <w:spacing w:line="400" w:lineRule="exact"/>
        <w:jc w:val="left"/>
        <w:rPr>
          <w:rFonts w:ascii="宋体" w:hAnsi="宋体"/>
          <w:b/>
          <w:bCs/>
          <w:color w:val="auto"/>
          <w:sz w:val="24"/>
          <w:highlight w:val="none"/>
        </w:rPr>
      </w:pPr>
      <w:r>
        <w:rPr>
          <w:rFonts w:hint="eastAsia" w:ascii="宋体" w:hAnsi="宋体"/>
          <w:b/>
          <w:bCs/>
          <w:color w:val="auto"/>
          <w:sz w:val="24"/>
          <w:highlight w:val="none"/>
        </w:rPr>
        <w:t>11. 保密义务</w:t>
      </w:r>
    </w:p>
    <w:p w14:paraId="45901F39">
      <w:pPr>
        <w:autoSpaceDE w:val="0"/>
        <w:autoSpaceDN w:val="0"/>
        <w:adjustRightInd w:val="0"/>
        <w:snapToGrid w:val="0"/>
        <w:spacing w:line="400" w:lineRule="exact"/>
        <w:ind w:firstLine="420" w:firstLineChars="200"/>
        <w:jc w:val="left"/>
        <w:rPr>
          <w:rFonts w:ascii="宋体" w:hAnsi="宋体" w:eastAsia="宋体" w:cs="宋体"/>
          <w:color w:val="auto"/>
          <w:szCs w:val="15"/>
          <w:highlight w:val="none"/>
        </w:rPr>
      </w:pPr>
      <w:r>
        <w:rPr>
          <w:rFonts w:hint="eastAsia" w:ascii="宋体" w:hAnsi="宋体" w:cs="宋体"/>
          <w:color w:val="auto"/>
          <w:szCs w:val="15"/>
          <w:highlight w:val="none"/>
        </w:rPr>
        <w:t xml:space="preserve">11.1 </w:t>
      </w:r>
      <w:r>
        <w:rPr>
          <w:rFonts w:hint="eastAsia" w:ascii="宋体" w:hAnsi="宋体" w:eastAsia="宋体" w:cs="宋体"/>
          <w:color w:val="auto"/>
          <w:szCs w:val="15"/>
          <w:highlight w:val="none"/>
        </w:rPr>
        <w:t>甲、乙双方</w:t>
      </w:r>
      <w:r>
        <w:rPr>
          <w:rFonts w:hint="eastAsia" w:ascii="宋体" w:hAnsi="宋体" w:cs="宋体"/>
          <w:color w:val="auto"/>
          <w:szCs w:val="15"/>
          <w:highlight w:val="none"/>
        </w:rPr>
        <w:t>对</w:t>
      </w:r>
      <w:r>
        <w:rPr>
          <w:rFonts w:hint="eastAsia" w:ascii="宋体" w:hAnsi="宋体" w:eastAsia="宋体" w:cs="宋体"/>
          <w:color w:val="auto"/>
          <w:szCs w:val="15"/>
          <w:highlight w:val="none"/>
        </w:rPr>
        <w:t>采购和合同履行过程中所获悉的</w:t>
      </w:r>
      <w:r>
        <w:rPr>
          <w:rFonts w:hint="eastAsia" w:ascii="宋体" w:hAnsi="宋体" w:cs="宋体"/>
          <w:color w:val="auto"/>
          <w:szCs w:val="15"/>
          <w:highlight w:val="none"/>
        </w:rPr>
        <w:t>国家秘密、工作秘密、</w:t>
      </w:r>
      <w:r>
        <w:rPr>
          <w:rFonts w:hint="eastAsia" w:ascii="宋体" w:hAnsi="宋体" w:eastAsia="宋体" w:cs="宋体"/>
          <w:color w:val="auto"/>
          <w:szCs w:val="15"/>
          <w:highlight w:val="none"/>
        </w:rPr>
        <w:t>商业秘密或者其他应当保密的信息，均有保密义务</w:t>
      </w:r>
      <w:r>
        <w:rPr>
          <w:rFonts w:hint="eastAsia" w:ascii="宋体" w:hAnsi="宋体" w:cs="宋体"/>
          <w:color w:val="auto"/>
          <w:szCs w:val="15"/>
          <w:highlight w:val="none"/>
        </w:rPr>
        <w:t>且不受合同有效期所限，直至该信息成为公开信息</w:t>
      </w:r>
      <w:r>
        <w:rPr>
          <w:rFonts w:hint="eastAsia" w:ascii="宋体" w:hAnsi="宋体" w:eastAsia="宋体" w:cs="宋体"/>
          <w:color w:val="auto"/>
          <w:szCs w:val="15"/>
          <w:highlight w:val="none"/>
        </w:rPr>
        <w:t>。泄露、不正当地使用</w:t>
      </w:r>
      <w:r>
        <w:rPr>
          <w:rFonts w:hint="eastAsia" w:ascii="宋体" w:hAnsi="宋体" w:cs="宋体"/>
          <w:color w:val="auto"/>
          <w:szCs w:val="15"/>
          <w:highlight w:val="none"/>
        </w:rPr>
        <w:t>国家秘密、工作秘密、</w:t>
      </w:r>
      <w:r>
        <w:rPr>
          <w:rFonts w:hint="eastAsia" w:ascii="宋体" w:hAnsi="宋体" w:eastAsia="宋体" w:cs="宋体"/>
          <w:color w:val="auto"/>
          <w:szCs w:val="15"/>
          <w:highlight w:val="none"/>
        </w:rPr>
        <w:t>商业秘密或者</w:t>
      </w:r>
      <w:r>
        <w:rPr>
          <w:rFonts w:hint="eastAsia" w:ascii="宋体" w:hAnsi="宋体" w:cs="宋体"/>
          <w:color w:val="auto"/>
          <w:szCs w:val="15"/>
          <w:highlight w:val="none"/>
        </w:rPr>
        <w:t>其他应当保密的</w:t>
      </w:r>
      <w:r>
        <w:rPr>
          <w:rFonts w:hint="eastAsia" w:ascii="宋体" w:hAnsi="宋体" w:eastAsia="宋体" w:cs="宋体"/>
          <w:color w:val="auto"/>
          <w:szCs w:val="15"/>
          <w:highlight w:val="none"/>
        </w:rPr>
        <w:t>信息，应当承担</w:t>
      </w:r>
      <w:r>
        <w:rPr>
          <w:rFonts w:hint="eastAsia" w:ascii="宋体" w:hAnsi="宋体" w:cs="宋体"/>
          <w:color w:val="auto"/>
          <w:szCs w:val="15"/>
          <w:highlight w:val="none"/>
        </w:rPr>
        <w:t>相应</w:t>
      </w:r>
      <w:r>
        <w:rPr>
          <w:rFonts w:hint="eastAsia" w:ascii="宋体" w:hAnsi="宋体" w:eastAsia="宋体" w:cs="宋体"/>
          <w:color w:val="auto"/>
          <w:szCs w:val="15"/>
          <w:highlight w:val="none"/>
        </w:rPr>
        <w:t>责任。其他应当保密的信息由双方在</w:t>
      </w:r>
      <w:r>
        <w:rPr>
          <w:rFonts w:hint="eastAsia" w:ascii="宋体" w:hAnsi="宋体" w:eastAsia="宋体" w:cs="宋体"/>
          <w:b/>
          <w:bCs/>
          <w:color w:val="auto"/>
          <w:szCs w:val="15"/>
          <w:highlight w:val="none"/>
        </w:rPr>
        <w:t>【政府采购合同专用条款】</w:t>
      </w:r>
      <w:r>
        <w:rPr>
          <w:rFonts w:hint="eastAsia" w:ascii="宋体" w:hAnsi="宋体" w:eastAsia="宋体" w:cs="宋体"/>
          <w:color w:val="auto"/>
          <w:szCs w:val="15"/>
          <w:highlight w:val="none"/>
        </w:rPr>
        <w:t>中约定。</w:t>
      </w:r>
    </w:p>
    <w:p w14:paraId="15401AD1">
      <w:pPr>
        <w:autoSpaceDE w:val="0"/>
        <w:autoSpaceDN w:val="0"/>
        <w:adjustRightInd w:val="0"/>
        <w:snapToGrid w:val="0"/>
        <w:spacing w:line="400" w:lineRule="exact"/>
        <w:jc w:val="left"/>
        <w:rPr>
          <w:rFonts w:ascii="宋体" w:hAnsi="宋体"/>
          <w:b/>
          <w:bCs/>
          <w:color w:val="auto"/>
          <w:sz w:val="24"/>
          <w:highlight w:val="none"/>
        </w:rPr>
      </w:pPr>
      <w:r>
        <w:rPr>
          <w:rFonts w:hint="eastAsia" w:ascii="宋体" w:hAnsi="宋体"/>
          <w:b/>
          <w:bCs/>
          <w:color w:val="auto"/>
          <w:sz w:val="24"/>
          <w:highlight w:val="none"/>
        </w:rPr>
        <w:t>12. 合同价款支付</w:t>
      </w:r>
    </w:p>
    <w:p w14:paraId="69D5218D">
      <w:pPr>
        <w:adjustRightInd w:val="0"/>
        <w:snapToGrid w:val="0"/>
        <w:spacing w:line="400" w:lineRule="exact"/>
        <w:ind w:firstLine="420" w:firstLineChars="200"/>
        <w:jc w:val="left"/>
        <w:rPr>
          <w:rFonts w:ascii="宋体" w:hAnsi="宋体" w:eastAsia="宋体"/>
          <w:color w:val="auto"/>
          <w:szCs w:val="21"/>
          <w:highlight w:val="none"/>
        </w:rPr>
      </w:pPr>
      <w:r>
        <w:rPr>
          <w:rFonts w:hint="eastAsia" w:ascii="宋体" w:hAnsi="宋体"/>
          <w:color w:val="auto"/>
          <w:szCs w:val="21"/>
          <w:highlight w:val="none"/>
        </w:rPr>
        <w:t>12.1 合同价款支付按照国库集中支付制度及财政管理相关规定执行。</w:t>
      </w:r>
    </w:p>
    <w:p w14:paraId="55696641">
      <w:pPr>
        <w:adjustRightInd w:val="0"/>
        <w:snapToGrid w:val="0"/>
        <w:spacing w:line="400" w:lineRule="exact"/>
        <w:ind w:firstLine="420" w:firstLineChars="200"/>
        <w:jc w:val="left"/>
        <w:rPr>
          <w:rFonts w:eastAsia="宋体"/>
          <w:color w:val="auto"/>
          <w:highlight w:val="none"/>
        </w:rPr>
      </w:pPr>
      <w:r>
        <w:rPr>
          <w:rFonts w:hint="eastAsia" w:ascii="宋体" w:hAnsi="宋体" w:cs="Times New Roman"/>
          <w:color w:val="auto"/>
          <w:szCs w:val="21"/>
          <w:highlight w:val="none"/>
        </w:rPr>
        <w:t xml:space="preserve">12.2 </w:t>
      </w:r>
      <w:r>
        <w:rPr>
          <w:rFonts w:hint="eastAsia" w:ascii="宋体" w:hAnsi="宋体" w:eastAsia="宋体" w:cs="Times New Roman"/>
          <w:color w:val="auto"/>
          <w:szCs w:val="21"/>
          <w:highlight w:val="none"/>
        </w:rPr>
        <w:t>对于满足合同</w:t>
      </w:r>
      <w:r>
        <w:rPr>
          <w:rFonts w:hint="eastAsia" w:ascii="宋体" w:hAnsi="宋体"/>
          <w:color w:val="auto"/>
          <w:szCs w:val="21"/>
          <w:highlight w:val="none"/>
        </w:rPr>
        <w:t>约定</w:t>
      </w:r>
      <w:r>
        <w:rPr>
          <w:rFonts w:hint="eastAsia" w:ascii="宋体" w:hAnsi="宋体" w:eastAsia="宋体" w:cs="Times New Roman"/>
          <w:color w:val="auto"/>
          <w:szCs w:val="21"/>
          <w:highlight w:val="none"/>
        </w:rPr>
        <w:t>支付条件的，甲方原则上应当自收到发票后10个工作日内将资金支付到合同约定的</w:t>
      </w:r>
      <w:r>
        <w:rPr>
          <w:rFonts w:hint="eastAsia" w:ascii="宋体" w:hAnsi="宋体" w:cs="Times New Roman"/>
          <w:color w:val="auto"/>
          <w:szCs w:val="21"/>
          <w:highlight w:val="none"/>
        </w:rPr>
        <w:t>乙方</w:t>
      </w:r>
      <w:r>
        <w:rPr>
          <w:rFonts w:hint="eastAsia" w:ascii="宋体" w:hAnsi="宋体" w:eastAsia="宋体" w:cs="Times New Roman"/>
          <w:color w:val="auto"/>
          <w:szCs w:val="21"/>
          <w:highlight w:val="none"/>
        </w:rPr>
        <w:t>账户，不得以机构变动、人员更替、政策调整等为由迟延付款，不得将采购文件和合同中未规定的义务作为向乙方付款的条件。具体合同价款支付时间在【</w:t>
      </w:r>
      <w:r>
        <w:rPr>
          <w:rFonts w:hint="eastAsia" w:ascii="宋体" w:hAnsi="宋体" w:eastAsia="宋体" w:cs="Times New Roman"/>
          <w:b/>
          <w:bCs/>
          <w:color w:val="auto"/>
          <w:szCs w:val="21"/>
          <w:highlight w:val="none"/>
        </w:rPr>
        <w:t>政府采购合同专用条款</w:t>
      </w:r>
      <w:r>
        <w:rPr>
          <w:rFonts w:hint="eastAsia" w:ascii="宋体" w:hAnsi="宋体" w:eastAsia="宋体" w:cs="Times New Roman"/>
          <w:color w:val="auto"/>
          <w:szCs w:val="21"/>
          <w:highlight w:val="none"/>
        </w:rPr>
        <w:t>】中</w:t>
      </w:r>
      <w:r>
        <w:rPr>
          <w:rFonts w:hint="eastAsia" w:ascii="宋体" w:hAnsi="宋体" w:cs="Times New Roman"/>
          <w:color w:val="auto"/>
          <w:szCs w:val="21"/>
          <w:highlight w:val="none"/>
        </w:rPr>
        <w:t>约</w:t>
      </w:r>
      <w:r>
        <w:rPr>
          <w:rFonts w:hint="eastAsia" w:ascii="宋体" w:hAnsi="宋体" w:eastAsia="宋体" w:cs="Times New Roman"/>
          <w:color w:val="auto"/>
          <w:szCs w:val="21"/>
          <w:highlight w:val="none"/>
        </w:rPr>
        <w:t>定。</w:t>
      </w:r>
    </w:p>
    <w:p w14:paraId="3F382131">
      <w:pPr>
        <w:pStyle w:val="4"/>
        <w:spacing w:after="0" w:line="400" w:lineRule="exact"/>
        <w:rPr>
          <w:rFonts w:ascii="宋体" w:hAnsi="宋体"/>
          <w:b/>
          <w:bCs/>
          <w:color w:val="auto"/>
          <w:sz w:val="24"/>
          <w:szCs w:val="24"/>
          <w:highlight w:val="none"/>
        </w:rPr>
      </w:pPr>
      <w:r>
        <w:rPr>
          <w:rFonts w:hint="eastAsia" w:ascii="宋体" w:hAnsi="宋体"/>
          <w:b/>
          <w:bCs/>
          <w:color w:val="auto"/>
          <w:sz w:val="24"/>
          <w:szCs w:val="24"/>
          <w:highlight w:val="none"/>
        </w:rPr>
        <w:t>13. 履约保证金</w:t>
      </w:r>
    </w:p>
    <w:p w14:paraId="713889FE">
      <w:pPr>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 xml:space="preserve">13.1 </w:t>
      </w:r>
      <w:r>
        <w:rPr>
          <w:rFonts w:hint="eastAsia" w:ascii="宋体" w:hAnsi="宋体" w:eastAsia="宋体" w:cs="宋体"/>
          <w:color w:val="auto"/>
          <w:szCs w:val="15"/>
          <w:highlight w:val="none"/>
        </w:rPr>
        <w:t>乙方应当以支票、汇票、本票或者金融机构、担保机构出具的保函等非现金形式提交。</w:t>
      </w:r>
    </w:p>
    <w:p w14:paraId="00C40EE2">
      <w:pPr>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13.2 如果乙方出现</w:t>
      </w:r>
      <w:r>
        <w:rPr>
          <w:rFonts w:hint="eastAsia" w:ascii="宋体" w:hAnsi="宋体" w:eastAsia="宋体" w:cs="宋体"/>
          <w:b/>
          <w:bCs/>
          <w:color w:val="auto"/>
          <w:szCs w:val="15"/>
          <w:highlight w:val="none"/>
        </w:rPr>
        <w:t>【政府采购合同专用条款】</w:t>
      </w:r>
      <w:r>
        <w:rPr>
          <w:rFonts w:hint="eastAsia" w:ascii="宋体" w:hAnsi="宋体" w:cs="宋体"/>
          <w:color w:val="auto"/>
          <w:szCs w:val="15"/>
          <w:highlight w:val="none"/>
        </w:rPr>
        <w:t>约定情形的</w:t>
      </w:r>
      <w:r>
        <w:rPr>
          <w:rFonts w:hint="eastAsia" w:ascii="宋体" w:hAnsi="宋体"/>
          <w:color w:val="auto"/>
          <w:szCs w:val="21"/>
          <w:highlight w:val="none"/>
        </w:rPr>
        <w:t>，履约保证金不予退还；如果乙方未能按合同约定全面履行义务，甲方有权从履约保证金中取得补偿或赔偿，且不影响甲方要求乙方承担合同约定的超过履约保证金的违约责任的权利。</w:t>
      </w:r>
    </w:p>
    <w:p w14:paraId="6DD1E09A">
      <w:pPr>
        <w:spacing w:line="400" w:lineRule="exact"/>
        <w:ind w:firstLine="420"/>
        <w:rPr>
          <w:color w:val="auto"/>
          <w:highlight w:val="none"/>
        </w:rPr>
      </w:pPr>
      <w:r>
        <w:rPr>
          <w:rFonts w:hint="eastAsia" w:ascii="宋体" w:hAnsi="宋体"/>
          <w:color w:val="auto"/>
          <w:szCs w:val="21"/>
          <w:highlight w:val="none"/>
        </w:rPr>
        <w:t>13.3 甲方在项目通过验收后按照</w:t>
      </w:r>
      <w:r>
        <w:rPr>
          <w:rFonts w:hint="eastAsia" w:ascii="宋体" w:hAnsi="宋体"/>
          <w:b/>
          <w:color w:val="auto"/>
          <w:szCs w:val="21"/>
          <w:highlight w:val="none"/>
        </w:rPr>
        <w:t>【政府采购合同专用条款】</w:t>
      </w:r>
      <w:r>
        <w:rPr>
          <w:rFonts w:hint="eastAsia" w:ascii="宋体" w:hAnsi="宋体"/>
          <w:color w:val="auto"/>
          <w:szCs w:val="21"/>
          <w:highlight w:val="none"/>
        </w:rPr>
        <w:t>规定的时间内将履约保证金退还乙方；逾期退还的，乙方可要求甲方支付违约金，违约金按照</w:t>
      </w:r>
      <w:r>
        <w:rPr>
          <w:rFonts w:hint="eastAsia" w:ascii="宋体" w:hAnsi="宋体"/>
          <w:b/>
          <w:color w:val="auto"/>
          <w:szCs w:val="21"/>
          <w:highlight w:val="none"/>
        </w:rPr>
        <w:t>【政府采购合同专用条款】</w:t>
      </w:r>
      <w:r>
        <w:rPr>
          <w:rFonts w:hint="eastAsia" w:ascii="宋体" w:hAnsi="宋体"/>
          <w:color w:val="auto"/>
          <w:szCs w:val="21"/>
          <w:highlight w:val="none"/>
        </w:rPr>
        <w:t>规定支付。</w:t>
      </w:r>
    </w:p>
    <w:p w14:paraId="0C5FA875">
      <w:pPr>
        <w:autoSpaceDE w:val="0"/>
        <w:autoSpaceDN w:val="0"/>
        <w:adjustRightInd w:val="0"/>
        <w:snapToGrid w:val="0"/>
        <w:spacing w:line="400" w:lineRule="exact"/>
        <w:jc w:val="left"/>
        <w:rPr>
          <w:rFonts w:ascii="宋体" w:hAnsi="宋体"/>
          <w:b/>
          <w:color w:val="auto"/>
          <w:sz w:val="24"/>
          <w:highlight w:val="none"/>
        </w:rPr>
      </w:pPr>
      <w:r>
        <w:rPr>
          <w:rFonts w:hint="eastAsia" w:ascii="宋体" w:hAnsi="宋体"/>
          <w:b/>
          <w:bCs/>
          <w:color w:val="auto"/>
          <w:sz w:val="24"/>
          <w:highlight w:val="none"/>
        </w:rPr>
        <w:t xml:space="preserve">14. </w:t>
      </w:r>
      <w:r>
        <w:rPr>
          <w:rFonts w:hint="eastAsia"/>
          <w:b/>
          <w:color w:val="auto"/>
          <w:sz w:val="24"/>
          <w:highlight w:val="none"/>
        </w:rPr>
        <w:t>售后</w:t>
      </w:r>
      <w:r>
        <w:rPr>
          <w:rFonts w:hint="eastAsia" w:ascii="宋体" w:hAnsi="宋体"/>
          <w:b/>
          <w:color w:val="auto"/>
          <w:sz w:val="24"/>
          <w:highlight w:val="none"/>
        </w:rPr>
        <w:t>服务</w:t>
      </w:r>
    </w:p>
    <w:p w14:paraId="02AA97F5">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14.1 除项目不涉及或采购活动中明确约定无须承担外，乙方还应提供下列服务：</w:t>
      </w:r>
    </w:p>
    <w:p w14:paraId="11874163">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（1）货物的现场移动、安装、调试、启动监督及技术支持；</w:t>
      </w:r>
    </w:p>
    <w:p w14:paraId="6CBC238C">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（2）提供货物组装和维修所需的专用工具和辅助材料；</w:t>
      </w:r>
    </w:p>
    <w:p w14:paraId="25D46942">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（3）在</w:t>
      </w:r>
      <w:r>
        <w:rPr>
          <w:rFonts w:hint="eastAsia" w:ascii="宋体" w:hAnsi="宋体" w:eastAsia="宋体" w:cs="宋体"/>
          <w:b/>
          <w:bCs/>
          <w:color w:val="auto"/>
          <w:szCs w:val="15"/>
          <w:highlight w:val="none"/>
        </w:rPr>
        <w:t>【政府采购合同专用条款】</w:t>
      </w:r>
      <w:r>
        <w:rPr>
          <w:rFonts w:hint="eastAsia" w:ascii="宋体" w:hAnsi="宋体"/>
          <w:color w:val="auto"/>
          <w:szCs w:val="21"/>
          <w:highlight w:val="none"/>
        </w:rPr>
        <w:t>约定的期限内对所有的货物实施运行监督、维修，但前提条件是该服务并不能免除乙方在质量保证期内所承担的义务；</w:t>
      </w:r>
    </w:p>
    <w:p w14:paraId="77E02EA9">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（4）在制造商所在地或指定现场就货物的安装、启动、运营、维护、废弃处置等对甲方操作人员进行培训</w:t>
      </w:r>
      <w:r>
        <w:rPr>
          <w:rFonts w:hint="eastAsia" w:ascii="宋体" w:hAnsi="宋体" w:cs="宋体"/>
          <w:color w:val="auto"/>
          <w:szCs w:val="15"/>
          <w:highlight w:val="none"/>
        </w:rPr>
        <w:t>；</w:t>
      </w:r>
    </w:p>
    <w:p w14:paraId="1E04D7FE">
      <w:pPr>
        <w:pStyle w:val="2"/>
        <w:ind w:firstLine="420"/>
        <w:rPr>
          <w:rFonts w:ascii="宋体" w:hAnsi="宋体" w:eastAsia="宋体" w:cs="宋体"/>
          <w:color w:val="auto"/>
          <w:sz w:val="21"/>
          <w:highlight w:val="none"/>
        </w:rPr>
      </w:pPr>
      <w:r>
        <w:rPr>
          <w:rFonts w:hint="eastAsia" w:ascii="宋体" w:hAnsi="宋体" w:eastAsia="宋体" w:cs="宋体"/>
          <w:color w:val="auto"/>
          <w:sz w:val="21"/>
          <w:highlight w:val="none"/>
        </w:rPr>
        <w:t>（5）依照法律、行政法规的规定或者按照</w:t>
      </w:r>
      <w:r>
        <w:rPr>
          <w:rFonts w:hint="eastAsia" w:ascii="宋体" w:hAnsi="宋体" w:eastAsia="宋体" w:cs="宋体"/>
          <w:b/>
          <w:bCs/>
          <w:color w:val="auto"/>
          <w:sz w:val="21"/>
          <w:highlight w:val="none"/>
        </w:rPr>
        <w:t>【政府采购合同专用条款】</w:t>
      </w:r>
      <w:r>
        <w:rPr>
          <w:rFonts w:hint="eastAsia" w:ascii="宋体" w:hAnsi="宋体" w:eastAsia="宋体" w:cs="宋体"/>
          <w:color w:val="auto"/>
          <w:sz w:val="21"/>
          <w:highlight w:val="none"/>
        </w:rPr>
        <w:t>约定，货物在有效使用年限届满后应予回收的，乙方负有自行或者委托第三人对货物予以回收的义务；</w:t>
      </w:r>
    </w:p>
    <w:p w14:paraId="0B6516D9">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（6）</w:t>
      </w:r>
      <w:r>
        <w:rPr>
          <w:rFonts w:hint="eastAsia" w:ascii="宋体" w:hAnsi="宋体"/>
          <w:b/>
          <w:color w:val="auto"/>
          <w:szCs w:val="21"/>
          <w:highlight w:val="none"/>
        </w:rPr>
        <w:t>【政府采购合同专用条款】</w:t>
      </w:r>
      <w:r>
        <w:rPr>
          <w:rFonts w:hint="eastAsia" w:ascii="宋体" w:hAnsi="宋体"/>
          <w:color w:val="auto"/>
          <w:szCs w:val="21"/>
          <w:highlight w:val="none"/>
        </w:rPr>
        <w:t>规定由乙方提供的其他服务。</w:t>
      </w:r>
    </w:p>
    <w:p w14:paraId="21BF6858">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14.2 乙方提供的售后服务的费用已包含在合同价款中，甲方不再另行支付。</w:t>
      </w:r>
    </w:p>
    <w:p w14:paraId="163650BE">
      <w:pPr>
        <w:adjustRightInd w:val="0"/>
        <w:snapToGrid w:val="0"/>
        <w:spacing w:line="400" w:lineRule="exact"/>
        <w:jc w:val="left"/>
        <w:rPr>
          <w:rFonts w:ascii="宋体" w:hAnsi="宋体"/>
          <w:b/>
          <w:bCs/>
          <w:color w:val="auto"/>
          <w:sz w:val="24"/>
          <w:highlight w:val="none"/>
        </w:rPr>
      </w:pPr>
      <w:r>
        <w:rPr>
          <w:rFonts w:hint="eastAsia" w:ascii="宋体" w:hAnsi="宋体"/>
          <w:b/>
          <w:bCs/>
          <w:color w:val="auto"/>
          <w:sz w:val="24"/>
          <w:highlight w:val="none"/>
        </w:rPr>
        <w:t>15. 违约责任</w:t>
      </w:r>
    </w:p>
    <w:p w14:paraId="19577539">
      <w:pPr>
        <w:adjustRightInd w:val="0"/>
        <w:snapToGrid w:val="0"/>
        <w:spacing w:line="400" w:lineRule="exact"/>
        <w:ind w:firstLine="420" w:firstLineChars="200"/>
        <w:jc w:val="left"/>
        <w:rPr>
          <w:rFonts w:ascii="宋体" w:hAnsi="宋体"/>
          <w:bCs/>
          <w:color w:val="auto"/>
          <w:szCs w:val="21"/>
          <w:highlight w:val="none"/>
        </w:rPr>
      </w:pPr>
      <w:r>
        <w:rPr>
          <w:rFonts w:hint="eastAsia" w:ascii="宋体" w:hAnsi="宋体"/>
          <w:bCs/>
          <w:color w:val="auto"/>
          <w:szCs w:val="21"/>
          <w:highlight w:val="none"/>
        </w:rPr>
        <w:t>15.1质量瑕疵的违约责任</w:t>
      </w:r>
    </w:p>
    <w:p w14:paraId="611A5082">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乙方提供的产品不符合合同约定的质量标准或存在产品质量缺陷，甲方有权要求乙方根据</w:t>
      </w:r>
      <w:r>
        <w:rPr>
          <w:rFonts w:hint="eastAsia" w:ascii="宋体" w:hAnsi="宋体"/>
          <w:b/>
          <w:color w:val="auto"/>
          <w:szCs w:val="21"/>
          <w:highlight w:val="none"/>
        </w:rPr>
        <w:t>【政府采购合同专用条款】</w:t>
      </w:r>
      <w:r>
        <w:rPr>
          <w:rFonts w:hint="eastAsia" w:ascii="宋体" w:hAnsi="宋体"/>
          <w:bCs/>
          <w:color w:val="auto"/>
          <w:szCs w:val="21"/>
          <w:highlight w:val="none"/>
        </w:rPr>
        <w:t>要求</w:t>
      </w:r>
      <w:r>
        <w:rPr>
          <w:rFonts w:hint="eastAsia" w:ascii="宋体" w:hAnsi="宋体"/>
          <w:color w:val="auto"/>
          <w:szCs w:val="21"/>
          <w:highlight w:val="none"/>
        </w:rPr>
        <w:t>及时修理、重作、更换，并承担由此给甲方造成的损失。</w:t>
      </w:r>
    </w:p>
    <w:p w14:paraId="6DD686A0">
      <w:pPr>
        <w:autoSpaceDE w:val="0"/>
        <w:autoSpaceDN w:val="0"/>
        <w:adjustRightInd w:val="0"/>
        <w:snapToGrid w:val="0"/>
        <w:spacing w:line="400" w:lineRule="exact"/>
        <w:ind w:firstLine="420" w:firstLineChars="200"/>
        <w:jc w:val="left"/>
        <w:rPr>
          <w:rFonts w:ascii="宋体" w:hAnsi="宋体"/>
          <w:bCs/>
          <w:color w:val="auto"/>
          <w:szCs w:val="21"/>
          <w:highlight w:val="none"/>
        </w:rPr>
      </w:pPr>
      <w:r>
        <w:rPr>
          <w:rFonts w:hint="eastAsia" w:ascii="宋体" w:hAnsi="宋体"/>
          <w:bCs/>
          <w:color w:val="auto"/>
          <w:szCs w:val="21"/>
          <w:highlight w:val="none"/>
        </w:rPr>
        <w:t>15.2 迟延交货的违约责任</w:t>
      </w:r>
    </w:p>
    <w:p w14:paraId="5CA93E33">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340C1D5D">
      <w:pPr>
        <w:autoSpaceDE w:val="0"/>
        <w:autoSpaceDN w:val="0"/>
        <w:adjustRightInd w:val="0"/>
        <w:snapToGrid w:val="0"/>
        <w:spacing w:line="400" w:lineRule="exact"/>
        <w:ind w:firstLine="420" w:firstLineChars="200"/>
        <w:jc w:val="left"/>
        <w:rPr>
          <w:rFonts w:ascii="宋体" w:hAnsi="宋体" w:eastAsia="宋体"/>
          <w:color w:val="auto"/>
          <w:szCs w:val="21"/>
          <w:highlight w:val="none"/>
        </w:rPr>
      </w:pPr>
      <w:r>
        <w:rPr>
          <w:rFonts w:hint="eastAsia" w:ascii="宋体" w:hAnsi="宋体"/>
          <w:color w:val="auto"/>
          <w:szCs w:val="21"/>
          <w:highlight w:val="none"/>
        </w:rPr>
        <w:t>（2）如果乙方没有按照合同规定的时间交货和提供相关服务，甲方有权从货款中扣除误期赔偿费而不影响合同项下的其他补救方法，赔偿费按</w:t>
      </w:r>
      <w:r>
        <w:rPr>
          <w:rFonts w:hint="eastAsia" w:ascii="宋体" w:hAnsi="宋体"/>
          <w:b/>
          <w:color w:val="auto"/>
          <w:szCs w:val="21"/>
          <w:highlight w:val="none"/>
        </w:rPr>
        <w:t>【政府采购合同专用条款】</w:t>
      </w:r>
      <w:r>
        <w:rPr>
          <w:rFonts w:hint="eastAsia" w:ascii="宋体" w:hAnsi="宋体"/>
          <w:color w:val="auto"/>
          <w:szCs w:val="21"/>
          <w:highlight w:val="none"/>
        </w:rPr>
        <w:t>规定执行。如果涉及公共利益，且赔偿金额无法弥补公共利益损失，甲方可要求继续履行或者采取其他补救措施。</w:t>
      </w:r>
    </w:p>
    <w:p w14:paraId="34D3A3C4">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15.3 迟延支付的违约责任</w:t>
      </w:r>
    </w:p>
    <w:p w14:paraId="1CC7739C">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甲方存在迟延支付乙方合同款项的，应当承担</w:t>
      </w:r>
      <w:r>
        <w:rPr>
          <w:rFonts w:hint="eastAsia" w:ascii="宋体" w:hAnsi="宋体"/>
          <w:b/>
          <w:bCs/>
          <w:color w:val="auto"/>
          <w:szCs w:val="21"/>
          <w:highlight w:val="none"/>
        </w:rPr>
        <w:t>【政府采购合同专用条款】</w:t>
      </w:r>
      <w:r>
        <w:rPr>
          <w:rFonts w:hint="eastAsia" w:ascii="宋体" w:hAnsi="宋体"/>
          <w:color w:val="auto"/>
          <w:szCs w:val="21"/>
          <w:highlight w:val="none"/>
        </w:rPr>
        <w:t>规定的逾期付款利息。</w:t>
      </w:r>
    </w:p>
    <w:p w14:paraId="5A9A4144">
      <w:pPr>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bCs/>
          <w:color w:val="auto"/>
          <w:szCs w:val="21"/>
          <w:highlight w:val="none"/>
        </w:rPr>
        <w:t>15.4其他违约责任根据项目实际需要按</w:t>
      </w:r>
      <w:r>
        <w:rPr>
          <w:rFonts w:hint="eastAsia" w:ascii="宋体" w:hAnsi="宋体"/>
          <w:b/>
          <w:bCs/>
          <w:color w:val="auto"/>
          <w:szCs w:val="21"/>
          <w:highlight w:val="none"/>
        </w:rPr>
        <w:t>【政府采购合同专用条款】</w:t>
      </w:r>
      <w:r>
        <w:rPr>
          <w:rFonts w:hint="eastAsia" w:ascii="宋体" w:hAnsi="宋体"/>
          <w:color w:val="auto"/>
          <w:szCs w:val="21"/>
          <w:highlight w:val="none"/>
        </w:rPr>
        <w:t>规定执行。</w:t>
      </w:r>
    </w:p>
    <w:p w14:paraId="362A7210">
      <w:pPr>
        <w:numPr>
          <w:ilvl w:val="0"/>
          <w:numId w:val="6"/>
        </w:numPr>
        <w:autoSpaceDE w:val="0"/>
        <w:autoSpaceDN w:val="0"/>
        <w:adjustRightInd w:val="0"/>
        <w:snapToGrid w:val="0"/>
        <w:spacing w:line="400" w:lineRule="exact"/>
        <w:jc w:val="left"/>
        <w:rPr>
          <w:rFonts w:ascii="宋体" w:hAnsi="宋体"/>
          <w:b/>
          <w:color w:val="auto"/>
          <w:sz w:val="24"/>
          <w:highlight w:val="none"/>
        </w:rPr>
      </w:pPr>
      <w:r>
        <w:rPr>
          <w:rFonts w:hint="eastAsia" w:ascii="宋体" w:hAnsi="宋体"/>
          <w:b/>
          <w:color w:val="auto"/>
          <w:sz w:val="24"/>
          <w:highlight w:val="none"/>
        </w:rPr>
        <w:t>合同变更、中止与终止</w:t>
      </w:r>
    </w:p>
    <w:p w14:paraId="66E7DF1B">
      <w:pPr>
        <w:adjustRightInd w:val="0"/>
        <w:snapToGrid w:val="0"/>
        <w:spacing w:line="400" w:lineRule="exact"/>
        <w:jc w:val="left"/>
        <w:rPr>
          <w:rFonts w:ascii="宋体" w:hAnsi="宋体"/>
          <w:color w:val="auto"/>
          <w:szCs w:val="21"/>
          <w:highlight w:val="none"/>
        </w:rPr>
      </w:pPr>
      <w:r>
        <w:rPr>
          <w:rFonts w:hint="eastAsia" w:ascii="宋体" w:hAnsi="宋体"/>
          <w:color w:val="auto"/>
          <w:szCs w:val="21"/>
          <w:highlight w:val="none"/>
        </w:rPr>
        <w:t xml:space="preserve">    16.1合同的变更</w:t>
      </w:r>
    </w:p>
    <w:p w14:paraId="652E4D5D">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政府采购合同履行中，在不改变合同其他条款的前提下，甲方可以在合同价款10%的范围内追加与合同标的相同的货物，并就此与乙方协商一致后签订补充协议。</w:t>
      </w:r>
    </w:p>
    <w:p w14:paraId="30078232">
      <w:pPr>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16.2合同的中止</w:t>
      </w:r>
    </w:p>
    <w:p w14:paraId="4F28D3E2">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（1）合同履行过程中因供应商就采购文件、采购过程或结果提起投诉的，甲方认为有必要的，可以中止合同的履行。</w:t>
      </w:r>
    </w:p>
    <w:p w14:paraId="2DA023AD">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452526E0">
      <w:pPr>
        <w:pStyle w:val="2"/>
        <w:ind w:firstLine="420"/>
        <w:jc w:val="both"/>
        <w:rPr>
          <w:color w:val="auto"/>
          <w:sz w:val="21"/>
          <w:highlight w:val="none"/>
        </w:rPr>
      </w:pPr>
      <w:r>
        <w:rPr>
          <w:rFonts w:hint="eastAsia" w:ascii="宋体" w:hAnsi="宋体" w:eastAsia="宋体" w:cs="宋体"/>
          <w:color w:val="auto"/>
          <w:sz w:val="21"/>
          <w:highlight w:val="none"/>
        </w:rPr>
        <w:t>（3）乙方分立、合并或者变更住所的，应当及时以书面形式告知甲方。乙方没有及时告知甲方，致使合同履行发生困难的，甲方可以中止合同履行并要求乙方承担由此给甲方造成的损失。</w:t>
      </w:r>
    </w:p>
    <w:p w14:paraId="4A665A07">
      <w:pPr>
        <w:snapToGrid w:val="0"/>
        <w:spacing w:line="400" w:lineRule="exact"/>
        <w:ind w:firstLine="420" w:firstLineChars="200"/>
        <w:jc w:val="left"/>
        <w:rPr>
          <w:color w:val="auto"/>
          <w:highlight w:val="none"/>
        </w:rPr>
      </w:pPr>
      <w:r>
        <w:rPr>
          <w:rFonts w:hint="eastAsia" w:ascii="宋体" w:hAnsi="宋体"/>
          <w:color w:val="auto"/>
          <w:szCs w:val="21"/>
          <w:highlight w:val="none"/>
        </w:rPr>
        <w:t>（4）甲方不得以行政区划调整、政府换届、机构或者职能调整以及相关责任人更替为由中止合同。</w:t>
      </w:r>
    </w:p>
    <w:p w14:paraId="41C48F7D">
      <w:pPr>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16.3合同的终止</w:t>
      </w:r>
    </w:p>
    <w:p w14:paraId="747FD700">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（1）合同因有效期限届满而终止；</w:t>
      </w:r>
    </w:p>
    <w:p w14:paraId="644217DF">
      <w:pPr>
        <w:snapToGrid w:val="0"/>
        <w:spacing w:line="400" w:lineRule="exact"/>
        <w:ind w:firstLine="420" w:firstLineChars="200"/>
        <w:rPr>
          <w:rFonts w:ascii="宋体" w:hAnsi="宋体" w:eastAsia="宋体" w:cs="宋体"/>
          <w:color w:val="auto"/>
          <w:szCs w:val="21"/>
          <w:highlight w:val="none"/>
        </w:rPr>
      </w:pPr>
      <w:r>
        <w:rPr>
          <w:rFonts w:hint="eastAsia" w:ascii="宋体" w:hAnsi="宋体"/>
          <w:color w:val="auto"/>
          <w:szCs w:val="21"/>
          <w:highlight w:val="none"/>
        </w:rPr>
        <w:t>（2）乙方未按合同约定履行，构成根本性违约的，甲方有权终止合同，</w:t>
      </w:r>
      <w:r>
        <w:rPr>
          <w:rFonts w:hint="eastAsia" w:ascii="宋体" w:hAnsi="宋体" w:eastAsia="宋体" w:cs="宋体"/>
          <w:color w:val="auto"/>
          <w:szCs w:val="21"/>
          <w:highlight w:val="none"/>
        </w:rPr>
        <w:t>并追究乙方的违约责</w:t>
      </w:r>
      <w:r>
        <w:rPr>
          <w:rFonts w:hint="eastAsia" w:ascii="宋体" w:hAnsi="宋体" w:cs="宋体"/>
          <w:color w:val="auto"/>
          <w:szCs w:val="21"/>
          <w:highlight w:val="none"/>
        </w:rPr>
        <w:t>任</w:t>
      </w:r>
      <w:r>
        <w:rPr>
          <w:rFonts w:hint="eastAsia" w:ascii="宋体" w:hAnsi="宋体"/>
          <w:color w:val="auto"/>
          <w:szCs w:val="21"/>
          <w:highlight w:val="none"/>
        </w:rPr>
        <w:t>。</w:t>
      </w:r>
    </w:p>
    <w:p w14:paraId="3E7A5933">
      <w:pPr>
        <w:pStyle w:val="2"/>
        <w:rPr>
          <w:rFonts w:ascii="宋体" w:hAnsi="宋体"/>
          <w:color w:val="auto"/>
          <w:highlight w:val="none"/>
        </w:rPr>
      </w:pPr>
      <w:r>
        <w:rPr>
          <w:rFonts w:hint="eastAsia" w:ascii="宋体" w:hAnsi="宋体"/>
          <w:color w:val="auto"/>
          <w:highlight w:val="none"/>
        </w:rPr>
        <w:t xml:space="preserve">16.4 </w:t>
      </w:r>
      <w:r>
        <w:rPr>
          <w:rFonts w:hint="eastAsia" w:ascii="宋体" w:hAnsi="宋体" w:eastAsia="宋体" w:cs="Times New Roman"/>
          <w:color w:val="auto"/>
          <w:kern w:val="2"/>
          <w:sz w:val="21"/>
          <w:highlight w:val="none"/>
        </w:rPr>
        <w:t>涉及国家利益、社会公共利益的情形</w:t>
      </w:r>
    </w:p>
    <w:p w14:paraId="60327DF1">
      <w:pPr>
        <w:pStyle w:val="2"/>
        <w:ind w:firstLine="420"/>
        <w:jc w:val="both"/>
        <w:rPr>
          <w:color w:val="auto"/>
          <w:sz w:val="21"/>
          <w:highlight w:val="none"/>
        </w:rPr>
      </w:pPr>
      <w:r>
        <w:rPr>
          <w:rFonts w:hint="eastAsia" w:ascii="宋体" w:hAnsi="宋体" w:eastAsia="宋体" w:cs="宋体"/>
          <w:color w:val="auto"/>
          <w:sz w:val="21"/>
          <w:highlight w:val="none"/>
        </w:rPr>
        <w:t>政府采购合同继续履行将损害国家利益和社会公共利益的，双方当事人应当变更、中止或者终止合同。有过错的一方应当承担赔偿责任，双方都有过错的，各自承担相应的责任。</w:t>
      </w:r>
    </w:p>
    <w:p w14:paraId="43CC6D28">
      <w:pPr>
        <w:autoSpaceDE w:val="0"/>
        <w:autoSpaceDN w:val="0"/>
        <w:adjustRightInd w:val="0"/>
        <w:snapToGrid w:val="0"/>
        <w:spacing w:line="400" w:lineRule="exact"/>
        <w:jc w:val="left"/>
        <w:rPr>
          <w:rFonts w:ascii="宋体" w:hAnsi="宋体"/>
          <w:b/>
          <w:bCs/>
          <w:color w:val="auto"/>
          <w:sz w:val="24"/>
          <w:highlight w:val="none"/>
        </w:rPr>
      </w:pPr>
      <w:r>
        <w:rPr>
          <w:rFonts w:hint="eastAsia" w:ascii="宋体" w:hAnsi="宋体"/>
          <w:b/>
          <w:bCs/>
          <w:color w:val="auto"/>
          <w:sz w:val="24"/>
          <w:highlight w:val="none"/>
        </w:rPr>
        <w:t>17. 合同分包</w:t>
      </w:r>
    </w:p>
    <w:p w14:paraId="0F9DA9C9">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17.1 乙方不得将合同转包给其他供应商。涉及合同分包的，乙方应根据采购文件和投标（响应）文件规定进行合同分包。</w:t>
      </w:r>
    </w:p>
    <w:p w14:paraId="6AC095FB">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17.2 乙方执行政府采购政策向中小企业依法分包的，乙方应当按采购文件和投标（响应）文件签订分包意向协议，分包意向协议属于本合同组成部分。</w:t>
      </w:r>
    </w:p>
    <w:p w14:paraId="31DE7DBA">
      <w:pPr>
        <w:autoSpaceDE w:val="0"/>
        <w:autoSpaceDN w:val="0"/>
        <w:adjustRightInd w:val="0"/>
        <w:snapToGrid w:val="0"/>
        <w:spacing w:line="400" w:lineRule="exact"/>
        <w:jc w:val="left"/>
        <w:rPr>
          <w:rFonts w:ascii="宋体" w:hAnsi="宋体"/>
          <w:b/>
          <w:bCs/>
          <w:color w:val="auto"/>
          <w:sz w:val="24"/>
          <w:highlight w:val="none"/>
        </w:rPr>
      </w:pPr>
      <w:r>
        <w:rPr>
          <w:rFonts w:hint="eastAsia" w:ascii="宋体" w:hAnsi="宋体"/>
          <w:b/>
          <w:bCs/>
          <w:color w:val="auto"/>
          <w:sz w:val="24"/>
          <w:highlight w:val="none"/>
        </w:rPr>
        <w:t>18. 不可抗力</w:t>
      </w:r>
    </w:p>
    <w:p w14:paraId="2E715B07">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18.1 不可抗力是指合同双方不能预见、不能避免且不能克服的客观情况。</w:t>
      </w:r>
    </w:p>
    <w:p w14:paraId="736F5865">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18.2 任何一方对由于不可抗力造成的部分或全部不能履行合同不承担违约责任。但迟延履行后发生不可抗力的，不能免除责任。</w:t>
      </w:r>
    </w:p>
    <w:p w14:paraId="0CD245A0">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18.3 遇有不可抗力的一方，应及时将事件情况以书面形式告知另一方，并在事件发生后及时向另一方提交合同不能履行或部分不能履行或需要延期履行的详细报告，以及证明不可抗力发生及其持续时间的证据。</w:t>
      </w:r>
    </w:p>
    <w:p w14:paraId="1FF8920C">
      <w:pPr>
        <w:autoSpaceDE w:val="0"/>
        <w:autoSpaceDN w:val="0"/>
        <w:adjustRightInd w:val="0"/>
        <w:snapToGrid w:val="0"/>
        <w:spacing w:line="400" w:lineRule="exact"/>
        <w:jc w:val="left"/>
        <w:rPr>
          <w:rFonts w:ascii="宋体" w:hAnsi="宋体"/>
          <w:b/>
          <w:bCs/>
          <w:color w:val="auto"/>
          <w:sz w:val="24"/>
          <w:highlight w:val="none"/>
        </w:rPr>
      </w:pPr>
      <w:r>
        <w:rPr>
          <w:rFonts w:hint="eastAsia" w:ascii="宋体" w:hAnsi="宋体"/>
          <w:b/>
          <w:bCs/>
          <w:color w:val="auto"/>
          <w:sz w:val="24"/>
          <w:highlight w:val="none"/>
        </w:rPr>
        <w:t>19. 解决争议的方法</w:t>
      </w:r>
    </w:p>
    <w:p w14:paraId="445A243B">
      <w:pPr>
        <w:pStyle w:val="2"/>
        <w:ind w:firstLine="420"/>
        <w:jc w:val="both"/>
        <w:rPr>
          <w:rFonts w:ascii="宋体" w:hAnsi="宋体" w:eastAsia="宋体" w:cs="宋体"/>
          <w:color w:val="auto"/>
          <w:sz w:val="21"/>
          <w:highlight w:val="none"/>
        </w:rPr>
      </w:pPr>
      <w:r>
        <w:rPr>
          <w:rFonts w:hint="eastAsia" w:ascii="宋体" w:hAnsi="宋体" w:eastAsia="宋体" w:cs="宋体"/>
          <w:color w:val="auto"/>
          <w:sz w:val="21"/>
          <w:highlight w:val="none"/>
        </w:rPr>
        <w:t>19.1 因本合同及合同有关事项发生的争议，由甲乙双方友好协商解决。协商不成时，可以向有关组织申请调解。合同一方或双方不愿调解或调解不成的，可以通过仲裁或诉讼的方式解决争议。</w:t>
      </w:r>
    </w:p>
    <w:p w14:paraId="049B6BE4">
      <w:pPr>
        <w:pStyle w:val="2"/>
        <w:ind w:firstLine="420"/>
        <w:jc w:val="both"/>
        <w:rPr>
          <w:rFonts w:ascii="宋体" w:hAnsi="宋体" w:eastAsia="宋体" w:cs="宋体"/>
          <w:color w:val="auto"/>
          <w:sz w:val="21"/>
          <w:highlight w:val="none"/>
        </w:rPr>
      </w:pPr>
      <w:r>
        <w:rPr>
          <w:rFonts w:hint="eastAsia" w:ascii="宋体" w:hAnsi="宋体" w:eastAsia="宋体" w:cs="宋体"/>
          <w:color w:val="auto"/>
          <w:sz w:val="21"/>
          <w:highlight w:val="none"/>
        </w:rPr>
        <w:t>19.2 选择仲裁的，应在</w:t>
      </w:r>
      <w:r>
        <w:rPr>
          <w:rFonts w:hint="eastAsia" w:ascii="宋体" w:hAnsi="宋体" w:eastAsia="宋体" w:cs="宋体"/>
          <w:b/>
          <w:bCs/>
          <w:color w:val="auto"/>
          <w:sz w:val="21"/>
          <w:highlight w:val="none"/>
        </w:rPr>
        <w:t>【政府采购合同专用条款】</w:t>
      </w:r>
      <w:r>
        <w:rPr>
          <w:rFonts w:hint="eastAsia" w:ascii="宋体" w:hAnsi="宋体" w:eastAsia="宋体" w:cs="宋体"/>
          <w:color w:val="auto"/>
          <w:sz w:val="21"/>
          <w:highlight w:val="none"/>
        </w:rPr>
        <w:t>中明确仲裁机构及仲裁地；通过诉讼方式解决的，可以在</w:t>
      </w:r>
      <w:r>
        <w:rPr>
          <w:rFonts w:hint="eastAsia" w:ascii="宋体" w:hAnsi="宋体" w:eastAsia="宋体" w:cs="宋体"/>
          <w:b/>
          <w:bCs/>
          <w:color w:val="auto"/>
          <w:sz w:val="21"/>
          <w:highlight w:val="none"/>
        </w:rPr>
        <w:t>【政府采购合同专用条款】</w:t>
      </w:r>
      <w:r>
        <w:rPr>
          <w:rFonts w:hint="eastAsia" w:ascii="宋体" w:hAnsi="宋体" w:eastAsia="宋体" w:cs="宋体"/>
          <w:color w:val="auto"/>
          <w:sz w:val="21"/>
          <w:highlight w:val="none"/>
        </w:rPr>
        <w:t>中进一步约定选择与争议有实际联系的地点的人民法院管辖，但管辖法院的约定不得违反级别管辖和专属管辖的规定。</w:t>
      </w:r>
    </w:p>
    <w:p w14:paraId="1AB25D91">
      <w:pPr>
        <w:pStyle w:val="2"/>
        <w:ind w:firstLine="420"/>
        <w:jc w:val="both"/>
        <w:rPr>
          <w:rFonts w:ascii="宋体" w:hAnsi="宋体" w:eastAsia="宋体" w:cs="宋体"/>
          <w:color w:val="auto"/>
          <w:sz w:val="21"/>
          <w:highlight w:val="none"/>
        </w:rPr>
      </w:pPr>
      <w:r>
        <w:rPr>
          <w:rFonts w:hint="eastAsia" w:ascii="宋体" w:hAnsi="宋体" w:eastAsia="宋体" w:cs="宋体"/>
          <w:color w:val="auto"/>
          <w:sz w:val="21"/>
          <w:highlight w:val="none"/>
        </w:rPr>
        <w:t>19.3 如甲乙双方有争议的事项不影响合同其他部分的履行，在争议解决期间，合同其他部分应当继续履行。</w:t>
      </w:r>
    </w:p>
    <w:p w14:paraId="7EE9A991">
      <w:pPr>
        <w:autoSpaceDE w:val="0"/>
        <w:autoSpaceDN w:val="0"/>
        <w:adjustRightInd w:val="0"/>
        <w:snapToGrid w:val="0"/>
        <w:spacing w:line="400" w:lineRule="exact"/>
        <w:jc w:val="left"/>
        <w:rPr>
          <w:rFonts w:ascii="宋体" w:hAnsi="宋体"/>
          <w:color w:val="auto"/>
          <w:sz w:val="24"/>
          <w:highlight w:val="none"/>
        </w:rPr>
      </w:pPr>
      <w:r>
        <w:rPr>
          <w:rFonts w:hint="eastAsia" w:ascii="宋体" w:hAnsi="宋体"/>
          <w:b/>
          <w:color w:val="auto"/>
          <w:sz w:val="24"/>
          <w:highlight w:val="none"/>
        </w:rPr>
        <w:t>20. 政府采购政策</w:t>
      </w:r>
    </w:p>
    <w:p w14:paraId="6CD7AAD7">
      <w:pPr>
        <w:autoSpaceDE w:val="0"/>
        <w:autoSpaceDN w:val="0"/>
        <w:adjustRightInd w:val="0"/>
        <w:snapToGrid w:val="0"/>
        <w:spacing w:line="400" w:lineRule="exact"/>
        <w:ind w:firstLine="420" w:firstLineChars="200"/>
        <w:jc w:val="left"/>
        <w:rPr>
          <w:rFonts w:ascii="宋体" w:hAnsi="宋体" w:eastAsia="宋体"/>
          <w:color w:val="auto"/>
          <w:szCs w:val="21"/>
          <w:highlight w:val="none"/>
        </w:rPr>
      </w:pPr>
      <w:r>
        <w:rPr>
          <w:rFonts w:hint="eastAsia" w:ascii="宋体" w:hAnsi="宋体"/>
          <w:color w:val="auto"/>
          <w:szCs w:val="21"/>
          <w:highlight w:val="none"/>
        </w:rPr>
        <w:t xml:space="preserve">20.1 </w:t>
      </w:r>
      <w:r>
        <w:rPr>
          <w:rFonts w:hint="eastAsia" w:ascii="宋体" w:hAnsi="宋体" w:eastAsia="宋体" w:cs="宋体"/>
          <w:color w:val="auto"/>
          <w:highlight w:val="none"/>
          <w:lang w:val="en-GB"/>
        </w:rPr>
        <w:t>本合同应当按照规定执行政府采购政策。</w:t>
      </w:r>
    </w:p>
    <w:p w14:paraId="654E0D0D">
      <w:pPr>
        <w:autoSpaceDE w:val="0"/>
        <w:autoSpaceDN w:val="0"/>
        <w:adjustRightInd w:val="0"/>
        <w:snapToGrid w:val="0"/>
        <w:spacing w:line="400" w:lineRule="exact"/>
        <w:ind w:firstLine="420" w:firstLineChars="200"/>
        <w:jc w:val="left"/>
        <w:rPr>
          <w:rFonts w:ascii="宋体" w:hAnsi="宋体"/>
          <w:color w:val="auto"/>
          <w:szCs w:val="21"/>
          <w:highlight w:val="none"/>
        </w:rPr>
      </w:pPr>
      <w:r>
        <w:rPr>
          <w:rFonts w:ascii="宋体" w:hAnsi="宋体"/>
          <w:color w:val="auto"/>
          <w:szCs w:val="21"/>
          <w:highlight w:val="none"/>
        </w:rPr>
        <w:t>2</w:t>
      </w:r>
      <w:r>
        <w:rPr>
          <w:rFonts w:hint="eastAsia" w:ascii="宋体" w:hAnsi="宋体"/>
          <w:color w:val="auto"/>
          <w:szCs w:val="21"/>
          <w:highlight w:val="none"/>
        </w:rPr>
        <w:t>0.2 本合同依法执行政府采购政策的方式和内容，属于合同履约验收的范围。</w:t>
      </w:r>
      <w:r>
        <w:rPr>
          <w:rFonts w:hint="eastAsia" w:ascii="宋体" w:hAnsi="宋体" w:eastAsia="宋体" w:cs="宋体"/>
          <w:color w:val="auto"/>
          <w:highlight w:val="none"/>
        </w:rPr>
        <w:t>甲乙双方</w:t>
      </w:r>
      <w:r>
        <w:rPr>
          <w:rFonts w:hint="eastAsia" w:ascii="宋体" w:hAnsi="宋体" w:eastAsia="宋体" w:cs="宋体"/>
          <w:color w:val="auto"/>
          <w:highlight w:val="none"/>
          <w:lang w:val="en-GB"/>
        </w:rPr>
        <w:t>未按规定要求执行政府采购政策造成损失的</w:t>
      </w:r>
      <w:r>
        <w:rPr>
          <w:rFonts w:hint="eastAsia" w:ascii="宋体" w:hAnsi="宋体"/>
          <w:color w:val="auto"/>
          <w:szCs w:val="21"/>
          <w:highlight w:val="none"/>
        </w:rPr>
        <w:t>，有过错的一方应当承担赔偿责任，双方都有过错的，各自承担相应的责任。</w:t>
      </w:r>
    </w:p>
    <w:p w14:paraId="1D5B883F">
      <w:pPr>
        <w:pStyle w:val="4"/>
        <w:spacing w:after="0" w:line="400" w:lineRule="exact"/>
        <w:ind w:firstLine="420" w:firstLineChars="200"/>
        <w:rPr>
          <w:color w:val="auto"/>
          <w:highlight w:val="none"/>
        </w:rPr>
      </w:pPr>
      <w:r>
        <w:rPr>
          <w:rFonts w:ascii="宋体" w:hAnsi="宋体"/>
          <w:color w:val="auto"/>
          <w:szCs w:val="21"/>
          <w:highlight w:val="none"/>
        </w:rPr>
        <w:t>2</w:t>
      </w:r>
      <w:r>
        <w:rPr>
          <w:rFonts w:hint="eastAsia" w:ascii="宋体" w:hAnsi="宋体"/>
          <w:color w:val="auto"/>
          <w:szCs w:val="21"/>
          <w:highlight w:val="none"/>
        </w:rPr>
        <w:t>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618BAC96">
      <w:pPr>
        <w:autoSpaceDE w:val="0"/>
        <w:autoSpaceDN w:val="0"/>
        <w:adjustRightInd w:val="0"/>
        <w:snapToGrid w:val="0"/>
        <w:spacing w:line="400" w:lineRule="exact"/>
        <w:jc w:val="left"/>
        <w:rPr>
          <w:rFonts w:ascii="宋体" w:hAnsi="宋体"/>
          <w:b/>
          <w:color w:val="auto"/>
          <w:sz w:val="24"/>
          <w:highlight w:val="none"/>
        </w:rPr>
      </w:pPr>
      <w:r>
        <w:rPr>
          <w:rFonts w:hint="eastAsia" w:ascii="宋体" w:hAnsi="宋体"/>
          <w:b/>
          <w:color w:val="auto"/>
          <w:sz w:val="24"/>
          <w:highlight w:val="none"/>
        </w:rPr>
        <w:t>21. 法律适用</w:t>
      </w:r>
    </w:p>
    <w:p w14:paraId="79E3C556">
      <w:pPr>
        <w:pStyle w:val="2"/>
        <w:ind w:firstLine="420"/>
        <w:jc w:val="both"/>
        <w:rPr>
          <w:rFonts w:ascii="宋体" w:hAnsi="宋体" w:eastAsia="宋体" w:cs="宋体"/>
          <w:color w:val="auto"/>
          <w:sz w:val="21"/>
          <w:highlight w:val="none"/>
        </w:rPr>
      </w:pPr>
      <w:r>
        <w:rPr>
          <w:rFonts w:hint="eastAsia" w:ascii="宋体" w:hAnsi="宋体" w:eastAsia="宋体" w:cs="宋体"/>
          <w:color w:val="auto"/>
          <w:sz w:val="21"/>
          <w:highlight w:val="none"/>
        </w:rPr>
        <w:t>21.1 本合同的订立、生效、解释、履行及与本合同有关的争议解决，均适用法律、行政法规。</w:t>
      </w:r>
    </w:p>
    <w:p w14:paraId="40050A8B">
      <w:pPr>
        <w:pStyle w:val="2"/>
        <w:ind w:firstLine="420"/>
        <w:jc w:val="both"/>
        <w:rPr>
          <w:rFonts w:ascii="宋体" w:hAnsi="宋体" w:eastAsia="宋体" w:cs="宋体"/>
          <w:color w:val="auto"/>
          <w:sz w:val="21"/>
          <w:highlight w:val="none"/>
        </w:rPr>
      </w:pPr>
      <w:r>
        <w:rPr>
          <w:rFonts w:hint="eastAsia" w:ascii="宋体" w:hAnsi="宋体" w:eastAsia="宋体" w:cs="宋体"/>
          <w:color w:val="auto"/>
          <w:sz w:val="21"/>
          <w:highlight w:val="none"/>
        </w:rPr>
        <w:t>21.2 本合同条款与法律、行政法规的强制性规定不一致的，双方当事人应按照法律、行政法规的强制性规定修改本合同的相关条款。</w:t>
      </w:r>
    </w:p>
    <w:p w14:paraId="1951EC95">
      <w:pPr>
        <w:numPr>
          <w:ilvl w:val="255"/>
          <w:numId w:val="0"/>
        </w:numPr>
        <w:autoSpaceDE w:val="0"/>
        <w:autoSpaceDN w:val="0"/>
        <w:adjustRightInd w:val="0"/>
        <w:snapToGrid w:val="0"/>
        <w:spacing w:line="400" w:lineRule="exact"/>
        <w:jc w:val="left"/>
        <w:rPr>
          <w:rFonts w:ascii="宋体" w:hAnsi="宋体"/>
          <w:b/>
          <w:color w:val="auto"/>
          <w:sz w:val="24"/>
          <w:highlight w:val="none"/>
        </w:rPr>
      </w:pPr>
      <w:r>
        <w:rPr>
          <w:rFonts w:hint="eastAsia" w:ascii="宋体" w:hAnsi="宋体"/>
          <w:b/>
          <w:color w:val="auto"/>
          <w:sz w:val="24"/>
          <w:highlight w:val="none"/>
        </w:rPr>
        <w:t>22. 通知</w:t>
      </w:r>
    </w:p>
    <w:p w14:paraId="77490999">
      <w:pPr>
        <w:pStyle w:val="2"/>
        <w:ind w:firstLine="420"/>
        <w:jc w:val="both"/>
        <w:rPr>
          <w:rFonts w:ascii="宋体" w:hAnsi="宋体" w:eastAsia="宋体" w:cs="宋体"/>
          <w:color w:val="auto"/>
          <w:sz w:val="21"/>
          <w:highlight w:val="none"/>
        </w:rPr>
      </w:pPr>
      <w:r>
        <w:rPr>
          <w:rFonts w:hint="eastAsia" w:ascii="宋体" w:hAnsi="宋体" w:eastAsia="宋体" w:cs="宋体"/>
          <w:color w:val="auto"/>
          <w:sz w:val="21"/>
          <w:highlight w:val="none"/>
        </w:rPr>
        <w:t>22.1 本合同任何一方向对方发出的通知、信件、数据电文等，应当发送至本合同第一部分《政府采购合同协议书》所约定的通讯地址、联系人、联系电话或电子邮箱。</w:t>
      </w:r>
    </w:p>
    <w:p w14:paraId="2EFDC938">
      <w:pPr>
        <w:pStyle w:val="2"/>
        <w:ind w:firstLine="0" w:firstLineChars="0"/>
        <w:jc w:val="both"/>
        <w:rPr>
          <w:color w:val="auto"/>
          <w:sz w:val="21"/>
          <w:highlight w:val="none"/>
        </w:rPr>
      </w:pPr>
      <w:r>
        <w:rPr>
          <w:rFonts w:hint="eastAsia" w:ascii="宋体" w:hAnsi="宋体" w:eastAsia="宋体" w:cs="宋体"/>
          <w:color w:val="auto"/>
          <w:sz w:val="21"/>
          <w:highlight w:val="none"/>
        </w:rPr>
        <w:t xml:space="preserve">    22.2 一方当事人变更名称、住所、联系人、联系电话或电子邮箱等信息的，应当在变更后3日内及时书面通知对方，对方实际收到变更通知前的送达仍为有效送达。</w:t>
      </w:r>
    </w:p>
    <w:p w14:paraId="6C6CFA82">
      <w:pPr>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22.3本合同一方给另一方的通知均应采用书面形式，传真或快递送到本合同中规定的对方的地址和办理签收手续。</w:t>
      </w:r>
    </w:p>
    <w:p w14:paraId="5CA80DFD">
      <w:pPr>
        <w:adjustRightInd w:val="0"/>
        <w:snapToGrid w:val="0"/>
        <w:spacing w:line="400" w:lineRule="exact"/>
        <w:ind w:firstLine="420" w:firstLineChars="200"/>
        <w:jc w:val="left"/>
        <w:rPr>
          <w:rFonts w:ascii="宋体" w:hAnsi="宋体"/>
          <w:color w:val="auto"/>
          <w:szCs w:val="21"/>
          <w:highlight w:val="none"/>
        </w:rPr>
      </w:pPr>
      <w:r>
        <w:rPr>
          <w:rFonts w:hint="eastAsia" w:ascii="宋体" w:hAnsi="宋体"/>
          <w:color w:val="auto"/>
          <w:szCs w:val="21"/>
          <w:highlight w:val="none"/>
        </w:rPr>
        <w:t>22.4通知以送达之日或通知书中规定的生效之日起生效，两者中以较迟之日为准。</w:t>
      </w:r>
    </w:p>
    <w:p w14:paraId="241EDCA6">
      <w:pPr>
        <w:numPr>
          <w:ilvl w:val="0"/>
          <w:numId w:val="7"/>
        </w:numPr>
        <w:adjustRightInd w:val="0"/>
        <w:snapToGrid w:val="0"/>
        <w:spacing w:line="400" w:lineRule="exact"/>
        <w:jc w:val="left"/>
        <w:rPr>
          <w:rFonts w:ascii="宋体" w:hAnsi="宋体"/>
          <w:b/>
          <w:bCs/>
          <w:color w:val="auto"/>
          <w:sz w:val="24"/>
          <w:highlight w:val="none"/>
        </w:rPr>
      </w:pPr>
      <w:r>
        <w:rPr>
          <w:rFonts w:hint="eastAsia" w:ascii="宋体" w:hAnsi="宋体"/>
          <w:b/>
          <w:bCs/>
          <w:color w:val="auto"/>
          <w:sz w:val="24"/>
          <w:highlight w:val="none"/>
        </w:rPr>
        <w:t>合同未尽事项</w:t>
      </w:r>
    </w:p>
    <w:p w14:paraId="407F9B40">
      <w:pPr>
        <w:adjustRightInd w:val="0"/>
        <w:snapToGrid w:val="0"/>
        <w:spacing w:line="400" w:lineRule="exact"/>
        <w:ind w:firstLine="420" w:firstLineChars="200"/>
        <w:jc w:val="left"/>
        <w:rPr>
          <w:rFonts w:ascii="宋体" w:hAnsi="宋体"/>
          <w:bCs/>
          <w:color w:val="auto"/>
          <w:szCs w:val="21"/>
          <w:highlight w:val="none"/>
        </w:rPr>
      </w:pPr>
      <w:r>
        <w:rPr>
          <w:rFonts w:hint="eastAsia" w:ascii="宋体" w:hAnsi="宋体"/>
          <w:bCs/>
          <w:color w:val="auto"/>
          <w:szCs w:val="21"/>
          <w:highlight w:val="none"/>
        </w:rPr>
        <w:t>23.1合同未尽事项见</w:t>
      </w:r>
      <w:r>
        <w:rPr>
          <w:rFonts w:hint="eastAsia" w:ascii="宋体" w:hAnsi="宋体"/>
          <w:b/>
          <w:color w:val="auto"/>
          <w:szCs w:val="21"/>
          <w:highlight w:val="none"/>
        </w:rPr>
        <w:t>【政府采购合同专用条款】</w:t>
      </w:r>
      <w:r>
        <w:rPr>
          <w:rFonts w:hint="eastAsia" w:ascii="宋体" w:hAnsi="宋体"/>
          <w:bCs/>
          <w:color w:val="auto"/>
          <w:szCs w:val="21"/>
          <w:highlight w:val="none"/>
        </w:rPr>
        <w:t>。</w:t>
      </w:r>
    </w:p>
    <w:p w14:paraId="07EE5619">
      <w:pPr>
        <w:adjustRightInd w:val="0"/>
        <w:snapToGrid w:val="0"/>
        <w:spacing w:line="400" w:lineRule="exact"/>
        <w:jc w:val="left"/>
        <w:rPr>
          <w:rFonts w:ascii="黑体" w:hAnsi="华文中宋" w:eastAsia="黑体"/>
          <w:color w:val="auto"/>
          <w:sz w:val="28"/>
          <w:szCs w:val="28"/>
          <w:highlight w:val="none"/>
        </w:rPr>
      </w:pPr>
      <w:r>
        <w:rPr>
          <w:rFonts w:hint="eastAsia" w:ascii="宋体" w:hAnsi="宋体"/>
          <w:bCs/>
          <w:color w:val="auto"/>
          <w:szCs w:val="21"/>
          <w:highlight w:val="none"/>
        </w:rPr>
        <w:t xml:space="preserve">    23.2 合同附件与合同正文具有同等的法律效力。</w:t>
      </w:r>
      <w:bookmarkStart w:id="3" w:name="_Toc20313"/>
    </w:p>
    <w:p w14:paraId="5980966D">
      <w:pPr>
        <w:adjustRightInd w:val="0"/>
        <w:snapToGrid w:val="0"/>
        <w:jc w:val="center"/>
        <w:rPr>
          <w:rFonts w:ascii="黑体" w:hAnsi="华文中宋" w:eastAsia="黑体"/>
          <w:color w:val="auto"/>
          <w:sz w:val="28"/>
          <w:szCs w:val="28"/>
          <w:highlight w:val="none"/>
        </w:rPr>
      </w:pPr>
      <w:r>
        <w:rPr>
          <w:rFonts w:hint="eastAsia" w:ascii="黑体" w:hAnsi="华文中宋" w:eastAsia="黑体"/>
          <w:color w:val="auto"/>
          <w:sz w:val="28"/>
          <w:szCs w:val="28"/>
          <w:highlight w:val="none"/>
        </w:rPr>
        <w:br w:type="page"/>
      </w:r>
    </w:p>
    <w:p w14:paraId="5F119DDE">
      <w:pPr>
        <w:pStyle w:val="3"/>
        <w:adjustRightInd w:val="0"/>
        <w:snapToGrid w:val="0"/>
        <w:jc w:val="center"/>
        <w:rPr>
          <w:rFonts w:ascii="黑体" w:hAnsi="华文中宋" w:eastAsia="黑体"/>
          <w:b w:val="0"/>
          <w:bCs w:val="0"/>
          <w:color w:val="auto"/>
          <w:sz w:val="28"/>
          <w:szCs w:val="28"/>
          <w:highlight w:val="none"/>
        </w:rPr>
      </w:pPr>
      <w:r>
        <w:rPr>
          <w:rFonts w:hint="eastAsia" w:ascii="黑体" w:hAnsi="华文中宋" w:eastAsia="黑体"/>
          <w:b w:val="0"/>
          <w:bCs w:val="0"/>
          <w:color w:val="auto"/>
          <w:sz w:val="28"/>
          <w:szCs w:val="28"/>
          <w:highlight w:val="none"/>
        </w:rPr>
        <w:t>第三节 政府采购合同专用条款</w:t>
      </w:r>
      <w:bookmarkEnd w:id="3"/>
    </w:p>
    <w:tbl>
      <w:tblPr>
        <w:tblStyle w:val="8"/>
        <w:tblW w:w="8519"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0"/>
      </w:tblGrid>
      <w:tr w14:paraId="1762DAE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14:paraId="327EDA11">
            <w:pPr>
              <w:adjustRightInd w:val="0"/>
              <w:snapToGrid w:val="0"/>
              <w:jc w:val="center"/>
              <w:rPr>
                <w:rFonts w:ascii="宋体" w:hAnsi="宋体"/>
                <w:color w:val="auto"/>
                <w:szCs w:val="21"/>
                <w:highlight w:val="none"/>
              </w:rPr>
            </w:pPr>
            <w:r>
              <w:rPr>
                <w:rFonts w:hint="eastAsia" w:ascii="宋体" w:hAnsi="宋体"/>
                <w:color w:val="auto"/>
                <w:szCs w:val="21"/>
                <w:highlight w:val="none"/>
              </w:rPr>
              <w:t>第二节</w:t>
            </w:r>
          </w:p>
          <w:p w14:paraId="289F7EE8">
            <w:pPr>
              <w:adjustRightInd w:val="0"/>
              <w:snapToGrid w:val="0"/>
              <w:jc w:val="center"/>
              <w:rPr>
                <w:rFonts w:ascii="宋体" w:hAnsi="宋体"/>
                <w:color w:val="auto"/>
                <w:szCs w:val="21"/>
                <w:highlight w:val="none"/>
              </w:rPr>
            </w:pPr>
            <w:r>
              <w:rPr>
                <w:rFonts w:hint="eastAsia" w:ascii="宋体" w:hAnsi="宋体"/>
                <w:color w:val="auto"/>
                <w:szCs w:val="21"/>
                <w:highlight w:val="none"/>
              </w:rPr>
              <w:t>第1.2（6）项</w:t>
            </w:r>
          </w:p>
        </w:tc>
        <w:tc>
          <w:tcPr>
            <w:tcW w:w="1742" w:type="dxa"/>
            <w:vAlign w:val="center"/>
          </w:tcPr>
          <w:p w14:paraId="399E0228">
            <w:pPr>
              <w:adjustRightInd w:val="0"/>
              <w:snapToGrid w:val="0"/>
              <w:jc w:val="left"/>
              <w:rPr>
                <w:rFonts w:ascii="宋体" w:hAnsi="宋体"/>
                <w:color w:val="auto"/>
                <w:szCs w:val="21"/>
                <w:highlight w:val="none"/>
              </w:rPr>
            </w:pPr>
            <w:r>
              <w:rPr>
                <w:rFonts w:hint="eastAsia" w:ascii="宋体" w:hAnsi="宋体"/>
                <w:color w:val="auto"/>
                <w:szCs w:val="21"/>
                <w:highlight w:val="none"/>
              </w:rPr>
              <w:t>联合体具体要求</w:t>
            </w:r>
          </w:p>
        </w:tc>
        <w:tc>
          <w:tcPr>
            <w:tcW w:w="5170" w:type="dxa"/>
            <w:vAlign w:val="center"/>
          </w:tcPr>
          <w:p w14:paraId="317E2987">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无</w:t>
            </w:r>
          </w:p>
        </w:tc>
      </w:tr>
      <w:tr w14:paraId="49E5914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vAlign w:val="center"/>
          </w:tcPr>
          <w:p w14:paraId="2C65DE29">
            <w:pPr>
              <w:adjustRightInd w:val="0"/>
              <w:snapToGrid w:val="0"/>
              <w:jc w:val="center"/>
              <w:rPr>
                <w:rFonts w:ascii="宋体" w:hAnsi="宋体"/>
                <w:color w:val="auto"/>
                <w:szCs w:val="21"/>
                <w:highlight w:val="none"/>
              </w:rPr>
            </w:pPr>
            <w:r>
              <w:rPr>
                <w:rFonts w:hint="eastAsia" w:ascii="宋体" w:hAnsi="宋体"/>
                <w:color w:val="auto"/>
                <w:szCs w:val="21"/>
                <w:highlight w:val="none"/>
              </w:rPr>
              <w:t>第二节</w:t>
            </w:r>
          </w:p>
          <w:p w14:paraId="259E1120">
            <w:pPr>
              <w:adjustRightInd w:val="0"/>
              <w:snapToGrid w:val="0"/>
              <w:jc w:val="center"/>
              <w:rPr>
                <w:rFonts w:ascii="宋体" w:hAnsi="宋体" w:eastAsia="宋体" w:cs="Times New Roman"/>
                <w:color w:val="auto"/>
                <w:szCs w:val="21"/>
                <w:highlight w:val="none"/>
              </w:rPr>
            </w:pPr>
            <w:r>
              <w:rPr>
                <w:rFonts w:hint="eastAsia" w:ascii="宋体" w:hAnsi="宋体"/>
                <w:color w:val="auto"/>
                <w:szCs w:val="21"/>
                <w:highlight w:val="none"/>
              </w:rPr>
              <w:t>第1.2（7）项</w:t>
            </w:r>
          </w:p>
        </w:tc>
        <w:tc>
          <w:tcPr>
            <w:tcW w:w="1742" w:type="dxa"/>
            <w:vAlign w:val="center"/>
          </w:tcPr>
          <w:p w14:paraId="66C9891F">
            <w:pPr>
              <w:adjustRightInd w:val="0"/>
              <w:snapToGrid w:val="0"/>
              <w:jc w:val="left"/>
              <w:rPr>
                <w:rFonts w:ascii="宋体" w:hAnsi="宋体" w:eastAsia="宋体" w:cs="Times New Roman"/>
                <w:color w:val="auto"/>
                <w:szCs w:val="21"/>
                <w:highlight w:val="none"/>
              </w:rPr>
            </w:pPr>
            <w:r>
              <w:rPr>
                <w:rFonts w:hint="eastAsia" w:ascii="宋体" w:hAnsi="宋体"/>
                <w:color w:val="auto"/>
                <w:szCs w:val="21"/>
                <w:highlight w:val="none"/>
              </w:rPr>
              <w:t>其他术语解释</w:t>
            </w:r>
          </w:p>
        </w:tc>
        <w:tc>
          <w:tcPr>
            <w:tcW w:w="5170" w:type="dxa"/>
            <w:vAlign w:val="center"/>
          </w:tcPr>
          <w:p w14:paraId="016D2B1B">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无</w:t>
            </w:r>
          </w:p>
        </w:tc>
      </w:tr>
      <w:tr w14:paraId="0FC27DE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14:paraId="005BF6AB">
            <w:pPr>
              <w:adjustRightInd w:val="0"/>
              <w:snapToGrid w:val="0"/>
              <w:jc w:val="center"/>
              <w:rPr>
                <w:rFonts w:ascii="宋体" w:hAnsi="宋体"/>
                <w:color w:val="auto"/>
                <w:szCs w:val="21"/>
                <w:highlight w:val="none"/>
              </w:rPr>
            </w:pPr>
            <w:r>
              <w:rPr>
                <w:rFonts w:hint="eastAsia" w:ascii="宋体" w:hAnsi="宋体"/>
                <w:color w:val="auto"/>
                <w:szCs w:val="21"/>
                <w:highlight w:val="none"/>
              </w:rPr>
              <w:t>第二节</w:t>
            </w:r>
          </w:p>
          <w:p w14:paraId="1B9209C4">
            <w:pPr>
              <w:adjustRightInd w:val="0"/>
              <w:snapToGrid w:val="0"/>
              <w:jc w:val="center"/>
              <w:rPr>
                <w:rFonts w:ascii="宋体" w:hAnsi="宋体" w:eastAsia="宋体"/>
                <w:color w:val="auto"/>
                <w:szCs w:val="21"/>
                <w:highlight w:val="none"/>
              </w:rPr>
            </w:pPr>
            <w:r>
              <w:rPr>
                <w:rFonts w:hint="eastAsia" w:ascii="宋体" w:hAnsi="宋体"/>
                <w:color w:val="auto"/>
                <w:szCs w:val="21"/>
                <w:highlight w:val="none"/>
              </w:rPr>
              <w:t>第4.4款</w:t>
            </w:r>
          </w:p>
        </w:tc>
        <w:tc>
          <w:tcPr>
            <w:tcW w:w="1742" w:type="dxa"/>
            <w:vAlign w:val="center"/>
          </w:tcPr>
          <w:p w14:paraId="59E9BD7C">
            <w:pPr>
              <w:adjustRightInd w:val="0"/>
              <w:snapToGrid w:val="0"/>
              <w:jc w:val="left"/>
              <w:rPr>
                <w:rFonts w:ascii="宋体" w:hAnsi="宋体" w:eastAsia="宋体"/>
                <w:color w:val="auto"/>
                <w:szCs w:val="21"/>
                <w:highlight w:val="none"/>
              </w:rPr>
            </w:pPr>
            <w:r>
              <w:rPr>
                <w:rFonts w:hint="eastAsia" w:ascii="宋体" w:hAnsi="宋体"/>
                <w:color w:val="auto"/>
                <w:szCs w:val="21"/>
                <w:highlight w:val="none"/>
              </w:rPr>
              <w:t>履约验收中甲方提出异议或作出说明的期限</w:t>
            </w:r>
          </w:p>
        </w:tc>
        <w:tc>
          <w:tcPr>
            <w:tcW w:w="5170" w:type="dxa"/>
            <w:vAlign w:val="center"/>
          </w:tcPr>
          <w:p w14:paraId="4166892A">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甲方应在验收完成后5个工作日内以书面形式向乙方提出质量或履约问题的异议。乙方需在收到异议后5日内予以解决或书面答复。若逾期未提出异议，视为验收合格。</w:t>
            </w:r>
          </w:p>
        </w:tc>
      </w:tr>
      <w:tr w14:paraId="6EF3F62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14:paraId="1087078C">
            <w:pPr>
              <w:adjustRightInd w:val="0"/>
              <w:snapToGrid w:val="0"/>
              <w:jc w:val="center"/>
              <w:rPr>
                <w:rFonts w:ascii="宋体" w:hAnsi="宋体"/>
                <w:color w:val="auto"/>
                <w:szCs w:val="21"/>
                <w:highlight w:val="none"/>
              </w:rPr>
            </w:pPr>
            <w:r>
              <w:rPr>
                <w:rFonts w:hint="eastAsia" w:ascii="宋体" w:hAnsi="宋体"/>
                <w:color w:val="auto"/>
                <w:szCs w:val="21"/>
                <w:highlight w:val="none"/>
              </w:rPr>
              <w:t>第二节</w:t>
            </w:r>
          </w:p>
          <w:p w14:paraId="71D56841">
            <w:pPr>
              <w:adjustRightInd w:val="0"/>
              <w:snapToGrid w:val="0"/>
              <w:jc w:val="center"/>
              <w:rPr>
                <w:rFonts w:ascii="宋体" w:hAnsi="宋体"/>
                <w:color w:val="auto"/>
                <w:szCs w:val="21"/>
                <w:highlight w:val="none"/>
              </w:rPr>
            </w:pPr>
            <w:r>
              <w:rPr>
                <w:rFonts w:hint="eastAsia" w:ascii="宋体" w:hAnsi="宋体"/>
                <w:color w:val="auto"/>
                <w:szCs w:val="21"/>
                <w:highlight w:val="none"/>
              </w:rPr>
              <w:t>第4.6款</w:t>
            </w:r>
          </w:p>
        </w:tc>
        <w:tc>
          <w:tcPr>
            <w:tcW w:w="1742" w:type="dxa"/>
            <w:vAlign w:val="center"/>
          </w:tcPr>
          <w:p w14:paraId="3F413501">
            <w:pPr>
              <w:adjustRightInd w:val="0"/>
              <w:snapToGrid w:val="0"/>
              <w:jc w:val="left"/>
              <w:rPr>
                <w:rFonts w:ascii="宋体" w:hAnsi="宋体" w:eastAsia="宋体"/>
                <w:color w:val="auto"/>
                <w:szCs w:val="21"/>
                <w:highlight w:val="none"/>
              </w:rPr>
            </w:pPr>
            <w:r>
              <w:rPr>
                <w:rFonts w:hint="eastAsia" w:ascii="宋体" w:hAnsi="宋体"/>
                <w:color w:val="auto"/>
                <w:szCs w:val="21"/>
                <w:highlight w:val="none"/>
              </w:rPr>
              <w:t>约定甲方承担的其他义务和责任</w:t>
            </w:r>
          </w:p>
        </w:tc>
        <w:tc>
          <w:tcPr>
            <w:tcW w:w="5170" w:type="dxa"/>
            <w:vAlign w:val="center"/>
          </w:tcPr>
          <w:p w14:paraId="69530397">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1.甲方负责及时提供图书订购清单。</w:t>
            </w:r>
          </w:p>
          <w:p w14:paraId="20D358CC">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2.甲方负责图书到馆的验收及差、错图书的退、换书手续。</w:t>
            </w:r>
          </w:p>
          <w:p w14:paraId="61C1EED9">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3.甲方提供图书管理系统、设备、场地，为乙方编目、加工人员上门服务创造良好环境。</w:t>
            </w:r>
          </w:p>
        </w:tc>
      </w:tr>
      <w:tr w14:paraId="1D4C2FF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14:paraId="2A330839">
            <w:pPr>
              <w:adjustRightInd w:val="0"/>
              <w:snapToGrid w:val="0"/>
              <w:jc w:val="center"/>
              <w:rPr>
                <w:rFonts w:ascii="宋体" w:hAnsi="宋体"/>
                <w:color w:val="auto"/>
                <w:szCs w:val="21"/>
                <w:highlight w:val="none"/>
              </w:rPr>
            </w:pPr>
            <w:r>
              <w:rPr>
                <w:rFonts w:hint="eastAsia" w:ascii="宋体" w:hAnsi="宋体"/>
                <w:color w:val="auto"/>
                <w:szCs w:val="21"/>
                <w:highlight w:val="none"/>
              </w:rPr>
              <w:t>第二节</w:t>
            </w:r>
          </w:p>
          <w:p w14:paraId="10D7D0EF">
            <w:pPr>
              <w:snapToGrid w:val="0"/>
              <w:jc w:val="center"/>
              <w:rPr>
                <w:color w:val="auto"/>
                <w:highlight w:val="none"/>
              </w:rPr>
            </w:pPr>
            <w:r>
              <w:rPr>
                <w:rFonts w:hint="eastAsia" w:ascii="宋体" w:hAnsi="宋体"/>
                <w:color w:val="auto"/>
                <w:szCs w:val="21"/>
                <w:highlight w:val="none"/>
              </w:rPr>
              <w:t>第5.4款</w:t>
            </w:r>
          </w:p>
        </w:tc>
        <w:tc>
          <w:tcPr>
            <w:tcW w:w="1742" w:type="dxa"/>
            <w:vAlign w:val="center"/>
          </w:tcPr>
          <w:p w14:paraId="549AD6AC">
            <w:pPr>
              <w:adjustRightInd w:val="0"/>
              <w:snapToGrid w:val="0"/>
              <w:jc w:val="left"/>
              <w:rPr>
                <w:rFonts w:ascii="宋体" w:hAnsi="宋体"/>
                <w:color w:val="auto"/>
                <w:szCs w:val="21"/>
                <w:highlight w:val="none"/>
              </w:rPr>
            </w:pPr>
            <w:r>
              <w:rPr>
                <w:rFonts w:hint="eastAsia" w:ascii="宋体" w:hAnsi="宋体"/>
                <w:color w:val="auto"/>
                <w:szCs w:val="21"/>
                <w:highlight w:val="none"/>
              </w:rPr>
              <w:t>约定乙方承担的其他义务和责任</w:t>
            </w:r>
          </w:p>
        </w:tc>
        <w:tc>
          <w:tcPr>
            <w:tcW w:w="5170" w:type="dxa"/>
            <w:vAlign w:val="center"/>
          </w:tcPr>
          <w:p w14:paraId="5C94C621">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1.所购图书以适合我校学科专业图书为主，所购图书尽量购买简装本，不得购买原版外文图书。</w:t>
            </w:r>
          </w:p>
          <w:p w14:paraId="5AFC02C8">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2.乙方所提供的图书应具有合法来源，保证是正版图书，不牵涉版权、著作权问题且未使用过的全新图书。如发现盗版图书，甲方有权无条件终止乙方供货资格，乙方须承担由此而引起的一切法律责任。</w:t>
            </w:r>
          </w:p>
          <w:p w14:paraId="7E47D444">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3.（采购包1）乙方提供的图书采购重点保障材料科学与工程、控制科学与工程、计算机科学与技术、信息与通信工程、化学工程与技术、石油与天然气工程、环境科学与工程、食品科学与工程、机械工程等学科建设所需图书，适度保障其余各理工科专业类图书。</w:t>
            </w:r>
          </w:p>
          <w:p w14:paraId="78F7044D">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采购包2）乙方提供的图书采购分为专业类图书和综合人文素养类图书两部分。专业类图书主要采购与我校经济学、文学、法学、历史学等文科专业相关的图书，综合人文素养类图书包括马列经典读物、哲学、心理学、文学作品、历史地理、财经读物、艺术、法律等。</w:t>
            </w:r>
            <w:r>
              <w:rPr>
                <w:rFonts w:hint="eastAsia" w:ascii="宋体" w:hAnsi="宋体" w:eastAsia="宋体" w:cs="宋体"/>
                <w:iCs/>
                <w:color w:val="auto"/>
                <w:szCs w:val="21"/>
                <w:highlight w:val="none"/>
              </w:rPr>
              <w:t xml:space="preserve">  </w:t>
            </w:r>
          </w:p>
          <w:p w14:paraId="4477A6AE">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4.套录数据要求：</w:t>
            </w:r>
          </w:p>
          <w:p w14:paraId="21714145">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1）随书提供包含801字段在内的CALIS机读目录格式编目数据（CN-MARC以及US-MARC），编目数据应以《中国文献著录规则》、《新版中国机读目录格式使用手册》和《CALIS联机合作编目手册》为著录依据，以《中国图书馆分类法》第五版为图书分类依据，以《中国分类主题词表》作为文献主题标引的依据。并且该数据须完全符合甲方图书管理系统的格式与运行要求，并可在该系统无障碍使用。</w:t>
            </w:r>
          </w:p>
          <w:p w14:paraId="0D2BECF4">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（2）采访数据导入系统时，书目数据能够成批导入，取号由甲方灵活掌握。编目数据进行数据更新时，需保证正常运行，一旦发现数据有误，乙方须在一天之内回复并纠正。</w:t>
            </w:r>
          </w:p>
          <w:p w14:paraId="26AA598C">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5.图书现采要求：</w:t>
            </w:r>
          </w:p>
          <w:p w14:paraId="44D0F807">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由乙方提出现采计划，双方协商确定具体的现采时间、地点和参加人员，并提供一次现采方案。</w:t>
            </w:r>
          </w:p>
          <w:p w14:paraId="015C2ED3">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6.图书预订要求：</w:t>
            </w:r>
          </w:p>
          <w:p w14:paraId="78ECBC28">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（1）乙方须把各大出版社的新书目录数据（CN-MARC格式），通过网络及时传输给甲方。</w:t>
            </w:r>
          </w:p>
          <w:p w14:paraId="701FABC4">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（2）乙方须根据甲方提供的图书订单，在一个月内向甲方反馈订购情况。</w:t>
            </w:r>
          </w:p>
          <w:p w14:paraId="03927987">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（3）乙方须按甲方要求从正规渠道进行采购，并保证图书的质量和订到率。</w:t>
            </w:r>
          </w:p>
          <w:p w14:paraId="41397FE3">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7.图书加工要求：</w:t>
            </w:r>
          </w:p>
          <w:p w14:paraId="2588874C">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乙方负责为甲方采购的新书加贴两种磁条：样本书库、工具书阅览室、光华校区入藏图书加贴一根防盗钴基永磁磁条（含钴量为60%～70%）；官渡校区流通二库、流通一库（外文书室）、西城校区临时图书馆入藏图书加装与我馆自助借还系统相匹配的RFID电子标签。乙方须负责为新书加盖馆藏章、贴条形码、贴书标、贴保护膜以及编目数据字段的录入加工，并有能力派遣固定的加工人员到甲方办公地点进行图书加工服务。RFID电子标签、钴基永磁磁条、书标、条形码、保护膜等加工耗材由乙方负责。</w:t>
            </w:r>
          </w:p>
        </w:tc>
      </w:tr>
      <w:tr w14:paraId="5B6632D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14:paraId="43913C65">
            <w:pPr>
              <w:adjustRightInd w:val="0"/>
              <w:snapToGrid w:val="0"/>
              <w:jc w:val="center"/>
              <w:rPr>
                <w:rFonts w:ascii="宋体" w:hAnsi="宋体"/>
                <w:color w:val="auto"/>
                <w:szCs w:val="21"/>
                <w:highlight w:val="none"/>
              </w:rPr>
            </w:pPr>
            <w:r>
              <w:rPr>
                <w:rFonts w:hint="eastAsia" w:ascii="宋体" w:hAnsi="宋体"/>
                <w:color w:val="auto"/>
                <w:szCs w:val="21"/>
                <w:highlight w:val="none"/>
              </w:rPr>
              <w:t>第二节</w:t>
            </w:r>
          </w:p>
          <w:p w14:paraId="5BCBE0F0">
            <w:pPr>
              <w:snapToGrid w:val="0"/>
              <w:jc w:val="center"/>
              <w:rPr>
                <w:rFonts w:ascii="宋体" w:hAnsi="宋体"/>
                <w:color w:val="auto"/>
                <w:szCs w:val="21"/>
                <w:highlight w:val="none"/>
              </w:rPr>
            </w:pPr>
            <w:r>
              <w:rPr>
                <w:rFonts w:hint="eastAsia" w:ascii="宋体" w:hAnsi="宋体"/>
                <w:color w:val="auto"/>
                <w:szCs w:val="21"/>
                <w:highlight w:val="none"/>
              </w:rPr>
              <w:t>第6.1款</w:t>
            </w:r>
          </w:p>
        </w:tc>
        <w:tc>
          <w:tcPr>
            <w:tcW w:w="1742" w:type="dxa"/>
            <w:vAlign w:val="center"/>
          </w:tcPr>
          <w:p w14:paraId="60A526D9">
            <w:pPr>
              <w:adjustRightInd w:val="0"/>
              <w:snapToGrid w:val="0"/>
              <w:jc w:val="left"/>
              <w:rPr>
                <w:rFonts w:ascii="宋体" w:hAnsi="宋体"/>
                <w:color w:val="auto"/>
                <w:szCs w:val="21"/>
                <w:highlight w:val="none"/>
              </w:rPr>
            </w:pPr>
            <w:r>
              <w:rPr>
                <w:rFonts w:hint="eastAsia" w:ascii="宋体" w:hAnsi="宋体"/>
                <w:color w:val="auto"/>
                <w:szCs w:val="21"/>
                <w:highlight w:val="none"/>
              </w:rPr>
              <w:t>履行合同义务的顺序</w:t>
            </w:r>
          </w:p>
        </w:tc>
        <w:tc>
          <w:tcPr>
            <w:tcW w:w="5170" w:type="dxa"/>
            <w:vAlign w:val="center"/>
          </w:tcPr>
          <w:p w14:paraId="7CB9F581">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无</w:t>
            </w:r>
          </w:p>
        </w:tc>
      </w:tr>
      <w:tr w14:paraId="33130F3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vAlign w:val="center"/>
          </w:tcPr>
          <w:p w14:paraId="50E2BC7B">
            <w:pPr>
              <w:adjustRightInd w:val="0"/>
              <w:snapToGrid w:val="0"/>
              <w:jc w:val="center"/>
              <w:rPr>
                <w:rFonts w:ascii="宋体" w:hAnsi="宋体"/>
                <w:color w:val="auto"/>
                <w:szCs w:val="21"/>
                <w:highlight w:val="none"/>
              </w:rPr>
            </w:pPr>
            <w:r>
              <w:rPr>
                <w:rFonts w:hint="eastAsia" w:ascii="宋体" w:hAnsi="宋体"/>
                <w:color w:val="auto"/>
                <w:szCs w:val="21"/>
                <w:highlight w:val="none"/>
              </w:rPr>
              <w:t>第二节</w:t>
            </w:r>
          </w:p>
          <w:p w14:paraId="3D9206A0">
            <w:pPr>
              <w:adjustRightInd w:val="0"/>
              <w:snapToGrid w:val="0"/>
              <w:jc w:val="center"/>
              <w:rPr>
                <w:rFonts w:ascii="宋体" w:hAnsi="宋体"/>
                <w:color w:val="auto"/>
                <w:szCs w:val="21"/>
                <w:highlight w:val="none"/>
              </w:rPr>
            </w:pPr>
            <w:r>
              <w:rPr>
                <w:rFonts w:hint="eastAsia" w:ascii="宋体" w:hAnsi="宋体"/>
                <w:color w:val="auto"/>
                <w:szCs w:val="21"/>
                <w:highlight w:val="none"/>
              </w:rPr>
              <w:t>第7.1款</w:t>
            </w:r>
          </w:p>
        </w:tc>
        <w:tc>
          <w:tcPr>
            <w:tcW w:w="1742" w:type="dxa"/>
            <w:vAlign w:val="center"/>
          </w:tcPr>
          <w:p w14:paraId="0F4B75BC">
            <w:pPr>
              <w:adjustRightInd w:val="0"/>
              <w:snapToGrid w:val="0"/>
              <w:jc w:val="left"/>
              <w:rPr>
                <w:rFonts w:ascii="宋体" w:hAnsi="宋体"/>
                <w:color w:val="auto"/>
                <w:szCs w:val="21"/>
                <w:highlight w:val="none"/>
              </w:rPr>
            </w:pPr>
            <w:r>
              <w:rPr>
                <w:rFonts w:hint="eastAsia" w:ascii="宋体" w:hAnsi="宋体"/>
                <w:color w:val="auto"/>
                <w:szCs w:val="21"/>
                <w:highlight w:val="none"/>
              </w:rPr>
              <w:t>包装特殊要求</w:t>
            </w:r>
          </w:p>
        </w:tc>
        <w:tc>
          <w:tcPr>
            <w:tcW w:w="5170" w:type="dxa"/>
            <w:vAlign w:val="center"/>
          </w:tcPr>
          <w:p w14:paraId="76D81B78">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1.乙方每次配送必须随图书附验收清单1份，图书应按清单顺序排好，其中官渡校区图书馆图书、西城校区临时图书馆图书、光华校区图书馆图书应分别单独打包。</w:t>
            </w:r>
          </w:p>
          <w:p w14:paraId="381CB301">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2.乙方配送图书到指定地点后，须经甲方当面清点签收；图书需小心轻放，确保图书完好无损。</w:t>
            </w:r>
          </w:p>
          <w:p w14:paraId="184AF677">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 xml:space="preserve">3.乙方须负责为图书盖RFID电子标签或钴基永磁磁条、馆藏章、贴条形码、贴书标、贴保护膜以及编目数据字段的录入加工，并有能力派遣固定的加工人员到甲方办公地点进行图书加工服务。RFID电子标签、钴基永磁磁条、书标、条形码、保护膜等加工耗材由乙方负责。 </w:t>
            </w:r>
          </w:p>
        </w:tc>
      </w:tr>
      <w:tr w14:paraId="7C10077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vAlign w:val="center"/>
          </w:tcPr>
          <w:p w14:paraId="58686232">
            <w:pPr>
              <w:adjustRightInd w:val="0"/>
              <w:snapToGrid w:val="0"/>
              <w:jc w:val="center"/>
              <w:rPr>
                <w:rFonts w:ascii="宋体" w:hAnsi="宋体"/>
                <w:color w:val="auto"/>
                <w:szCs w:val="21"/>
                <w:highlight w:val="none"/>
              </w:rPr>
            </w:pPr>
          </w:p>
        </w:tc>
        <w:tc>
          <w:tcPr>
            <w:tcW w:w="1742" w:type="dxa"/>
            <w:vAlign w:val="center"/>
          </w:tcPr>
          <w:p w14:paraId="0DBF09A6">
            <w:pPr>
              <w:adjustRightInd w:val="0"/>
              <w:snapToGrid w:val="0"/>
              <w:jc w:val="left"/>
              <w:rPr>
                <w:rFonts w:ascii="宋体" w:hAnsi="宋体" w:eastAsia="宋体"/>
                <w:color w:val="auto"/>
                <w:szCs w:val="21"/>
                <w:highlight w:val="none"/>
              </w:rPr>
            </w:pPr>
            <w:r>
              <w:rPr>
                <w:rFonts w:hint="eastAsia" w:ascii="宋体" w:hAnsi="宋体"/>
                <w:color w:val="auto"/>
                <w:szCs w:val="21"/>
                <w:highlight w:val="none"/>
              </w:rPr>
              <w:t>指定现场</w:t>
            </w:r>
          </w:p>
        </w:tc>
        <w:tc>
          <w:tcPr>
            <w:tcW w:w="5170" w:type="dxa"/>
            <w:vAlign w:val="center"/>
          </w:tcPr>
          <w:p w14:paraId="6544E1AC">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甲方指定</w:t>
            </w:r>
          </w:p>
        </w:tc>
      </w:tr>
      <w:tr w14:paraId="0D9F828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vAlign w:val="center"/>
          </w:tcPr>
          <w:p w14:paraId="0A326E4F">
            <w:pPr>
              <w:adjustRightInd w:val="0"/>
              <w:snapToGrid w:val="0"/>
              <w:jc w:val="center"/>
              <w:rPr>
                <w:rFonts w:ascii="宋体" w:hAnsi="宋体"/>
                <w:color w:val="auto"/>
                <w:szCs w:val="21"/>
                <w:highlight w:val="none"/>
              </w:rPr>
            </w:pPr>
            <w:r>
              <w:rPr>
                <w:rFonts w:hint="eastAsia" w:ascii="宋体" w:hAnsi="宋体"/>
                <w:color w:val="auto"/>
                <w:szCs w:val="21"/>
                <w:highlight w:val="none"/>
              </w:rPr>
              <w:t>第二节</w:t>
            </w:r>
          </w:p>
          <w:p w14:paraId="1FE0286D">
            <w:pPr>
              <w:adjustRightInd w:val="0"/>
              <w:snapToGrid w:val="0"/>
              <w:jc w:val="center"/>
              <w:rPr>
                <w:rFonts w:ascii="宋体" w:hAnsi="宋体"/>
                <w:color w:val="auto"/>
                <w:szCs w:val="21"/>
                <w:highlight w:val="none"/>
              </w:rPr>
            </w:pPr>
            <w:r>
              <w:rPr>
                <w:rFonts w:hint="eastAsia" w:ascii="宋体" w:hAnsi="宋体"/>
                <w:color w:val="auto"/>
                <w:szCs w:val="21"/>
                <w:highlight w:val="none"/>
              </w:rPr>
              <w:t>第7.2款</w:t>
            </w:r>
          </w:p>
        </w:tc>
        <w:tc>
          <w:tcPr>
            <w:tcW w:w="1742" w:type="dxa"/>
            <w:vAlign w:val="center"/>
          </w:tcPr>
          <w:p w14:paraId="60210D97">
            <w:pPr>
              <w:adjustRightInd w:val="0"/>
              <w:snapToGrid w:val="0"/>
              <w:jc w:val="left"/>
              <w:rPr>
                <w:rFonts w:ascii="宋体" w:hAnsi="宋体" w:eastAsia="宋体"/>
                <w:color w:val="auto"/>
                <w:szCs w:val="21"/>
                <w:highlight w:val="none"/>
              </w:rPr>
            </w:pPr>
            <w:r>
              <w:rPr>
                <w:rFonts w:hint="eastAsia" w:ascii="宋体" w:hAnsi="宋体"/>
                <w:color w:val="auto"/>
                <w:szCs w:val="21"/>
                <w:highlight w:val="none"/>
              </w:rPr>
              <w:t>运输特殊要求</w:t>
            </w:r>
          </w:p>
        </w:tc>
        <w:tc>
          <w:tcPr>
            <w:tcW w:w="5170" w:type="dxa"/>
            <w:vAlign w:val="center"/>
          </w:tcPr>
          <w:p w14:paraId="2A7526DF">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无</w:t>
            </w:r>
          </w:p>
        </w:tc>
      </w:tr>
      <w:tr w14:paraId="7F5F9E2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Align w:val="center"/>
          </w:tcPr>
          <w:p w14:paraId="1B118DA9">
            <w:pPr>
              <w:adjustRightInd w:val="0"/>
              <w:snapToGrid w:val="0"/>
              <w:jc w:val="center"/>
              <w:rPr>
                <w:rFonts w:ascii="宋体" w:hAnsi="宋体"/>
                <w:color w:val="auto"/>
                <w:szCs w:val="21"/>
                <w:highlight w:val="none"/>
              </w:rPr>
            </w:pPr>
            <w:r>
              <w:rPr>
                <w:rFonts w:hint="eastAsia" w:ascii="宋体" w:hAnsi="宋体"/>
                <w:color w:val="auto"/>
                <w:szCs w:val="21"/>
                <w:highlight w:val="none"/>
              </w:rPr>
              <w:t>第二节</w:t>
            </w:r>
          </w:p>
          <w:p w14:paraId="02229446">
            <w:pPr>
              <w:adjustRightInd w:val="0"/>
              <w:snapToGrid w:val="0"/>
              <w:jc w:val="center"/>
              <w:rPr>
                <w:rFonts w:ascii="宋体" w:hAnsi="宋体"/>
                <w:color w:val="auto"/>
                <w:szCs w:val="21"/>
                <w:highlight w:val="none"/>
              </w:rPr>
            </w:pPr>
            <w:r>
              <w:rPr>
                <w:rFonts w:hint="eastAsia" w:ascii="宋体" w:hAnsi="宋体"/>
                <w:color w:val="auto"/>
                <w:szCs w:val="21"/>
                <w:highlight w:val="none"/>
              </w:rPr>
              <w:t>第7.3款</w:t>
            </w:r>
          </w:p>
        </w:tc>
        <w:tc>
          <w:tcPr>
            <w:tcW w:w="1742" w:type="dxa"/>
            <w:vAlign w:val="center"/>
          </w:tcPr>
          <w:p w14:paraId="5BC13FC4">
            <w:pPr>
              <w:adjustRightInd w:val="0"/>
              <w:snapToGrid w:val="0"/>
              <w:jc w:val="left"/>
              <w:rPr>
                <w:rFonts w:ascii="宋体" w:hAnsi="宋体" w:eastAsia="宋体"/>
                <w:color w:val="auto"/>
                <w:szCs w:val="21"/>
                <w:highlight w:val="none"/>
              </w:rPr>
            </w:pPr>
            <w:r>
              <w:rPr>
                <w:rFonts w:hint="eastAsia" w:ascii="宋体" w:hAnsi="宋体"/>
                <w:color w:val="auto"/>
                <w:szCs w:val="21"/>
                <w:highlight w:val="none"/>
              </w:rPr>
              <w:t>保险要求</w:t>
            </w:r>
          </w:p>
        </w:tc>
        <w:tc>
          <w:tcPr>
            <w:tcW w:w="5170" w:type="dxa"/>
            <w:vAlign w:val="center"/>
          </w:tcPr>
          <w:p w14:paraId="111E46D3">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乙方负责运输保险</w:t>
            </w:r>
          </w:p>
        </w:tc>
      </w:tr>
      <w:tr w14:paraId="30564F8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14:paraId="72437F32">
            <w:pPr>
              <w:adjustRightInd w:val="0"/>
              <w:snapToGrid w:val="0"/>
              <w:jc w:val="center"/>
              <w:rPr>
                <w:rFonts w:ascii="宋体" w:hAnsi="宋体"/>
                <w:color w:val="auto"/>
                <w:szCs w:val="21"/>
                <w:highlight w:val="none"/>
              </w:rPr>
            </w:pPr>
            <w:r>
              <w:rPr>
                <w:rFonts w:hint="eastAsia" w:ascii="宋体" w:hAnsi="宋体"/>
                <w:color w:val="auto"/>
                <w:szCs w:val="21"/>
                <w:highlight w:val="none"/>
              </w:rPr>
              <w:t>第二节</w:t>
            </w:r>
          </w:p>
          <w:p w14:paraId="3D44BB93">
            <w:pPr>
              <w:adjustRightInd w:val="0"/>
              <w:snapToGrid w:val="0"/>
              <w:jc w:val="center"/>
              <w:rPr>
                <w:rFonts w:ascii="宋体" w:hAnsi="宋体"/>
                <w:color w:val="auto"/>
                <w:szCs w:val="21"/>
                <w:highlight w:val="none"/>
              </w:rPr>
            </w:pPr>
            <w:r>
              <w:rPr>
                <w:rFonts w:hint="eastAsia" w:ascii="宋体" w:hAnsi="宋体"/>
                <w:color w:val="auto"/>
                <w:szCs w:val="21"/>
                <w:highlight w:val="none"/>
              </w:rPr>
              <w:t>第8.2（1）项</w:t>
            </w:r>
          </w:p>
        </w:tc>
        <w:tc>
          <w:tcPr>
            <w:tcW w:w="1742" w:type="dxa"/>
            <w:vAlign w:val="center"/>
          </w:tcPr>
          <w:p w14:paraId="3C0E9DCF">
            <w:pPr>
              <w:adjustRightInd w:val="0"/>
              <w:snapToGrid w:val="0"/>
              <w:jc w:val="left"/>
              <w:rPr>
                <w:rFonts w:ascii="宋体" w:hAnsi="宋体"/>
                <w:color w:val="auto"/>
                <w:szCs w:val="21"/>
                <w:highlight w:val="none"/>
              </w:rPr>
            </w:pPr>
            <w:r>
              <w:rPr>
                <w:rFonts w:hint="eastAsia" w:ascii="宋体" w:hAnsi="宋体"/>
                <w:color w:val="auto"/>
                <w:szCs w:val="21"/>
                <w:highlight w:val="none"/>
              </w:rPr>
              <w:t>质量保证期</w:t>
            </w:r>
          </w:p>
        </w:tc>
        <w:tc>
          <w:tcPr>
            <w:tcW w:w="5170" w:type="dxa"/>
            <w:vAlign w:val="center"/>
          </w:tcPr>
          <w:p w14:paraId="6ACD26E6">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壹年</w:t>
            </w:r>
          </w:p>
        </w:tc>
      </w:tr>
      <w:tr w14:paraId="2D5088E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14:paraId="6346B7D4">
            <w:pPr>
              <w:adjustRightInd w:val="0"/>
              <w:snapToGrid w:val="0"/>
              <w:jc w:val="center"/>
              <w:rPr>
                <w:rFonts w:ascii="宋体" w:hAnsi="宋体"/>
                <w:color w:val="auto"/>
                <w:szCs w:val="21"/>
                <w:highlight w:val="none"/>
              </w:rPr>
            </w:pPr>
            <w:r>
              <w:rPr>
                <w:rFonts w:hint="eastAsia" w:ascii="宋体" w:hAnsi="宋体"/>
                <w:color w:val="auto"/>
                <w:szCs w:val="21"/>
                <w:highlight w:val="none"/>
              </w:rPr>
              <w:t>第二节</w:t>
            </w:r>
          </w:p>
          <w:p w14:paraId="298568E3">
            <w:pPr>
              <w:adjustRightInd w:val="0"/>
              <w:snapToGrid w:val="0"/>
              <w:jc w:val="center"/>
              <w:rPr>
                <w:rFonts w:ascii="宋体" w:hAnsi="宋体"/>
                <w:color w:val="auto"/>
                <w:szCs w:val="21"/>
                <w:highlight w:val="none"/>
              </w:rPr>
            </w:pPr>
            <w:r>
              <w:rPr>
                <w:rFonts w:hint="eastAsia" w:ascii="宋体" w:hAnsi="宋体"/>
                <w:color w:val="auto"/>
                <w:szCs w:val="21"/>
                <w:highlight w:val="none"/>
              </w:rPr>
              <w:t>第8.2（3）项</w:t>
            </w:r>
          </w:p>
        </w:tc>
        <w:tc>
          <w:tcPr>
            <w:tcW w:w="1742" w:type="dxa"/>
            <w:vAlign w:val="center"/>
          </w:tcPr>
          <w:p w14:paraId="37223DB6">
            <w:pPr>
              <w:adjustRightInd w:val="0"/>
              <w:snapToGrid w:val="0"/>
              <w:jc w:val="left"/>
              <w:rPr>
                <w:rFonts w:ascii="宋体" w:hAnsi="宋体"/>
                <w:color w:val="auto"/>
                <w:szCs w:val="21"/>
                <w:highlight w:val="none"/>
              </w:rPr>
            </w:pPr>
            <w:r>
              <w:rPr>
                <w:rFonts w:hint="eastAsia" w:ascii="宋体" w:hAnsi="宋体"/>
                <w:color w:val="auto"/>
                <w:szCs w:val="21"/>
                <w:highlight w:val="none"/>
              </w:rPr>
              <w:t>货物质量缺陷</w:t>
            </w:r>
          </w:p>
          <w:p w14:paraId="319172D9">
            <w:pPr>
              <w:adjustRightInd w:val="0"/>
              <w:snapToGrid w:val="0"/>
              <w:jc w:val="left"/>
              <w:rPr>
                <w:rFonts w:ascii="宋体" w:hAnsi="宋体"/>
                <w:color w:val="auto"/>
                <w:szCs w:val="21"/>
                <w:highlight w:val="none"/>
              </w:rPr>
            </w:pPr>
            <w:r>
              <w:rPr>
                <w:rFonts w:hint="eastAsia" w:ascii="宋体" w:hAnsi="宋体"/>
                <w:color w:val="auto"/>
                <w:szCs w:val="21"/>
                <w:highlight w:val="none"/>
              </w:rPr>
              <w:t>响应时间</w:t>
            </w:r>
          </w:p>
        </w:tc>
        <w:tc>
          <w:tcPr>
            <w:tcW w:w="5170" w:type="dxa"/>
            <w:vAlign w:val="center"/>
          </w:tcPr>
          <w:p w14:paraId="51C69A89">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无</w:t>
            </w:r>
          </w:p>
        </w:tc>
      </w:tr>
      <w:tr w14:paraId="104E981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14:paraId="04745E1F">
            <w:pPr>
              <w:snapToGrid w:val="0"/>
              <w:jc w:val="center"/>
              <w:rPr>
                <w:rFonts w:ascii="宋体" w:hAnsi="宋体" w:cs="宋体"/>
                <w:color w:val="auto"/>
                <w:szCs w:val="21"/>
                <w:highlight w:val="none"/>
              </w:rPr>
            </w:pPr>
            <w:r>
              <w:rPr>
                <w:rFonts w:hint="eastAsia" w:ascii="宋体" w:hAnsi="宋体" w:cs="宋体"/>
                <w:color w:val="auto"/>
                <w:szCs w:val="21"/>
                <w:highlight w:val="none"/>
              </w:rPr>
              <w:t>第二节</w:t>
            </w:r>
          </w:p>
          <w:p w14:paraId="1CEAD681">
            <w:pPr>
              <w:pStyle w:val="2"/>
              <w:ind w:firstLine="0" w:firstLineChars="0"/>
              <w:jc w:val="center"/>
              <w:rPr>
                <w:color w:val="auto"/>
                <w:highlight w:val="none"/>
              </w:rPr>
            </w:pPr>
            <w:r>
              <w:rPr>
                <w:rFonts w:hint="eastAsia" w:ascii="宋体" w:hAnsi="宋体" w:eastAsia="宋体" w:cs="宋体"/>
                <w:color w:val="auto"/>
                <w:highlight w:val="none"/>
              </w:rPr>
              <w:t>第11.1款</w:t>
            </w:r>
          </w:p>
        </w:tc>
        <w:tc>
          <w:tcPr>
            <w:tcW w:w="1742" w:type="dxa"/>
            <w:vAlign w:val="center"/>
          </w:tcPr>
          <w:p w14:paraId="67F5E127">
            <w:pPr>
              <w:adjustRightInd w:val="0"/>
              <w:snapToGrid w:val="0"/>
              <w:rPr>
                <w:rFonts w:ascii="宋体" w:hAnsi="宋体" w:eastAsia="宋体"/>
                <w:color w:val="auto"/>
                <w:szCs w:val="21"/>
                <w:highlight w:val="none"/>
              </w:rPr>
            </w:pPr>
            <w:r>
              <w:rPr>
                <w:rFonts w:hint="eastAsia" w:ascii="宋体" w:hAnsi="宋体"/>
                <w:color w:val="auto"/>
                <w:szCs w:val="21"/>
                <w:highlight w:val="none"/>
              </w:rPr>
              <w:t>其他应当保密的信息</w:t>
            </w:r>
          </w:p>
        </w:tc>
        <w:tc>
          <w:tcPr>
            <w:tcW w:w="5170" w:type="dxa"/>
            <w:vAlign w:val="center"/>
          </w:tcPr>
          <w:p w14:paraId="2041D6BD">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无</w:t>
            </w:r>
          </w:p>
        </w:tc>
      </w:tr>
      <w:tr w14:paraId="55154C3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vAlign w:val="center"/>
          </w:tcPr>
          <w:p w14:paraId="7EFEE65A">
            <w:pPr>
              <w:adjustRightInd w:val="0"/>
              <w:snapToGrid w:val="0"/>
              <w:jc w:val="center"/>
              <w:rPr>
                <w:rFonts w:ascii="宋体" w:hAnsi="宋体"/>
                <w:color w:val="auto"/>
                <w:szCs w:val="21"/>
                <w:highlight w:val="none"/>
              </w:rPr>
            </w:pPr>
            <w:r>
              <w:rPr>
                <w:rFonts w:hint="eastAsia" w:ascii="宋体" w:hAnsi="宋体"/>
                <w:color w:val="auto"/>
                <w:szCs w:val="21"/>
                <w:highlight w:val="none"/>
              </w:rPr>
              <w:t>第二节</w:t>
            </w:r>
          </w:p>
          <w:p w14:paraId="276C73F1">
            <w:pPr>
              <w:adjustRightInd w:val="0"/>
              <w:snapToGrid w:val="0"/>
              <w:jc w:val="center"/>
              <w:rPr>
                <w:rFonts w:ascii="宋体" w:hAnsi="宋体"/>
                <w:color w:val="auto"/>
                <w:szCs w:val="21"/>
                <w:highlight w:val="none"/>
              </w:rPr>
            </w:pPr>
            <w:r>
              <w:rPr>
                <w:rFonts w:hint="eastAsia" w:ascii="宋体" w:hAnsi="宋体"/>
                <w:color w:val="auto"/>
                <w:szCs w:val="21"/>
                <w:highlight w:val="none"/>
              </w:rPr>
              <w:t>第12.2款</w:t>
            </w:r>
          </w:p>
        </w:tc>
        <w:tc>
          <w:tcPr>
            <w:tcW w:w="1742" w:type="dxa"/>
            <w:vAlign w:val="center"/>
          </w:tcPr>
          <w:p w14:paraId="5D6EC159">
            <w:pPr>
              <w:adjustRightInd w:val="0"/>
              <w:snapToGrid w:val="0"/>
              <w:jc w:val="left"/>
              <w:rPr>
                <w:rFonts w:ascii="宋体" w:hAnsi="宋体" w:eastAsia="宋体"/>
                <w:color w:val="auto"/>
                <w:szCs w:val="21"/>
                <w:highlight w:val="none"/>
              </w:rPr>
            </w:pPr>
            <w:r>
              <w:rPr>
                <w:rFonts w:hint="eastAsia" w:ascii="宋体" w:hAnsi="宋体"/>
                <w:color w:val="auto"/>
                <w:szCs w:val="21"/>
                <w:highlight w:val="none"/>
              </w:rPr>
              <w:t>合同价款支付时间</w:t>
            </w:r>
          </w:p>
        </w:tc>
        <w:tc>
          <w:tcPr>
            <w:tcW w:w="5170" w:type="dxa"/>
            <w:vAlign w:val="center"/>
          </w:tcPr>
          <w:p w14:paraId="176C4F87">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甲方验收完每批图书后，乙方按照中标折后价开具发票，甲方需在收到发票后15天内按发票提供的银行帐号付款，直至项目完成。</w:t>
            </w:r>
          </w:p>
          <w:p w14:paraId="34AADE48">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(1)乙方为中小企业的，预付款比例为合同金额的30%，在合同签订后5个工作日完成支付，甲方采购图书金额达到合同金额的30%后，再按每次实际购买图书的金额支付。</w:t>
            </w:r>
          </w:p>
          <w:p w14:paraId="3F7E9F7C">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(2)乙方为非中小企业的，本项目无预付款。</w:t>
            </w:r>
          </w:p>
        </w:tc>
      </w:tr>
      <w:tr w14:paraId="4E0A67D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vAlign w:val="center"/>
          </w:tcPr>
          <w:p w14:paraId="01DDBB8A">
            <w:pPr>
              <w:adjustRightInd w:val="0"/>
              <w:snapToGrid w:val="0"/>
              <w:jc w:val="center"/>
              <w:rPr>
                <w:rFonts w:ascii="宋体" w:hAnsi="宋体"/>
                <w:color w:val="auto"/>
                <w:szCs w:val="21"/>
                <w:highlight w:val="none"/>
              </w:rPr>
            </w:pPr>
            <w:r>
              <w:rPr>
                <w:rFonts w:hint="eastAsia" w:ascii="宋体" w:hAnsi="宋体"/>
                <w:color w:val="auto"/>
                <w:szCs w:val="21"/>
                <w:highlight w:val="none"/>
              </w:rPr>
              <w:t>第二节</w:t>
            </w:r>
          </w:p>
          <w:p w14:paraId="550CF632">
            <w:pPr>
              <w:adjustRightInd w:val="0"/>
              <w:snapToGrid w:val="0"/>
              <w:jc w:val="center"/>
              <w:rPr>
                <w:rFonts w:ascii="宋体" w:hAnsi="宋体"/>
                <w:color w:val="auto"/>
                <w:szCs w:val="21"/>
                <w:highlight w:val="none"/>
              </w:rPr>
            </w:pPr>
            <w:r>
              <w:rPr>
                <w:rFonts w:hint="eastAsia" w:ascii="宋体" w:hAnsi="宋体"/>
                <w:color w:val="auto"/>
                <w:szCs w:val="21"/>
                <w:highlight w:val="none"/>
              </w:rPr>
              <w:t>第13.2款</w:t>
            </w:r>
          </w:p>
        </w:tc>
        <w:tc>
          <w:tcPr>
            <w:tcW w:w="1742" w:type="dxa"/>
            <w:vAlign w:val="center"/>
          </w:tcPr>
          <w:p w14:paraId="589AAEDD">
            <w:pPr>
              <w:adjustRightInd w:val="0"/>
              <w:snapToGrid w:val="0"/>
              <w:jc w:val="left"/>
              <w:rPr>
                <w:rFonts w:ascii="宋体" w:hAnsi="宋体" w:eastAsia="宋体"/>
                <w:color w:val="auto"/>
                <w:szCs w:val="21"/>
                <w:highlight w:val="none"/>
              </w:rPr>
            </w:pPr>
            <w:r>
              <w:rPr>
                <w:rFonts w:hint="eastAsia" w:ascii="宋体" w:hAnsi="宋体"/>
                <w:color w:val="auto"/>
                <w:szCs w:val="21"/>
                <w:highlight w:val="none"/>
              </w:rPr>
              <w:t>履约保证金不予退还的情形</w:t>
            </w:r>
          </w:p>
        </w:tc>
        <w:tc>
          <w:tcPr>
            <w:tcW w:w="5170" w:type="dxa"/>
            <w:vAlign w:val="center"/>
          </w:tcPr>
          <w:p w14:paraId="716A8801">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如在合同期内，乙方自行停止合约或违反合同有关规定被甲方终止合约的，则履约保证金全部归甲方所有。若乙方不履行或不适当履行其合同义务导致甲方蒙受损失的，甲方有权直接从履约保证金中扣除相应违约金或损失赔偿款项；违约金或给甲方造成的损失超过履约保证金数额的，乙方应对超出部分给予赔偿。其他违约责任按照合同约定。</w:t>
            </w:r>
          </w:p>
        </w:tc>
      </w:tr>
      <w:tr w14:paraId="6D17452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458" w:hRule="atLeast"/>
        </w:trPr>
        <w:tc>
          <w:tcPr>
            <w:tcW w:w="1607" w:type="dxa"/>
            <w:vAlign w:val="center"/>
          </w:tcPr>
          <w:p w14:paraId="337A0982">
            <w:pPr>
              <w:adjustRightInd w:val="0"/>
              <w:snapToGrid w:val="0"/>
              <w:jc w:val="center"/>
              <w:rPr>
                <w:rFonts w:ascii="宋体" w:hAnsi="宋体"/>
                <w:color w:val="auto"/>
                <w:szCs w:val="21"/>
                <w:highlight w:val="none"/>
              </w:rPr>
            </w:pPr>
            <w:r>
              <w:rPr>
                <w:rFonts w:hint="eastAsia" w:ascii="宋体" w:hAnsi="宋体"/>
                <w:color w:val="auto"/>
                <w:szCs w:val="21"/>
                <w:highlight w:val="none"/>
              </w:rPr>
              <w:t>第二节</w:t>
            </w:r>
          </w:p>
          <w:p w14:paraId="7B13771E">
            <w:pPr>
              <w:adjustRightInd w:val="0"/>
              <w:snapToGrid w:val="0"/>
              <w:jc w:val="center"/>
              <w:rPr>
                <w:rFonts w:ascii="宋体" w:hAnsi="宋体"/>
                <w:color w:val="auto"/>
                <w:szCs w:val="21"/>
                <w:highlight w:val="none"/>
              </w:rPr>
            </w:pPr>
            <w:r>
              <w:rPr>
                <w:rFonts w:hint="eastAsia" w:ascii="宋体" w:hAnsi="宋体"/>
                <w:color w:val="auto"/>
                <w:szCs w:val="21"/>
                <w:highlight w:val="none"/>
              </w:rPr>
              <w:t>第13.3款</w:t>
            </w:r>
          </w:p>
        </w:tc>
        <w:tc>
          <w:tcPr>
            <w:tcW w:w="1742" w:type="dxa"/>
            <w:vAlign w:val="center"/>
          </w:tcPr>
          <w:p w14:paraId="2DD7127B">
            <w:pPr>
              <w:adjustRightInd w:val="0"/>
              <w:snapToGrid w:val="0"/>
              <w:jc w:val="left"/>
              <w:rPr>
                <w:rFonts w:ascii="宋体" w:hAnsi="宋体"/>
                <w:color w:val="auto"/>
                <w:szCs w:val="21"/>
                <w:highlight w:val="none"/>
              </w:rPr>
            </w:pPr>
            <w:r>
              <w:rPr>
                <w:rFonts w:hint="eastAsia" w:ascii="宋体" w:hAnsi="宋体"/>
                <w:color w:val="auto"/>
                <w:szCs w:val="21"/>
                <w:highlight w:val="none"/>
              </w:rPr>
              <w:t>履约保证金退还时间及逾期退还的违约金</w:t>
            </w:r>
          </w:p>
        </w:tc>
        <w:tc>
          <w:tcPr>
            <w:tcW w:w="5170" w:type="dxa"/>
            <w:vAlign w:val="center"/>
          </w:tcPr>
          <w:p w14:paraId="6D1C1079">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验收合格之后由乙方向甲方提交支付履约保证金的书面申请，甲方在接到申请后10个工作日内向乙方无息退回履约保证金。如甲方逾期退还，由甲方承担相应的违约责任。如在此期间，因乙方帐户的原因（包括但不限于账号注销、被冻结等）导致其无法收取款项，由乙方承担相应后果。</w:t>
            </w:r>
          </w:p>
        </w:tc>
      </w:tr>
      <w:tr w14:paraId="1A01300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vAlign w:val="center"/>
          </w:tcPr>
          <w:p w14:paraId="27BE1456">
            <w:pPr>
              <w:adjustRightInd w:val="0"/>
              <w:snapToGrid w:val="0"/>
              <w:jc w:val="center"/>
              <w:rPr>
                <w:rFonts w:ascii="宋体" w:hAnsi="宋体"/>
                <w:color w:val="auto"/>
                <w:szCs w:val="21"/>
                <w:highlight w:val="none"/>
              </w:rPr>
            </w:pPr>
            <w:r>
              <w:rPr>
                <w:rFonts w:hint="eastAsia" w:ascii="宋体" w:hAnsi="宋体"/>
                <w:color w:val="auto"/>
                <w:szCs w:val="21"/>
                <w:highlight w:val="none"/>
              </w:rPr>
              <w:t>第二节</w:t>
            </w:r>
          </w:p>
          <w:p w14:paraId="64D7698D">
            <w:pPr>
              <w:adjustRightInd w:val="0"/>
              <w:snapToGrid w:val="0"/>
              <w:jc w:val="center"/>
              <w:rPr>
                <w:rFonts w:ascii="宋体" w:hAnsi="宋体"/>
                <w:color w:val="auto"/>
                <w:szCs w:val="21"/>
                <w:highlight w:val="none"/>
              </w:rPr>
            </w:pPr>
            <w:r>
              <w:rPr>
                <w:rFonts w:hint="eastAsia" w:ascii="宋体" w:hAnsi="宋体"/>
                <w:color w:val="auto"/>
                <w:szCs w:val="21"/>
                <w:highlight w:val="none"/>
              </w:rPr>
              <w:t>第14.1（3）项</w:t>
            </w:r>
          </w:p>
        </w:tc>
        <w:tc>
          <w:tcPr>
            <w:tcW w:w="1742" w:type="dxa"/>
            <w:vAlign w:val="center"/>
          </w:tcPr>
          <w:p w14:paraId="1D64C015">
            <w:pPr>
              <w:adjustRightInd w:val="0"/>
              <w:snapToGrid w:val="0"/>
              <w:jc w:val="left"/>
              <w:rPr>
                <w:rFonts w:ascii="宋体" w:hAnsi="宋体"/>
                <w:color w:val="auto"/>
                <w:szCs w:val="21"/>
                <w:highlight w:val="none"/>
              </w:rPr>
            </w:pPr>
            <w:r>
              <w:rPr>
                <w:rFonts w:hint="eastAsia" w:ascii="宋体" w:hAnsi="宋体"/>
                <w:color w:val="auto"/>
                <w:szCs w:val="21"/>
                <w:highlight w:val="none"/>
              </w:rPr>
              <w:t>运行监督、维修期限</w:t>
            </w:r>
          </w:p>
        </w:tc>
        <w:tc>
          <w:tcPr>
            <w:tcW w:w="5170" w:type="dxa"/>
            <w:vAlign w:val="center"/>
          </w:tcPr>
          <w:p w14:paraId="64B4B4FD">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无</w:t>
            </w:r>
          </w:p>
        </w:tc>
      </w:tr>
      <w:tr w14:paraId="490C105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vAlign w:val="center"/>
          </w:tcPr>
          <w:p w14:paraId="0879EF0A">
            <w:pPr>
              <w:adjustRightInd w:val="0"/>
              <w:snapToGrid w:val="0"/>
              <w:jc w:val="center"/>
              <w:rPr>
                <w:rFonts w:ascii="宋体" w:hAnsi="宋体"/>
                <w:color w:val="auto"/>
                <w:szCs w:val="21"/>
                <w:highlight w:val="none"/>
              </w:rPr>
            </w:pPr>
            <w:r>
              <w:rPr>
                <w:rFonts w:hint="eastAsia" w:ascii="宋体" w:hAnsi="宋体"/>
                <w:color w:val="auto"/>
                <w:szCs w:val="21"/>
                <w:highlight w:val="none"/>
              </w:rPr>
              <w:t>第二节</w:t>
            </w:r>
          </w:p>
          <w:p w14:paraId="0F553100">
            <w:pPr>
              <w:adjustRightInd w:val="0"/>
              <w:snapToGrid w:val="0"/>
              <w:jc w:val="center"/>
              <w:rPr>
                <w:rFonts w:ascii="宋体" w:hAnsi="宋体"/>
                <w:color w:val="auto"/>
                <w:szCs w:val="21"/>
                <w:highlight w:val="none"/>
              </w:rPr>
            </w:pPr>
            <w:r>
              <w:rPr>
                <w:rFonts w:hint="eastAsia" w:ascii="宋体" w:hAnsi="宋体"/>
                <w:color w:val="auto"/>
                <w:szCs w:val="21"/>
                <w:highlight w:val="none"/>
              </w:rPr>
              <w:t>第14.1（5）项</w:t>
            </w:r>
          </w:p>
        </w:tc>
        <w:tc>
          <w:tcPr>
            <w:tcW w:w="1742" w:type="dxa"/>
            <w:vAlign w:val="center"/>
          </w:tcPr>
          <w:p w14:paraId="26B65AFB">
            <w:pPr>
              <w:adjustRightInd w:val="0"/>
              <w:snapToGrid w:val="0"/>
              <w:jc w:val="left"/>
              <w:rPr>
                <w:rFonts w:ascii="宋体" w:hAnsi="宋体" w:eastAsia="宋体"/>
                <w:color w:val="auto"/>
                <w:szCs w:val="21"/>
                <w:highlight w:val="none"/>
              </w:rPr>
            </w:pPr>
            <w:r>
              <w:rPr>
                <w:rFonts w:hint="eastAsia" w:ascii="宋体" w:hAnsi="宋体"/>
                <w:color w:val="auto"/>
                <w:szCs w:val="21"/>
                <w:highlight w:val="none"/>
              </w:rPr>
              <w:t>货物回收的约定</w:t>
            </w:r>
          </w:p>
        </w:tc>
        <w:tc>
          <w:tcPr>
            <w:tcW w:w="5170" w:type="dxa"/>
            <w:vAlign w:val="center"/>
          </w:tcPr>
          <w:p w14:paraId="762ABF57">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无</w:t>
            </w:r>
          </w:p>
        </w:tc>
      </w:tr>
      <w:tr w14:paraId="3716E9C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14:paraId="70C67043">
            <w:pPr>
              <w:adjustRightInd w:val="0"/>
              <w:snapToGrid w:val="0"/>
              <w:jc w:val="center"/>
              <w:rPr>
                <w:rFonts w:ascii="宋体" w:hAnsi="宋体"/>
                <w:color w:val="auto"/>
                <w:szCs w:val="21"/>
                <w:highlight w:val="none"/>
              </w:rPr>
            </w:pPr>
            <w:r>
              <w:rPr>
                <w:rFonts w:hint="eastAsia" w:ascii="宋体" w:hAnsi="宋体"/>
                <w:color w:val="auto"/>
                <w:szCs w:val="21"/>
                <w:highlight w:val="none"/>
              </w:rPr>
              <w:t>第二节</w:t>
            </w:r>
          </w:p>
          <w:p w14:paraId="799968E1">
            <w:pPr>
              <w:adjustRightInd w:val="0"/>
              <w:snapToGrid w:val="0"/>
              <w:jc w:val="center"/>
              <w:rPr>
                <w:rFonts w:ascii="宋体" w:hAnsi="宋体"/>
                <w:color w:val="auto"/>
                <w:szCs w:val="21"/>
                <w:highlight w:val="none"/>
              </w:rPr>
            </w:pPr>
            <w:r>
              <w:rPr>
                <w:rFonts w:hint="eastAsia" w:ascii="宋体" w:hAnsi="宋体"/>
                <w:color w:val="auto"/>
                <w:szCs w:val="21"/>
                <w:highlight w:val="none"/>
              </w:rPr>
              <w:t>第14.1（6）项</w:t>
            </w:r>
          </w:p>
        </w:tc>
        <w:tc>
          <w:tcPr>
            <w:tcW w:w="1742" w:type="dxa"/>
            <w:vAlign w:val="center"/>
          </w:tcPr>
          <w:p w14:paraId="00FB2C6C">
            <w:pPr>
              <w:adjustRightInd w:val="0"/>
              <w:snapToGrid w:val="0"/>
              <w:jc w:val="left"/>
              <w:rPr>
                <w:rFonts w:ascii="宋体" w:hAnsi="宋体"/>
                <w:color w:val="auto"/>
                <w:szCs w:val="21"/>
                <w:highlight w:val="none"/>
              </w:rPr>
            </w:pPr>
            <w:r>
              <w:rPr>
                <w:rFonts w:hint="eastAsia" w:ascii="宋体" w:hAnsi="宋体"/>
                <w:color w:val="auto"/>
                <w:szCs w:val="21"/>
                <w:highlight w:val="none"/>
              </w:rPr>
              <w:t>乙方提供的其他服务</w:t>
            </w:r>
          </w:p>
        </w:tc>
        <w:tc>
          <w:tcPr>
            <w:tcW w:w="5170" w:type="dxa"/>
            <w:vAlign w:val="center"/>
          </w:tcPr>
          <w:p w14:paraId="4CAE2152">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1.所提供的图书应具有合法来源，保证是正版图书，没有牵涉到版权、著作权和意识形态问题，并且是未使用过的全新货物。对盗版图书和有意识形态问题图书，乙方必须无条件负责退换，并承担相应法律责任。</w:t>
            </w:r>
          </w:p>
          <w:p w14:paraId="4F047230">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2.图书出现装订、印刷质量问题和损坏，乙方必须无条件负责退换。</w:t>
            </w:r>
          </w:p>
          <w:p w14:paraId="35474014">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3.提供的品种和数量与订货单不符时，乙方必须无条件负责退换或补充。</w:t>
            </w:r>
          </w:p>
          <w:p w14:paraId="12FACD29">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4.图书内容不符合甲方馆藏时，乙方必须无条件负责退换或补充。</w:t>
            </w:r>
          </w:p>
          <w:p w14:paraId="3B07A9A8">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5.其他未尽事宜，以乙方响应文件中的售后服务承诺作为补充。</w:t>
            </w:r>
          </w:p>
        </w:tc>
      </w:tr>
      <w:tr w14:paraId="35EAB94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14:paraId="58FD0573">
            <w:pPr>
              <w:adjustRightInd w:val="0"/>
              <w:snapToGrid w:val="0"/>
              <w:jc w:val="center"/>
              <w:rPr>
                <w:rFonts w:ascii="宋体" w:hAnsi="宋体"/>
                <w:color w:val="auto"/>
                <w:szCs w:val="21"/>
                <w:highlight w:val="none"/>
              </w:rPr>
            </w:pPr>
            <w:r>
              <w:rPr>
                <w:rFonts w:hint="eastAsia" w:ascii="宋体" w:hAnsi="宋体"/>
                <w:color w:val="auto"/>
                <w:szCs w:val="21"/>
                <w:highlight w:val="none"/>
              </w:rPr>
              <w:t>第二节</w:t>
            </w:r>
          </w:p>
          <w:p w14:paraId="71ED9166">
            <w:pPr>
              <w:adjustRightInd w:val="0"/>
              <w:snapToGrid w:val="0"/>
              <w:jc w:val="center"/>
              <w:rPr>
                <w:rFonts w:ascii="宋体" w:hAnsi="宋体" w:eastAsia="宋体"/>
                <w:color w:val="auto"/>
                <w:szCs w:val="21"/>
                <w:highlight w:val="none"/>
              </w:rPr>
            </w:pPr>
            <w:r>
              <w:rPr>
                <w:rFonts w:hint="eastAsia" w:ascii="宋体" w:hAnsi="宋体"/>
                <w:color w:val="auto"/>
                <w:szCs w:val="21"/>
                <w:highlight w:val="none"/>
              </w:rPr>
              <w:t>第15.1款</w:t>
            </w:r>
          </w:p>
        </w:tc>
        <w:tc>
          <w:tcPr>
            <w:tcW w:w="1742" w:type="dxa"/>
            <w:vAlign w:val="center"/>
          </w:tcPr>
          <w:p w14:paraId="6F25345D">
            <w:pPr>
              <w:adjustRightInd w:val="0"/>
              <w:snapToGrid w:val="0"/>
              <w:jc w:val="left"/>
              <w:rPr>
                <w:rFonts w:ascii="宋体" w:hAnsi="宋体"/>
                <w:color w:val="auto"/>
                <w:szCs w:val="21"/>
                <w:highlight w:val="none"/>
              </w:rPr>
            </w:pPr>
            <w:r>
              <w:rPr>
                <w:rFonts w:hint="eastAsia" w:ascii="宋体" w:hAnsi="宋体"/>
                <w:color w:val="auto"/>
                <w:szCs w:val="21"/>
                <w:highlight w:val="none"/>
              </w:rPr>
              <w:t>修理、重作、更换相关具体规定</w:t>
            </w:r>
          </w:p>
        </w:tc>
        <w:tc>
          <w:tcPr>
            <w:tcW w:w="5170" w:type="dxa"/>
            <w:vAlign w:val="center"/>
          </w:tcPr>
          <w:p w14:paraId="6093D81F">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无</w:t>
            </w:r>
          </w:p>
        </w:tc>
      </w:tr>
      <w:tr w14:paraId="3EF62CE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14:paraId="242DA4E5">
            <w:pPr>
              <w:adjustRightInd w:val="0"/>
              <w:snapToGrid w:val="0"/>
              <w:jc w:val="center"/>
              <w:rPr>
                <w:rFonts w:ascii="宋体" w:hAnsi="宋体"/>
                <w:color w:val="auto"/>
                <w:szCs w:val="21"/>
                <w:highlight w:val="none"/>
              </w:rPr>
            </w:pPr>
            <w:r>
              <w:rPr>
                <w:rFonts w:hint="eastAsia" w:ascii="宋体" w:hAnsi="宋体"/>
                <w:color w:val="auto"/>
                <w:szCs w:val="21"/>
                <w:highlight w:val="none"/>
              </w:rPr>
              <w:t>第二节</w:t>
            </w:r>
          </w:p>
          <w:p w14:paraId="6148C56D">
            <w:pPr>
              <w:adjustRightInd w:val="0"/>
              <w:snapToGrid w:val="0"/>
              <w:jc w:val="center"/>
              <w:rPr>
                <w:rFonts w:ascii="宋体" w:hAnsi="宋体"/>
                <w:color w:val="auto"/>
                <w:szCs w:val="21"/>
                <w:highlight w:val="none"/>
              </w:rPr>
            </w:pPr>
            <w:r>
              <w:rPr>
                <w:rFonts w:hint="eastAsia" w:ascii="宋体" w:hAnsi="宋体"/>
                <w:color w:val="auto"/>
                <w:szCs w:val="21"/>
                <w:highlight w:val="none"/>
              </w:rPr>
              <w:t>第15.2（2）项</w:t>
            </w:r>
          </w:p>
        </w:tc>
        <w:tc>
          <w:tcPr>
            <w:tcW w:w="1742" w:type="dxa"/>
            <w:vAlign w:val="center"/>
          </w:tcPr>
          <w:p w14:paraId="6A2CC8F2">
            <w:pPr>
              <w:adjustRightInd w:val="0"/>
              <w:snapToGrid w:val="0"/>
              <w:jc w:val="left"/>
              <w:rPr>
                <w:rFonts w:ascii="宋体" w:hAnsi="宋体"/>
                <w:color w:val="auto"/>
                <w:szCs w:val="21"/>
                <w:highlight w:val="none"/>
              </w:rPr>
            </w:pPr>
            <w:r>
              <w:rPr>
                <w:rFonts w:hint="eastAsia" w:ascii="宋体" w:hAnsi="宋体"/>
                <w:color w:val="auto"/>
                <w:szCs w:val="21"/>
                <w:highlight w:val="none"/>
              </w:rPr>
              <w:t>迟延交货赔偿费</w:t>
            </w:r>
          </w:p>
        </w:tc>
        <w:tc>
          <w:tcPr>
            <w:tcW w:w="5170" w:type="dxa"/>
            <w:vAlign w:val="center"/>
          </w:tcPr>
          <w:p w14:paraId="449176A8">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从逾期之日起每日按本合同总价 1‰的金额向甲方支付违约金，违约金金额不超过合同金额的5%。</w:t>
            </w:r>
          </w:p>
        </w:tc>
      </w:tr>
      <w:tr w14:paraId="530E102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vAlign w:val="center"/>
          </w:tcPr>
          <w:p w14:paraId="7E70E5D1">
            <w:pPr>
              <w:adjustRightInd w:val="0"/>
              <w:snapToGrid w:val="0"/>
              <w:jc w:val="center"/>
              <w:rPr>
                <w:rFonts w:ascii="宋体" w:hAnsi="宋体"/>
                <w:color w:val="auto"/>
                <w:szCs w:val="21"/>
                <w:highlight w:val="none"/>
              </w:rPr>
            </w:pPr>
            <w:r>
              <w:rPr>
                <w:rFonts w:hint="eastAsia" w:ascii="宋体" w:hAnsi="宋体"/>
                <w:color w:val="auto"/>
                <w:szCs w:val="21"/>
                <w:highlight w:val="none"/>
              </w:rPr>
              <w:t>第二节</w:t>
            </w:r>
          </w:p>
          <w:p w14:paraId="0AE4671D">
            <w:pPr>
              <w:adjustRightInd w:val="0"/>
              <w:snapToGrid w:val="0"/>
              <w:jc w:val="center"/>
              <w:rPr>
                <w:rFonts w:ascii="宋体" w:hAnsi="宋体"/>
                <w:color w:val="auto"/>
                <w:szCs w:val="21"/>
                <w:highlight w:val="none"/>
              </w:rPr>
            </w:pPr>
            <w:r>
              <w:rPr>
                <w:rFonts w:hint="eastAsia" w:ascii="宋体" w:hAnsi="宋体"/>
                <w:color w:val="auto"/>
                <w:szCs w:val="21"/>
                <w:highlight w:val="none"/>
              </w:rPr>
              <w:t>第15.3款</w:t>
            </w:r>
          </w:p>
        </w:tc>
        <w:tc>
          <w:tcPr>
            <w:tcW w:w="1742" w:type="dxa"/>
            <w:vAlign w:val="center"/>
          </w:tcPr>
          <w:p w14:paraId="084DA7F1">
            <w:pPr>
              <w:adjustRightInd w:val="0"/>
              <w:snapToGrid w:val="0"/>
              <w:jc w:val="left"/>
              <w:rPr>
                <w:rFonts w:ascii="宋体" w:hAnsi="宋体"/>
                <w:color w:val="auto"/>
                <w:szCs w:val="21"/>
                <w:highlight w:val="none"/>
              </w:rPr>
            </w:pPr>
            <w:r>
              <w:rPr>
                <w:rFonts w:hint="eastAsia" w:ascii="宋体" w:hAnsi="宋体"/>
                <w:color w:val="auto"/>
                <w:szCs w:val="21"/>
                <w:highlight w:val="none"/>
              </w:rPr>
              <w:t>逾期付款利息</w:t>
            </w:r>
          </w:p>
        </w:tc>
        <w:tc>
          <w:tcPr>
            <w:tcW w:w="5170" w:type="dxa"/>
            <w:vAlign w:val="center"/>
          </w:tcPr>
          <w:p w14:paraId="2CCE2DAF">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无</w:t>
            </w:r>
          </w:p>
        </w:tc>
      </w:tr>
      <w:tr w14:paraId="22100C4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trPr>
        <w:tc>
          <w:tcPr>
            <w:tcW w:w="1607" w:type="dxa"/>
            <w:tcBorders>
              <w:bottom w:val="single" w:color="auto" w:sz="2" w:space="0"/>
              <w:right w:val="single" w:color="auto" w:sz="2" w:space="0"/>
            </w:tcBorders>
            <w:vAlign w:val="center"/>
          </w:tcPr>
          <w:p w14:paraId="4DF24293">
            <w:pPr>
              <w:adjustRightInd w:val="0"/>
              <w:snapToGrid w:val="0"/>
              <w:jc w:val="center"/>
              <w:rPr>
                <w:rFonts w:ascii="宋体" w:hAnsi="宋体"/>
                <w:color w:val="auto"/>
                <w:szCs w:val="21"/>
                <w:highlight w:val="none"/>
              </w:rPr>
            </w:pPr>
            <w:r>
              <w:rPr>
                <w:rFonts w:hint="eastAsia" w:ascii="宋体" w:hAnsi="宋体"/>
                <w:color w:val="auto"/>
                <w:szCs w:val="21"/>
                <w:highlight w:val="none"/>
              </w:rPr>
              <w:t>第二节</w:t>
            </w:r>
          </w:p>
          <w:p w14:paraId="357269DD">
            <w:pPr>
              <w:adjustRightInd w:val="0"/>
              <w:snapToGrid w:val="0"/>
              <w:jc w:val="center"/>
              <w:rPr>
                <w:rFonts w:ascii="宋体" w:hAnsi="宋体"/>
                <w:color w:val="auto"/>
                <w:szCs w:val="21"/>
                <w:highlight w:val="none"/>
              </w:rPr>
            </w:pPr>
            <w:r>
              <w:rPr>
                <w:rFonts w:hint="eastAsia" w:ascii="宋体" w:hAnsi="宋体"/>
                <w:color w:val="auto"/>
                <w:szCs w:val="21"/>
                <w:highlight w:val="none"/>
              </w:rPr>
              <w:t>第15.4款</w:t>
            </w:r>
          </w:p>
        </w:tc>
        <w:tc>
          <w:tcPr>
            <w:tcW w:w="1742" w:type="dxa"/>
            <w:tcBorders>
              <w:left w:val="single" w:color="auto" w:sz="2" w:space="0"/>
              <w:bottom w:val="single" w:color="auto" w:sz="2" w:space="0"/>
              <w:right w:val="single" w:color="auto" w:sz="2" w:space="0"/>
            </w:tcBorders>
            <w:vAlign w:val="center"/>
          </w:tcPr>
          <w:p w14:paraId="3CB0B96C">
            <w:pPr>
              <w:adjustRightInd w:val="0"/>
              <w:snapToGrid w:val="0"/>
              <w:jc w:val="left"/>
              <w:rPr>
                <w:rFonts w:ascii="宋体" w:hAnsi="宋体"/>
                <w:color w:val="auto"/>
                <w:szCs w:val="21"/>
                <w:highlight w:val="none"/>
              </w:rPr>
            </w:pPr>
            <w:r>
              <w:rPr>
                <w:rFonts w:hint="eastAsia" w:ascii="宋体" w:hAnsi="宋体"/>
                <w:color w:val="auto"/>
                <w:szCs w:val="21"/>
                <w:highlight w:val="none"/>
              </w:rPr>
              <w:t>其他违约责任</w:t>
            </w:r>
          </w:p>
        </w:tc>
        <w:tc>
          <w:tcPr>
            <w:tcW w:w="5170" w:type="dxa"/>
            <w:tcBorders>
              <w:left w:val="single" w:color="auto" w:sz="2" w:space="0"/>
              <w:bottom w:val="single" w:color="auto" w:sz="2" w:space="0"/>
            </w:tcBorders>
            <w:vAlign w:val="center"/>
          </w:tcPr>
          <w:p w14:paraId="55BA0147">
            <w:pPr>
              <w:numPr>
                <w:ilvl w:val="0"/>
                <w:numId w:val="8"/>
              </w:numPr>
              <w:autoSpaceDE w:val="0"/>
              <w:autoSpaceDN w:val="0"/>
              <w:adjustRightInd w:val="0"/>
              <w:snapToGrid w:val="0"/>
              <w:spacing w:line="400" w:lineRule="exact"/>
              <w:jc w:val="left"/>
              <w:rPr>
                <w:color w:val="auto"/>
                <w:highlight w:val="none"/>
              </w:rPr>
            </w:pPr>
            <w:r>
              <w:rPr>
                <w:rFonts w:hint="eastAsia" w:ascii="宋体" w:hAnsi="宋体" w:eastAsia="宋体" w:cs="宋体"/>
                <w:iCs/>
                <w:color w:val="auto"/>
                <w:szCs w:val="21"/>
                <w:highlight w:val="none"/>
              </w:rPr>
              <w:t>自甲方发送每批次订单之日起，乙方需保证在30个自然日内到货率不低于80%，40个自然日内到货率不低于90%。从逾期之日起每日按本合同总价 1‰的金额向甲方支付违约金，违约金金额不超过合同金额的5%。逾期10个自然日以上的，甲方有权终止合同，由此造成的甲方经济损失由乙方承担。</w:t>
            </w:r>
          </w:p>
          <w:p w14:paraId="7A34C1E7">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2.乙方对于甲方所预订的图书，在合同期内，平均到书率未达90%以上（含90%），验收合格率未达到95%，乙方须以该项合同总金额的5％支付违约金，由甲方从保证金或图书结算款中扣除。</w:t>
            </w:r>
          </w:p>
          <w:p w14:paraId="1E979A25">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3.甲方无正当理由拒收图书，拒付书款的，须向乙方支付所涉及图书实洋金额5%的违约金。逾期付款，则每日按逾期付款金额的0.3‰向乙方支付违约金。</w:t>
            </w:r>
          </w:p>
          <w:p w14:paraId="75812F07">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4.乙方在签订此合同前需缴纳</w:t>
            </w:r>
            <w:r>
              <w:rPr>
                <w:rFonts w:hint="eastAsia" w:ascii="宋体" w:hAnsi="宋体" w:eastAsia="宋体" w:cs="宋体"/>
                <w:iCs/>
                <w:color w:val="auto"/>
                <w:szCs w:val="21"/>
                <w:highlight w:val="none"/>
                <w:u w:val="single"/>
              </w:rPr>
              <w:t xml:space="preserve">    元（￥）</w:t>
            </w:r>
            <w:r>
              <w:rPr>
                <w:rFonts w:hint="eastAsia" w:ascii="宋体" w:hAnsi="宋体" w:eastAsia="宋体" w:cs="宋体"/>
                <w:iCs/>
                <w:color w:val="auto"/>
                <w:szCs w:val="21"/>
                <w:highlight w:val="none"/>
              </w:rPr>
              <w:t>元履约保证金到甲方指定账户，在合同期内未出现违约现象，合同履行期限届满时甲方将全部履约保证金在结清全部书款后无息退还。</w:t>
            </w:r>
          </w:p>
          <w:p w14:paraId="48232D00">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5.其他违约责任按《中华人民共和国民法典》处理。</w:t>
            </w:r>
          </w:p>
        </w:tc>
      </w:tr>
      <w:tr w14:paraId="22FAD04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607" w:type="dxa"/>
            <w:tcBorders>
              <w:top w:val="single" w:color="auto" w:sz="2" w:space="0"/>
              <w:right w:val="single" w:color="auto" w:sz="2" w:space="0"/>
            </w:tcBorders>
            <w:vAlign w:val="center"/>
          </w:tcPr>
          <w:p w14:paraId="00C18BB3">
            <w:pPr>
              <w:adjustRightInd w:val="0"/>
              <w:snapToGrid w:val="0"/>
              <w:jc w:val="center"/>
              <w:rPr>
                <w:rFonts w:ascii="宋体" w:hAnsi="宋体"/>
                <w:color w:val="auto"/>
                <w:szCs w:val="21"/>
                <w:highlight w:val="none"/>
              </w:rPr>
            </w:pPr>
            <w:r>
              <w:rPr>
                <w:rFonts w:hint="eastAsia" w:ascii="宋体" w:hAnsi="宋体"/>
                <w:color w:val="auto"/>
                <w:szCs w:val="21"/>
                <w:highlight w:val="none"/>
              </w:rPr>
              <w:t>第二节</w:t>
            </w:r>
          </w:p>
          <w:p w14:paraId="3FD43330">
            <w:pPr>
              <w:adjustRightInd w:val="0"/>
              <w:snapToGrid w:val="0"/>
              <w:jc w:val="center"/>
              <w:rPr>
                <w:rFonts w:ascii="宋体" w:hAnsi="宋体"/>
                <w:color w:val="auto"/>
                <w:szCs w:val="21"/>
                <w:highlight w:val="none"/>
              </w:rPr>
            </w:pPr>
            <w:r>
              <w:rPr>
                <w:rFonts w:hint="eastAsia" w:ascii="宋体" w:hAnsi="宋体"/>
                <w:color w:val="auto"/>
                <w:szCs w:val="21"/>
                <w:highlight w:val="none"/>
              </w:rPr>
              <w:t>第19.2款</w:t>
            </w:r>
          </w:p>
        </w:tc>
        <w:tc>
          <w:tcPr>
            <w:tcW w:w="1742" w:type="dxa"/>
            <w:tcBorders>
              <w:top w:val="single" w:color="auto" w:sz="2" w:space="0"/>
              <w:left w:val="single" w:color="auto" w:sz="2" w:space="0"/>
              <w:right w:val="single" w:color="auto" w:sz="2" w:space="0"/>
            </w:tcBorders>
            <w:vAlign w:val="center"/>
          </w:tcPr>
          <w:p w14:paraId="176864B9">
            <w:pPr>
              <w:adjustRightInd w:val="0"/>
              <w:snapToGrid w:val="0"/>
              <w:jc w:val="left"/>
              <w:rPr>
                <w:rFonts w:ascii="宋体" w:hAnsi="宋体"/>
                <w:color w:val="auto"/>
                <w:szCs w:val="21"/>
                <w:highlight w:val="none"/>
              </w:rPr>
            </w:pPr>
            <w:r>
              <w:rPr>
                <w:rFonts w:hint="eastAsia" w:ascii="宋体" w:hAnsi="宋体"/>
                <w:color w:val="auto"/>
                <w:szCs w:val="21"/>
                <w:highlight w:val="none"/>
              </w:rPr>
              <w:t>解决争议的方法</w:t>
            </w:r>
          </w:p>
        </w:tc>
        <w:tc>
          <w:tcPr>
            <w:tcW w:w="5170" w:type="dxa"/>
            <w:tcBorders>
              <w:top w:val="single" w:color="auto" w:sz="2" w:space="0"/>
              <w:left w:val="single" w:color="auto" w:sz="2" w:space="0"/>
            </w:tcBorders>
            <w:vAlign w:val="center"/>
          </w:tcPr>
          <w:p w14:paraId="5AAD2F45">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因本合同及合同有关事项发生的争议，按下列第</w:t>
            </w:r>
            <w:r>
              <w:rPr>
                <w:rFonts w:hint="eastAsia" w:ascii="宋体" w:hAnsi="宋体" w:eastAsia="宋体" w:cs="宋体"/>
                <w:iCs/>
                <w:color w:val="auto"/>
                <w:szCs w:val="21"/>
                <w:highlight w:val="none"/>
                <w:u w:val="single"/>
              </w:rPr>
              <w:t xml:space="preserve"> </w:t>
            </w:r>
            <w:r>
              <w:rPr>
                <w:rFonts w:hint="eastAsia" w:ascii="宋体" w:hAnsi="宋体" w:cs="宋体"/>
                <w:iCs/>
                <w:color w:val="auto"/>
                <w:szCs w:val="21"/>
                <w:highlight w:val="none"/>
                <w:u w:val="single"/>
              </w:rPr>
              <w:t>2</w:t>
            </w:r>
            <w:r>
              <w:rPr>
                <w:rFonts w:hint="eastAsia" w:ascii="宋体" w:hAnsi="宋体" w:eastAsia="宋体" w:cs="宋体"/>
                <w:iCs/>
                <w:color w:val="auto"/>
                <w:szCs w:val="21"/>
                <w:highlight w:val="none"/>
                <w:u w:val="single"/>
              </w:rPr>
              <w:t xml:space="preserve">  </w:t>
            </w:r>
            <w:r>
              <w:rPr>
                <w:rFonts w:hint="eastAsia" w:ascii="宋体" w:hAnsi="宋体" w:eastAsia="宋体" w:cs="宋体"/>
                <w:iCs/>
                <w:color w:val="auto"/>
                <w:szCs w:val="21"/>
                <w:highlight w:val="none"/>
              </w:rPr>
              <w:t>种方式解决：</w:t>
            </w:r>
          </w:p>
          <w:p w14:paraId="35DC1017">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（1）向</w:t>
            </w:r>
            <w:r>
              <w:rPr>
                <w:rFonts w:hint="eastAsia" w:ascii="宋体" w:hAnsi="宋体" w:eastAsia="宋体" w:cs="宋体"/>
                <w:iCs/>
                <w:color w:val="auto"/>
                <w:szCs w:val="21"/>
                <w:highlight w:val="none"/>
                <w:u w:val="single"/>
              </w:rPr>
              <w:t xml:space="preserve">                    </w:t>
            </w:r>
            <w:r>
              <w:rPr>
                <w:rFonts w:hint="eastAsia" w:ascii="宋体" w:hAnsi="宋体" w:eastAsia="宋体" w:cs="宋体"/>
                <w:iCs/>
                <w:color w:val="auto"/>
                <w:szCs w:val="21"/>
                <w:highlight w:val="none"/>
              </w:rPr>
              <w:t>仲裁委员会申请仲裁，仲裁地点为</w:t>
            </w:r>
            <w:r>
              <w:rPr>
                <w:rFonts w:hint="eastAsia" w:ascii="宋体" w:hAnsi="宋体" w:eastAsia="宋体" w:cs="宋体"/>
                <w:iCs/>
                <w:color w:val="auto"/>
                <w:szCs w:val="21"/>
                <w:highlight w:val="none"/>
                <w:u w:val="single"/>
              </w:rPr>
              <w:t xml:space="preserve">           </w:t>
            </w:r>
            <w:r>
              <w:rPr>
                <w:rFonts w:hint="eastAsia" w:ascii="宋体" w:hAnsi="宋体" w:eastAsia="宋体" w:cs="宋体"/>
                <w:iCs/>
                <w:color w:val="auto"/>
                <w:szCs w:val="21"/>
                <w:highlight w:val="none"/>
              </w:rPr>
              <w:t>；</w:t>
            </w:r>
          </w:p>
          <w:p w14:paraId="7BBE1A17">
            <w:pPr>
              <w:adjustRightInd w:val="0"/>
              <w:snapToGrid w:val="0"/>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（2）向</w:t>
            </w:r>
            <w:r>
              <w:rPr>
                <w:rFonts w:hint="eastAsia" w:ascii="宋体" w:hAnsi="宋体" w:eastAsia="宋体" w:cs="宋体"/>
                <w:iCs/>
                <w:color w:val="auto"/>
                <w:szCs w:val="21"/>
                <w:highlight w:val="none"/>
                <w:u w:val="single"/>
              </w:rPr>
              <w:t xml:space="preserve">  签订合同所在地  </w:t>
            </w:r>
            <w:r>
              <w:rPr>
                <w:rFonts w:hint="eastAsia" w:ascii="宋体" w:hAnsi="宋体" w:eastAsia="宋体" w:cs="宋体"/>
                <w:iCs/>
                <w:color w:val="auto"/>
                <w:szCs w:val="21"/>
                <w:highlight w:val="none"/>
              </w:rPr>
              <w:t>人民法院起诉。</w:t>
            </w:r>
          </w:p>
          <w:p w14:paraId="064D10E2">
            <w:pPr>
              <w:autoSpaceDE w:val="0"/>
              <w:autoSpaceDN w:val="0"/>
              <w:adjustRightInd w:val="0"/>
              <w:snapToGrid w:val="0"/>
              <w:spacing w:line="400" w:lineRule="exact"/>
              <w:jc w:val="left"/>
              <w:rPr>
                <w:rFonts w:ascii="宋体" w:hAnsi="宋体" w:eastAsia="宋体" w:cs="宋体"/>
                <w:iCs/>
                <w:color w:val="auto"/>
                <w:szCs w:val="21"/>
                <w:highlight w:val="none"/>
              </w:rPr>
            </w:pPr>
            <w:r>
              <w:rPr>
                <w:rFonts w:hint="eastAsia" w:ascii="宋体" w:hAnsi="宋体" w:eastAsia="宋体" w:cs="宋体"/>
                <w:iCs/>
                <w:color w:val="auto"/>
                <w:szCs w:val="21"/>
                <w:highlight w:val="none"/>
              </w:rPr>
              <w:t>因乙方违约导致甲方产生的一切损失，包括但不限于诉讼费、律师费、鉴定费以及为实现权利而支出的各项费用均由乙方承担。在法院审理期间，除提交法院审理的事项外，合同其他部分仍继续履行。</w:t>
            </w:r>
          </w:p>
        </w:tc>
      </w:tr>
      <w:tr w14:paraId="17755F9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vAlign w:val="center"/>
          </w:tcPr>
          <w:p w14:paraId="36A4E7B7">
            <w:pPr>
              <w:adjustRightInd w:val="0"/>
              <w:snapToGrid w:val="0"/>
              <w:jc w:val="center"/>
              <w:rPr>
                <w:rFonts w:ascii="宋体" w:hAnsi="宋体"/>
                <w:color w:val="auto"/>
                <w:szCs w:val="21"/>
                <w:highlight w:val="none"/>
              </w:rPr>
            </w:pPr>
            <w:r>
              <w:rPr>
                <w:rFonts w:hint="eastAsia" w:ascii="宋体" w:hAnsi="宋体"/>
                <w:color w:val="auto"/>
                <w:szCs w:val="21"/>
                <w:highlight w:val="none"/>
              </w:rPr>
              <w:t>第二节</w:t>
            </w:r>
          </w:p>
          <w:p w14:paraId="69137141">
            <w:pPr>
              <w:adjustRightInd w:val="0"/>
              <w:snapToGrid w:val="0"/>
              <w:jc w:val="center"/>
              <w:rPr>
                <w:rFonts w:ascii="宋体" w:hAnsi="宋体"/>
                <w:color w:val="auto"/>
                <w:szCs w:val="21"/>
                <w:highlight w:val="none"/>
              </w:rPr>
            </w:pPr>
            <w:r>
              <w:rPr>
                <w:rFonts w:hint="eastAsia" w:ascii="宋体" w:hAnsi="宋体"/>
                <w:color w:val="auto"/>
                <w:szCs w:val="21"/>
                <w:highlight w:val="none"/>
              </w:rPr>
              <w:t>第23.1款</w:t>
            </w:r>
          </w:p>
        </w:tc>
        <w:tc>
          <w:tcPr>
            <w:tcW w:w="1742" w:type="dxa"/>
            <w:vAlign w:val="center"/>
          </w:tcPr>
          <w:p w14:paraId="369467C0">
            <w:pPr>
              <w:adjustRightInd w:val="0"/>
              <w:snapToGrid w:val="0"/>
              <w:jc w:val="left"/>
              <w:rPr>
                <w:rFonts w:ascii="宋体" w:hAnsi="宋体"/>
                <w:color w:val="auto"/>
                <w:szCs w:val="21"/>
                <w:highlight w:val="none"/>
              </w:rPr>
            </w:pPr>
            <w:r>
              <w:rPr>
                <w:rFonts w:hint="eastAsia" w:ascii="宋体" w:hAnsi="宋体"/>
                <w:bCs/>
                <w:color w:val="auto"/>
                <w:szCs w:val="21"/>
                <w:highlight w:val="none"/>
              </w:rPr>
              <w:t>其他专用条款</w:t>
            </w:r>
          </w:p>
        </w:tc>
        <w:tc>
          <w:tcPr>
            <w:tcW w:w="5170" w:type="dxa"/>
            <w:vAlign w:val="center"/>
          </w:tcPr>
          <w:p w14:paraId="08070CDE">
            <w:pPr>
              <w:adjustRightInd w:val="0"/>
              <w:snapToGrid w:val="0"/>
              <w:jc w:val="left"/>
              <w:rPr>
                <w:rFonts w:ascii="宋体" w:hAnsi="宋体" w:eastAsia="宋体"/>
                <w:color w:val="auto"/>
                <w:szCs w:val="21"/>
                <w:highlight w:val="none"/>
              </w:rPr>
            </w:pPr>
            <w:r>
              <w:rPr>
                <w:rFonts w:hint="eastAsia" w:ascii="宋体" w:hAnsi="宋体"/>
                <w:color w:val="auto"/>
                <w:szCs w:val="21"/>
                <w:highlight w:val="none"/>
              </w:rPr>
              <w:t>无</w:t>
            </w:r>
          </w:p>
        </w:tc>
      </w:tr>
    </w:tbl>
    <w:p w14:paraId="5AD874D2">
      <w:pPr>
        <w:rPr>
          <w:color w:val="auto"/>
          <w:highlight w:val="none"/>
        </w:rPr>
      </w:pPr>
    </w:p>
    <w:p w14:paraId="27EE8C7A">
      <w:pPr>
        <w:rPr>
          <w:color w:val="auto"/>
          <w:highlight w:val="none"/>
        </w:rPr>
      </w:pPr>
    </w:p>
    <w:p w14:paraId="7A71990C">
      <w:pPr>
        <w:rPr>
          <w:color w:val="auto"/>
          <w:highlight w:val="none"/>
        </w:rPr>
      </w:pPr>
    </w:p>
    <w:p w14:paraId="730968FA">
      <w:pPr>
        <w:ind w:firstLine="480"/>
        <w:rPr>
          <w:color w:val="auto"/>
          <w:highlight w:val="none"/>
        </w:rPr>
      </w:pPr>
    </w:p>
    <w:p w14:paraId="4B0D3655">
      <w:pPr>
        <w:rPr>
          <w:color w:val="auto"/>
          <w:highlight w:val="none"/>
        </w:rPr>
      </w:pPr>
      <w:r>
        <w:rPr>
          <w:color w:val="auto"/>
          <w:highlight w:val="none"/>
        </w:rPr>
        <w:t xml:space="preserve"> </w:t>
      </w:r>
    </w:p>
    <w:p w14:paraId="54EA29ED">
      <w:pPr>
        <w:widowControl/>
        <w:jc w:val="left"/>
        <w:rPr>
          <w:color w:val="auto"/>
          <w:highlight w:val="none"/>
        </w:rPr>
      </w:pPr>
      <w:r>
        <w:rPr>
          <w:color w:val="auto"/>
          <w:highlight w:val="none"/>
        </w:rPr>
        <w:br w:type="page"/>
      </w:r>
    </w:p>
    <w:p w14:paraId="29BCEF6E">
      <w:pPr>
        <w:rPr>
          <w:color w:val="auto"/>
          <w:highlight w:val="none"/>
        </w:rPr>
      </w:pPr>
    </w:p>
    <w:bookmarkEnd w:id="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A8C6ED">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1BFED7">
                          <w:pPr>
                            <w:pStyle w:val="7"/>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21BFED7">
                    <w:pPr>
                      <w:pStyle w:val="7"/>
                    </w:pPr>
                    <w:r>
                      <w:fldChar w:fldCharType="begin"/>
                    </w:r>
                    <w:r>
                      <w:instrText xml:space="preserve"> PAGE  \* MERGEFORMAT </w:instrText>
                    </w:r>
                    <w:r>
                      <w:fldChar w:fldCharType="separate"/>
                    </w:r>
                    <w:r>
                      <w:t>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6BC116"/>
    <w:multiLevelType w:val="singleLevel"/>
    <w:tmpl w:val="BF6BC116"/>
    <w:lvl w:ilvl="0" w:tentative="0">
      <w:start w:val="16"/>
      <w:numFmt w:val="decimal"/>
      <w:suff w:val="space"/>
      <w:lvlText w:val="%1."/>
      <w:lvlJc w:val="left"/>
    </w:lvl>
  </w:abstractNum>
  <w:abstractNum w:abstractNumId="1">
    <w:nsid w:val="CFE7C3F8"/>
    <w:multiLevelType w:val="singleLevel"/>
    <w:tmpl w:val="CFE7C3F8"/>
    <w:lvl w:ilvl="0" w:tentative="0">
      <w:start w:val="1"/>
      <w:numFmt w:val="decimal"/>
      <w:suff w:val="nothing"/>
      <w:lvlText w:val="（%1）"/>
      <w:lvlJc w:val="left"/>
    </w:lvl>
  </w:abstractNum>
  <w:abstractNum w:abstractNumId="2">
    <w:nsid w:val="DDECD3BC"/>
    <w:multiLevelType w:val="singleLevel"/>
    <w:tmpl w:val="DDECD3BC"/>
    <w:lvl w:ilvl="0" w:tentative="0">
      <w:start w:val="6"/>
      <w:numFmt w:val="decimal"/>
      <w:suff w:val="space"/>
      <w:lvlText w:val="%1."/>
      <w:lvlJc w:val="left"/>
    </w:lvl>
  </w:abstractNum>
  <w:abstractNum w:abstractNumId="3">
    <w:nsid w:val="DE759F4B"/>
    <w:multiLevelType w:val="singleLevel"/>
    <w:tmpl w:val="DE759F4B"/>
    <w:lvl w:ilvl="0" w:tentative="0">
      <w:start w:val="2"/>
      <w:numFmt w:val="decimal"/>
      <w:suff w:val="space"/>
      <w:lvlText w:val="%1."/>
      <w:lvlJc w:val="left"/>
    </w:lvl>
  </w:abstractNum>
  <w:abstractNum w:abstractNumId="4">
    <w:nsid w:val="DEABE1DB"/>
    <w:multiLevelType w:val="singleLevel"/>
    <w:tmpl w:val="DEABE1DB"/>
    <w:lvl w:ilvl="0" w:tentative="0">
      <w:start w:val="23"/>
      <w:numFmt w:val="decimal"/>
      <w:suff w:val="space"/>
      <w:lvlText w:val="%1."/>
      <w:lvlJc w:val="left"/>
    </w:lvl>
  </w:abstractNum>
  <w:abstractNum w:abstractNumId="5">
    <w:nsid w:val="FFEFC674"/>
    <w:multiLevelType w:val="singleLevel"/>
    <w:tmpl w:val="FFEFC674"/>
    <w:lvl w:ilvl="0" w:tentative="0">
      <w:start w:val="1"/>
      <w:numFmt w:val="decimal"/>
      <w:suff w:val="nothing"/>
      <w:lvlText w:val="（%1）"/>
      <w:lvlJc w:val="left"/>
    </w:lvl>
  </w:abstractNum>
  <w:abstractNum w:abstractNumId="6">
    <w:nsid w:val="3A57750F"/>
    <w:multiLevelType w:val="singleLevel"/>
    <w:tmpl w:val="3A57750F"/>
    <w:lvl w:ilvl="0" w:tentative="0">
      <w:start w:val="1"/>
      <w:numFmt w:val="decimal"/>
      <w:lvlText w:val="%1."/>
      <w:lvlJc w:val="left"/>
      <w:pPr>
        <w:tabs>
          <w:tab w:val="left" w:pos="312"/>
        </w:tabs>
      </w:pPr>
    </w:lvl>
  </w:abstractNum>
  <w:abstractNum w:abstractNumId="7">
    <w:nsid w:val="7A0F6431"/>
    <w:multiLevelType w:val="singleLevel"/>
    <w:tmpl w:val="7A0F6431"/>
    <w:lvl w:ilvl="0" w:tentative="0">
      <w:start w:val="1"/>
      <w:numFmt w:val="decimal"/>
      <w:suff w:val="space"/>
      <w:lvlText w:val="%1."/>
      <w:lvlJc w:val="left"/>
    </w:lvl>
  </w:abstractNum>
  <w:num w:numId="1">
    <w:abstractNumId w:val="7"/>
  </w:num>
  <w:num w:numId="2">
    <w:abstractNumId w:val="1"/>
  </w:num>
  <w:num w:numId="3">
    <w:abstractNumId w:val="5"/>
  </w:num>
  <w:num w:numId="4">
    <w:abstractNumId w:val="3"/>
  </w:num>
  <w:num w:numId="5">
    <w:abstractNumId w:val="2"/>
  </w:num>
  <w:num w:numId="6">
    <w:abstractNumId w:val="0"/>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9512FB2"/>
    <w:rsid w:val="39512F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2"/>
    <w:basedOn w:val="1"/>
    <w:next w:val="1"/>
    <w:qFormat/>
    <w:uiPriority w:val="0"/>
    <w:pPr>
      <w:keepNext/>
      <w:keepLines/>
      <w:spacing w:line="360" w:lineRule="auto"/>
      <w:outlineLvl w:val="1"/>
    </w:pPr>
    <w:rPr>
      <w:rFonts w:ascii="Arial" w:hAnsi="Arial"/>
      <w:b/>
      <w:bCs/>
      <w:sz w:val="24"/>
      <w:szCs w:val="32"/>
    </w:rPr>
  </w:style>
  <w:style w:type="character" w:default="1" w:styleId="9">
    <w:name w:val="Default Paragraph Font"/>
    <w:semiHidden/>
    <w:uiPriority w:val="0"/>
  </w:style>
  <w:style w:type="table" w:default="1" w:styleId="8">
    <w:name w:val="Normal Table"/>
    <w:semiHidden/>
    <w:qFormat/>
    <w:uiPriority w:val="0"/>
    <w:tblPr>
      <w:tblCellMar>
        <w:top w:w="0" w:type="dxa"/>
        <w:left w:w="108" w:type="dxa"/>
        <w:bottom w:w="0" w:type="dxa"/>
        <w:right w:w="108" w:type="dxa"/>
      </w:tblCellMar>
    </w:tblPr>
  </w:style>
  <w:style w:type="paragraph" w:customStyle="1" w:styleId="2">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paragraph" w:styleId="4">
    <w:name w:val="Body Text"/>
    <w:basedOn w:val="1"/>
    <w:next w:val="1"/>
    <w:unhideWhenUsed/>
    <w:qFormat/>
    <w:uiPriority w:val="0"/>
    <w:pPr>
      <w:spacing w:after="120"/>
    </w:pPr>
    <w:rPr>
      <w:rFonts w:ascii="Calibri" w:hAnsi="Calibri"/>
      <w:szCs w:val="22"/>
    </w:rPr>
  </w:style>
  <w:style w:type="paragraph" w:styleId="5">
    <w:name w:val="Body Text Indent"/>
    <w:basedOn w:val="1"/>
    <w:qFormat/>
    <w:uiPriority w:val="0"/>
    <w:pPr>
      <w:spacing w:after="120"/>
      <w:ind w:left="420" w:leftChars="200"/>
    </w:pPr>
  </w:style>
  <w:style w:type="paragraph" w:styleId="6">
    <w:name w:val="Plain Text"/>
    <w:basedOn w:val="1"/>
    <w:qFormat/>
    <w:uiPriority w:val="0"/>
    <w:rPr>
      <w:rFonts w:ascii="宋体" w:hAnsi="Courier New" w:cs="Courier New"/>
      <w:szCs w:val="21"/>
    </w:rPr>
  </w:style>
  <w:style w:type="paragraph" w:styleId="7">
    <w:name w:val="footer"/>
    <w:basedOn w:val="1"/>
    <w:qFormat/>
    <w:uiPriority w:val="99"/>
    <w:pPr>
      <w:tabs>
        <w:tab w:val="center" w:pos="4153"/>
        <w:tab w:val="right" w:pos="8306"/>
      </w:tabs>
      <w:snapToGrid w:val="0"/>
      <w:jc w:val="left"/>
    </w:pPr>
    <w:rPr>
      <w:sz w:val="18"/>
      <w:szCs w:val="18"/>
    </w:rPr>
  </w:style>
  <w:style w:type="paragraph" w:customStyle="1" w:styleId="10">
    <w:name w:val="列出段落1"/>
    <w:basedOn w:val="1"/>
    <w:qFormat/>
    <w:uiPriority w:val="0"/>
    <w:pPr>
      <w:ind w:firstLine="420" w:firstLineChars="200"/>
    </w:pPr>
    <w:rPr>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0</Words>
  <Characters>0</Characters>
  <Lines>0</Lines>
  <Paragraphs>0</Paragraphs>
  <TotalTime>0</TotalTime>
  <ScaleCrop>false</ScaleCrop>
  <LinksUpToDate>false</LinksUpToDate>
  <CharactersWithSpaces>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2025-06-18T02:38:00Z</dcterms:created>
  <dc:creator>嘉-hjy</dc:creator>
  <cp:lastModifiedBy>嘉-hjy</cp:lastModifiedBy>
  <dcterms:modified xsi:type="dcterms:W3CDTF">2025-06-18T02:39:31Z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DCA4536E53B4413DAC1FE76BBD05DAE5_11</vt:lpwstr>
  </property>
  <property fmtid="{D5CDD505-2E9C-101B-9397-08002B2CF9AE}" pid="4" name="KSOTemplateDocerSaveRecord">
    <vt:lpwstr>eyJoZGlkIjoiM2E0NTQ3MmRlNmIzZjUxOWVkODVjNTllOTYyZjM3NDEiLCJ1c2VySWQiOiI3MDEwOTY0NDIifQ==</vt:lpwstr>
  </property>
</Properties>
</file>