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440001-2025-24561</w:t>
      </w:r>
    </w:p>
    <w:p>
      <w:pPr>
        <w:pStyle w:val="null3"/>
        <w:jc w:val="center"/>
        <w:outlineLvl w:val="3"/>
      </w:pPr>
      <w:r>
        <w:rPr>
          <w:sz w:val="24"/>
          <w:b/>
        </w:rPr>
        <w:t>采购项目编号：</w:t>
      </w:r>
      <w:r>
        <w:rPr>
          <w:sz w:val="24"/>
          <w:b/>
        </w:rPr>
        <w:t>0877-25GZTP1ZC0356</w:t>
      </w:r>
    </w:p>
    <w:p>
      <w:pPr>
        <w:pStyle w:val="null3"/>
        <w:jc w:val="center"/>
        <w:outlineLvl w:val="3"/>
      </w:pPr>
      <w:r>
        <w:rPr>
          <w:sz w:val="24"/>
          <w:b/>
        </w:rPr>
        <w:t>项目名称：</w:t>
      </w:r>
      <w:r>
        <w:rPr>
          <w:sz w:val="24"/>
          <w:b/>
        </w:rPr>
        <w:t>广州中医药大学第一附属医院信息系统及集成平台运维服务项目</w:t>
      </w:r>
    </w:p>
    <w:p>
      <w:pPr>
        <w:pStyle w:val="null3"/>
        <w:jc w:val="center"/>
        <w:outlineLvl w:val="3"/>
      </w:pPr>
      <w:r>
        <w:rPr>
          <w:sz w:val="24"/>
          <w:b/>
        </w:rPr>
        <w:t>采购人：</w:t>
      </w:r>
      <w:r>
        <w:rPr>
          <w:sz w:val="24"/>
          <w:b/>
        </w:rPr>
        <w:t>广州中医药大学第一附属医院</w:t>
      </w:r>
    </w:p>
    <w:p>
      <w:pPr>
        <w:pStyle w:val="null3"/>
        <w:jc w:val="center"/>
        <w:outlineLvl w:val="3"/>
      </w:pPr>
      <w:r>
        <w:rPr>
          <w:sz w:val="24"/>
          <w:b/>
        </w:rPr>
        <w:t>采购代理机构：</w:t>
      </w:r>
      <w:r>
        <w:rPr>
          <w:sz w:val="24"/>
          <w:b/>
        </w:rPr>
        <w:t>广东广招招标采购有限公司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广东广招招标采购有限公司</w:t>
      </w:r>
      <w:r>
        <w:rPr/>
        <w:t>受</w:t>
      </w:r>
      <w:r>
        <w:rPr/>
        <w:t>广州中医药大学第一附属医院</w:t>
      </w:r>
      <w:r>
        <w:rPr/>
        <w:t>的委托，采用</w:t>
      </w:r>
      <w:r>
        <w:rPr/>
        <w:t>公开招标</w:t>
      </w:r>
      <w:r>
        <w:rPr/>
        <w:t>方式组织采购</w:t>
      </w:r>
      <w:r>
        <w:rPr/>
        <w:t>广州中医药大学第一附属医院信息系统及集成平台运维服务项目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广州中医药大学第一附属医院信息系统及集成平台运维服务项目</w:t>
      </w:r>
    </w:p>
    <w:p>
      <w:pPr>
        <w:pStyle w:val="null3"/>
        <w:ind w:firstLine="480"/>
      </w:pPr>
      <w:r>
        <w:rPr/>
        <w:t>采购计划编号：</w:t>
      </w:r>
      <w:r>
        <w:rPr/>
        <w:t>440001-2025-24561</w:t>
      </w:r>
    </w:p>
    <w:p>
      <w:pPr>
        <w:pStyle w:val="null3"/>
        <w:ind w:firstLine="480"/>
      </w:pPr>
      <w:r>
        <w:rPr/>
        <w:t>采购项目编号：</w:t>
      </w:r>
      <w:r>
        <w:rPr/>
        <w:t>0877-25GZTP1ZC0356</w:t>
      </w:r>
    </w:p>
    <w:p>
      <w:pPr>
        <w:pStyle w:val="null3"/>
        <w:ind w:firstLine="480"/>
      </w:pPr>
      <w:r>
        <w:rPr/>
        <w:t>采购方式：</w:t>
      </w:r>
      <w:r>
        <w:rPr/>
        <w:t>公开招标</w:t>
      </w:r>
    </w:p>
    <w:p>
      <w:pPr>
        <w:pStyle w:val="null3"/>
        <w:ind w:firstLine="480"/>
      </w:pPr>
      <w:r>
        <w:rPr/>
        <w:t>预算金额：</w:t>
      </w:r>
      <w:r>
        <w:rPr/>
        <w:t>4,842,493.00</w:t>
      </w:r>
      <w:r>
        <w:rPr/>
        <w:t>元</w:t>
      </w:r>
    </w:p>
    <w:p>
      <w:pPr>
        <w:pStyle w:val="null3"/>
        <w:outlineLvl w:val="3"/>
      </w:pPr>
      <w:r>
        <w:rPr>
          <w:sz w:val="24"/>
          <w:b/>
        </w:rPr>
        <w:t>2.项目内容及需求情况（采购项目技术规格、参数及要求）</w:t>
      </w:r>
    </w:p>
    <w:p>
      <w:pPr>
        <w:pStyle w:val="null3"/>
      </w:pPr>
      <w:r>
        <w:rPr/>
        <w:t>采购包1(信息系统及集成平台运维服务):</w:t>
      </w:r>
    </w:p>
    <w:p>
      <w:pPr>
        <w:pStyle w:val="null3"/>
      </w:pPr>
      <w:r>
        <w:rPr/>
        <w:t>采购包预算金额：4,842,493.00元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软件运维服务</w:t>
            </w:r>
          </w:p>
        </w:tc>
        <w:tc>
          <w:tcPr>
            <w:tcW w:type="dxa" w:w="2136"/>
          </w:tcPr>
          <w:p>
            <w:pPr>
              <w:pStyle w:val="null3"/>
            </w:pPr>
            <w:r>
              <w:rPr/>
              <w:t>广州中医药大学第一附属医院信息系统及集成平台运维服务</w:t>
            </w:r>
          </w:p>
        </w:tc>
        <w:tc>
          <w:tcPr>
            <w:tcW w:type="dxa" w:w="1187"/>
          </w:tcPr>
          <w:p>
            <w:pPr>
              <w:pStyle w:val="null3"/>
            </w:pPr>
            <w:r>
              <w:rPr/>
              <w:t>2(年)</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合同履行期限：自合同签订之日起2年。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p>
      <w:pPr>
        <w:pStyle w:val="null3"/>
      </w:pPr>
      <w:r>
        <w:rPr/>
        <w:t>2）有依法缴纳税收和社会保障资金的良好记录：提供投标截止日前6个月内任意1个月依法缴纳税收的相关材料；提供投标截止日前6个月内任意1个月依法缴纳社会保障资金的相关材料。如依法免税或不需要缴纳社会保障资金的，提供相应证明材料。</w:t>
      </w:r>
    </w:p>
    <w:p>
      <w:pPr>
        <w:pStyle w:val="null3"/>
      </w:pPr>
      <w:r>
        <w:rPr/>
        <w:t>3）具有良好的商业信誉和健全的财务会计制度：提供2023年度财务状况报告或2024年度财务状况报告；或银行出具的资信证明材料复印件。</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采购包1（信息系统及集成平台运维服务）：</w:t>
      </w:r>
      <w:r>
        <w:rPr/>
        <w:t>本项目不属于专门面向中小企业采购的项目。仅在评审时对符合条件的小型、微型企业进行价格扣除（监狱企业、残疾人福利性单位视同为小型、微型企业）。</w:t>
      </w:r>
    </w:p>
    <w:p>
      <w:pPr>
        <w:pStyle w:val="null3"/>
        <w:outlineLvl w:val="3"/>
      </w:pPr>
      <w:r>
        <w:rPr>
          <w:sz w:val="24"/>
          <w:b/>
        </w:rPr>
        <w:t>3.本项目特定的资格要求：</w:t>
      </w:r>
    </w:p>
    <w:p>
      <w:pPr>
        <w:pStyle w:val="null3"/>
      </w:pPr>
      <w:r>
        <w:rPr/>
        <w:t>采购包1（信息系统及集成平台运维服务）：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广东广招招标采购有限公司网（http://www.gztpc.com）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广州中医药大学第一附属医院</w:t>
      </w:r>
    </w:p>
    <w:p>
      <w:pPr>
        <w:pStyle w:val="null3"/>
        <w:ind w:firstLine="480"/>
      </w:pPr>
      <w:r>
        <w:rPr/>
        <w:t xml:space="preserve"> 地址：</w:t>
      </w:r>
      <w:r>
        <w:rPr/>
        <w:t>广州市机场路１６号</w:t>
      </w:r>
    </w:p>
    <w:p>
      <w:pPr>
        <w:pStyle w:val="null3"/>
        <w:ind w:firstLine="480"/>
      </w:pPr>
      <w:r>
        <w:rPr/>
        <w:t xml:space="preserve"> 联系方式：</w:t>
      </w:r>
      <w:r>
        <w:rPr/>
        <w:t>020-36585829</w:t>
      </w:r>
    </w:p>
    <w:p>
      <w:pPr>
        <w:pStyle w:val="null3"/>
        <w:outlineLvl w:val="3"/>
      </w:pPr>
      <w:r>
        <w:rPr>
          <w:sz w:val="24"/>
          <w:b/>
        </w:rPr>
        <w:t xml:space="preserve"> 2.采购代理机构信息</w:t>
      </w:r>
    </w:p>
    <w:p>
      <w:pPr>
        <w:pStyle w:val="null3"/>
        <w:ind w:firstLine="480"/>
      </w:pPr>
      <w:r>
        <w:rPr/>
        <w:t xml:space="preserve"> 名称：</w:t>
      </w:r>
      <w:r>
        <w:rPr/>
        <w:t>广东广招招标采购有限公司</w:t>
      </w:r>
    </w:p>
    <w:p>
      <w:pPr>
        <w:pStyle w:val="null3"/>
        <w:ind w:firstLine="480"/>
      </w:pPr>
      <w:r>
        <w:rPr/>
        <w:t xml:space="preserve"> 地址：</w:t>
      </w:r>
      <w:r>
        <w:rPr/>
        <w:t>广州市东风东路745号东山紫园商务大厦2003单元</w:t>
      </w:r>
    </w:p>
    <w:p>
      <w:pPr>
        <w:pStyle w:val="null3"/>
        <w:ind w:firstLine="480"/>
      </w:pPr>
      <w:r>
        <w:rPr/>
        <w:t xml:space="preserve"> 联系方式：</w:t>
      </w:r>
      <w:r>
        <w:rPr/>
        <w:t>020-37816286-809</w:t>
      </w:r>
    </w:p>
    <w:p>
      <w:pPr>
        <w:pStyle w:val="null3"/>
        <w:outlineLvl w:val="3"/>
      </w:pPr>
      <w:r>
        <w:rPr>
          <w:sz w:val="24"/>
          <w:b/>
        </w:rPr>
        <w:t xml:space="preserve"> 3.项目联系方式</w:t>
      </w:r>
    </w:p>
    <w:p>
      <w:pPr>
        <w:pStyle w:val="null3"/>
        <w:ind w:firstLine="480"/>
      </w:pPr>
      <w:r>
        <w:rPr/>
        <w:t xml:space="preserve"> 项目联系人：</w:t>
      </w:r>
      <w:r>
        <w:rPr/>
        <w:t>黎工</w:t>
      </w:r>
    </w:p>
    <w:p>
      <w:pPr>
        <w:pStyle w:val="null3"/>
        <w:ind w:firstLine="480"/>
      </w:pPr>
      <w:r>
        <w:rPr/>
        <w:t xml:space="preserve"> 电话：</w:t>
      </w:r>
      <w:r>
        <w:rPr/>
        <w:t>020-37816286-809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广东广招招标采购有限公司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rPr>
        <w:t>一、项目概况：</w:t>
      </w:r>
    </w:p>
    <w:p>
      <w:pPr>
        <w:pStyle w:val="null3"/>
        <w:jc w:val="both"/>
      </w:pPr>
      <w:r>
        <w:rPr>
          <w:sz w:val="21"/>
        </w:rPr>
        <w:t>1.</w:t>
      </w:r>
      <w:r>
        <w:rPr>
          <w:sz w:val="21"/>
        </w:rPr>
        <w:t>项目属性：</w:t>
      </w:r>
      <w:r>
        <w:rPr>
          <w:sz w:val="21"/>
        </w:rPr>
        <w:t>服务类</w:t>
      </w:r>
    </w:p>
    <w:p>
      <w:pPr>
        <w:pStyle w:val="null3"/>
        <w:jc w:val="both"/>
      </w:pPr>
      <w:r>
        <w:rPr>
          <w:sz w:val="21"/>
        </w:rPr>
        <w:t>2.</w:t>
      </w:r>
      <w:r>
        <w:rPr>
          <w:sz w:val="21"/>
        </w:rPr>
        <w:t>品目分类：</w:t>
      </w:r>
      <w:r>
        <w:rPr>
          <w:sz w:val="21"/>
        </w:rPr>
        <w:t>软件运维服务</w:t>
      </w:r>
    </w:p>
    <w:p>
      <w:pPr>
        <w:pStyle w:val="null3"/>
      </w:pPr>
      <w:r>
        <w:rPr>
          <w:sz w:val="21"/>
        </w:rPr>
        <w:t>3.</w:t>
      </w:r>
      <w:r>
        <w:rPr>
          <w:sz w:val="21"/>
        </w:rPr>
        <w:t>本项目对应的中小企业划分标准所属行业为：软件和信息技术服务业</w:t>
      </w:r>
    </w:p>
    <w:p>
      <w:pPr>
        <w:pStyle w:val="null3"/>
        <w:jc w:val="both"/>
      </w:pPr>
      <w:r>
        <w:rPr>
          <w:sz w:val="21"/>
        </w:rPr>
        <w:t>4.</w:t>
      </w:r>
      <w:r>
        <w:rPr>
          <w:sz w:val="21"/>
        </w:rPr>
        <w:t>打“★”号条款为实质性条款，若有任何一条负偏离或不满足则导致投标无效。</w:t>
      </w:r>
    </w:p>
    <w:p>
      <w:pPr>
        <w:pStyle w:val="null3"/>
        <w:jc w:val="both"/>
      </w:pPr>
      <w:r>
        <w:rPr/>
        <w:t>5.</w:t>
      </w:r>
      <w:r>
        <w:rPr>
          <w:sz w:val="21"/>
        </w:rPr>
        <w:t>打</w:t>
      </w:r>
      <w:r>
        <w:rPr>
          <w:sz w:val="21"/>
        </w:rPr>
        <w:t>“▲”号条款为重要技术参数，若有部分“▲”条款未响应或不满足，将导致其响应性评审加重扣分，但不作为无效投标条款。</w:t>
      </w:r>
    </w:p>
    <w:p>
      <w:pPr>
        <w:pStyle w:val="null3"/>
        <w:ind w:firstLine="400"/>
        <w:jc w:val="both"/>
      </w:pPr>
      <w:r>
        <w:rPr>
          <w:sz w:val="21"/>
        </w:rPr>
        <w:t>广州中医药大学第一附属医院是一所大型综合性中医医院，创建于</w:t>
      </w:r>
      <w:r>
        <w:rPr>
          <w:sz w:val="21"/>
        </w:rPr>
        <w:t>1964</w:t>
      </w:r>
      <w:r>
        <w:rPr>
          <w:sz w:val="21"/>
        </w:rPr>
        <w:t>年，是我国高等中医药临床教育、医疗、科研重要基地之一，为全国首批三级甲等中医医院、示范中医医院和首批广东省中医名院，在全国同行业中名列前茅。</w:t>
      </w:r>
    </w:p>
    <w:p>
      <w:pPr>
        <w:pStyle w:val="null3"/>
        <w:ind w:firstLine="420"/>
        <w:jc w:val="both"/>
      </w:pPr>
      <w:r>
        <w:rPr>
          <w:sz w:val="28"/>
          <w:b/>
        </w:rPr>
        <w:t>二、项目服务内容及维护要求</w:t>
      </w:r>
    </w:p>
    <w:p>
      <w:pPr>
        <w:pStyle w:val="null3"/>
        <w:ind w:firstLine="420"/>
        <w:jc w:val="both"/>
      </w:pPr>
      <w:r>
        <w:rPr>
          <w:sz w:val="21"/>
          <w:b/>
        </w:rPr>
        <w:t>（一）</w:t>
      </w:r>
      <w:r>
        <w:rPr>
          <w:sz w:val="21"/>
          <w:b/>
        </w:rPr>
        <w:t>本项目要求进行维护服务的信息系统：</w:t>
      </w:r>
    </w:p>
    <w:p>
      <w:pPr>
        <w:pStyle w:val="null3"/>
        <w:ind w:firstLine="420"/>
        <w:jc w:val="both"/>
      </w:pPr>
      <w:r>
        <w:rPr>
          <w:sz w:val="21"/>
        </w:rPr>
        <w:t>1.</w:t>
      </w:r>
      <w:r>
        <w:rPr>
          <w:sz w:val="21"/>
        </w:rPr>
        <w:t>医院信息集成平台及</w:t>
      </w:r>
      <w:r>
        <w:rPr>
          <w:sz w:val="21"/>
        </w:rPr>
        <w:t>HIS</w:t>
      </w:r>
      <w:r>
        <w:rPr>
          <w:sz w:val="21"/>
        </w:rPr>
        <w:t>系统功能、流程新增及修改原则上仅限于医院下述各业务系统，政策性任务必须按照政策要求进度及时限完成，非政策性需求需按照医院规定进度及时限完成。</w:t>
      </w:r>
    </w:p>
    <w:p>
      <w:pPr>
        <w:pStyle w:val="null3"/>
        <w:ind w:firstLine="420"/>
        <w:jc w:val="left"/>
      </w:pPr>
      <w:r>
        <w:rPr>
          <w:sz w:val="21"/>
        </w:rPr>
        <w:t>2.★</w:t>
      </w:r>
      <w:r>
        <w:rPr>
          <w:sz w:val="21"/>
        </w:rPr>
        <w:t>医院信息集成平台服务范围（提供承诺函，格式自拟，加盖公章）：</w:t>
      </w:r>
    </w:p>
    <w:tbl>
      <w:tblPr>
        <w:tblW w:w="0" w:type="auto"/>
        <w:tblBorders>
          <w:top w:val="none" w:color="000000" w:sz="4"/>
          <w:left w:val="none" w:color="000000" w:sz="4"/>
          <w:bottom w:val="none" w:color="000000" w:sz="4"/>
          <w:right w:val="none" w:color="000000" w:sz="4"/>
          <w:insideH w:val="none"/>
          <w:insideV w:val="none"/>
        </w:tblBorders>
      </w:tblPr>
      <w:tblGrid>
        <w:gridCol w:w="719"/>
        <w:gridCol w:w="2066"/>
        <w:gridCol w:w="5521"/>
      </w:tblGrid>
      <w:tr>
        <w:tc>
          <w:tcPr>
            <w:tcW w:type="dxa" w:w="7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20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both"/>
            </w:pPr>
            <w:r>
              <w:rPr>
                <w:sz w:val="21"/>
                <w:b/>
              </w:rPr>
              <w:t>项目名称</w:t>
            </w:r>
          </w:p>
        </w:tc>
        <w:tc>
          <w:tcPr>
            <w:tcW w:type="dxa" w:w="55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center"/>
            </w:pPr>
            <w:r>
              <w:rPr>
                <w:sz w:val="21"/>
                <w:b/>
              </w:rPr>
              <w:t>详细内容</w:t>
            </w: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集成平台</w:t>
            </w:r>
          </w:p>
        </w:tc>
        <w:tc>
          <w:tcPr>
            <w:tcW w:type="dxa" w:w="5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医院服务总线</w:t>
            </w:r>
            <w:r>
              <w:rPr>
                <w:sz w:val="21"/>
              </w:rPr>
              <w:t>(0rion Health)</w:t>
            </w: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66"/>
            <w:vMerge/>
            <w:tcBorders>
              <w:top w:val="none" w:color="000000" w:sz="4"/>
              <w:left w:val="single" w:color="000000" w:sz="4"/>
              <w:bottom w:val="single" w:color="000000" w:sz="4"/>
              <w:right w:val="single" w:color="000000" w:sz="4"/>
            </w:tcBorders>
          </w:tcPr>
          <w:p/>
        </w:tc>
        <w:tc>
          <w:tcPr>
            <w:tcW w:type="dxa" w:w="5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服务配置和管理</w:t>
            </w: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066"/>
            <w:vMerge/>
            <w:tcBorders>
              <w:top w:val="none" w:color="000000" w:sz="4"/>
              <w:left w:val="single" w:color="000000" w:sz="4"/>
              <w:bottom w:val="single" w:color="000000" w:sz="4"/>
              <w:right w:val="single" w:color="000000" w:sz="4"/>
            </w:tcBorders>
          </w:tcPr>
          <w:p/>
        </w:tc>
        <w:tc>
          <w:tcPr>
            <w:tcW w:type="dxa" w:w="5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平台运行监控</w:t>
            </w: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066"/>
            <w:vMerge/>
            <w:tcBorders>
              <w:top w:val="none" w:color="000000" w:sz="4"/>
              <w:left w:val="single" w:color="000000" w:sz="4"/>
              <w:bottom w:val="single" w:color="000000" w:sz="4"/>
              <w:right w:val="single" w:color="000000" w:sz="4"/>
            </w:tcBorders>
          </w:tcPr>
          <w:p/>
        </w:tc>
        <w:tc>
          <w:tcPr>
            <w:tcW w:type="dxa" w:w="5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集成平台服务综合管理系统</w:t>
            </w: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066"/>
            <w:vMerge/>
            <w:tcBorders>
              <w:top w:val="none" w:color="000000" w:sz="4"/>
              <w:left w:val="single" w:color="000000" w:sz="4"/>
              <w:bottom w:val="single" w:color="000000" w:sz="4"/>
              <w:right w:val="single" w:color="000000" w:sz="4"/>
            </w:tcBorders>
          </w:tcPr>
          <w:p/>
        </w:tc>
        <w:tc>
          <w:tcPr>
            <w:tcW w:type="dxa" w:w="5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统一工作门户</w:t>
            </w: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066"/>
            <w:vMerge/>
            <w:tcBorders>
              <w:top w:val="none" w:color="000000" w:sz="4"/>
              <w:left w:val="single" w:color="000000" w:sz="4"/>
              <w:bottom w:val="single" w:color="000000" w:sz="4"/>
              <w:right w:val="single" w:color="000000" w:sz="4"/>
            </w:tcBorders>
          </w:tcPr>
          <w:p/>
        </w:tc>
        <w:tc>
          <w:tcPr>
            <w:tcW w:type="dxa" w:w="5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统一用户管理服务</w:t>
            </w: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066"/>
            <w:vMerge/>
            <w:tcBorders>
              <w:top w:val="none" w:color="000000" w:sz="4"/>
              <w:left w:val="single" w:color="000000" w:sz="4"/>
              <w:bottom w:val="single" w:color="000000" w:sz="4"/>
              <w:right w:val="single" w:color="000000" w:sz="4"/>
            </w:tcBorders>
          </w:tcPr>
          <w:p/>
        </w:tc>
        <w:tc>
          <w:tcPr>
            <w:tcW w:type="dxa" w:w="5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临床数据中心</w:t>
            </w: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066"/>
            <w:vMerge/>
            <w:tcBorders>
              <w:top w:val="none" w:color="000000" w:sz="4"/>
              <w:left w:val="single" w:color="000000" w:sz="4"/>
              <w:bottom w:val="single" w:color="000000" w:sz="4"/>
              <w:right w:val="single" w:color="000000" w:sz="4"/>
            </w:tcBorders>
          </w:tcPr>
          <w:p/>
        </w:tc>
        <w:tc>
          <w:tcPr>
            <w:tcW w:type="dxa" w:w="5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临床应用系统</w:t>
            </w:r>
            <w:r>
              <w:rPr>
                <w:sz w:val="21"/>
              </w:rPr>
              <w:t>(患者360度信息视图)</w:t>
            </w: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066"/>
            <w:vMerge/>
            <w:tcBorders>
              <w:top w:val="none" w:color="000000" w:sz="4"/>
              <w:left w:val="single" w:color="000000" w:sz="4"/>
              <w:bottom w:val="single" w:color="000000" w:sz="4"/>
              <w:right w:val="single" w:color="000000" w:sz="4"/>
            </w:tcBorders>
          </w:tcPr>
          <w:p/>
        </w:tc>
        <w:tc>
          <w:tcPr>
            <w:tcW w:type="dxa" w:w="5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医院辅助决策支持系统</w:t>
            </w: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066"/>
            <w:vMerge/>
            <w:tcBorders>
              <w:top w:val="none" w:color="000000" w:sz="4"/>
              <w:left w:val="single" w:color="000000" w:sz="4"/>
              <w:bottom w:val="single" w:color="000000" w:sz="4"/>
              <w:right w:val="single" w:color="000000" w:sz="4"/>
            </w:tcBorders>
          </w:tcPr>
          <w:p/>
        </w:tc>
        <w:tc>
          <w:tcPr>
            <w:tcW w:type="dxa" w:w="5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互联互通标准成熟度五乙相关运营管理系统、临床系统、医疗管理系统对接接口维护</w:t>
            </w: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066"/>
            <w:vMerge/>
            <w:tcBorders>
              <w:top w:val="none" w:color="000000" w:sz="4"/>
              <w:left w:val="single" w:color="000000" w:sz="4"/>
              <w:bottom w:val="single" w:color="000000" w:sz="4"/>
              <w:right w:val="single" w:color="000000" w:sz="4"/>
            </w:tcBorders>
          </w:tcPr>
          <w:p/>
        </w:tc>
        <w:tc>
          <w:tcPr>
            <w:tcW w:type="dxa" w:w="5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互联互通标准成熟度五乙接口与数据维护</w:t>
            </w: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066"/>
            <w:vMerge/>
            <w:tcBorders>
              <w:top w:val="none" w:color="000000" w:sz="4"/>
              <w:left w:val="single" w:color="000000" w:sz="4"/>
              <w:bottom w:val="single" w:color="000000" w:sz="4"/>
              <w:right w:val="single" w:color="000000" w:sz="4"/>
            </w:tcBorders>
          </w:tcPr>
          <w:p/>
        </w:tc>
        <w:tc>
          <w:tcPr>
            <w:tcW w:type="dxa" w:w="5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与广州市全民健康信息平台数据接口</w:t>
            </w: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0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中医药数据标准化及数据应用服务系统</w:t>
            </w:r>
          </w:p>
        </w:tc>
        <w:tc>
          <w:tcPr>
            <w:tcW w:type="dxa" w:w="5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系统架构</w:t>
            </w: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066"/>
            <w:vMerge/>
            <w:tcBorders>
              <w:top w:val="none" w:color="000000" w:sz="4"/>
              <w:left w:val="single" w:color="000000" w:sz="4"/>
              <w:bottom w:val="single" w:color="000000" w:sz="4"/>
              <w:right w:val="single" w:color="000000" w:sz="4"/>
            </w:tcBorders>
          </w:tcPr>
          <w:p/>
        </w:tc>
        <w:tc>
          <w:tcPr>
            <w:tcW w:type="dxa" w:w="5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数据处理</w:t>
            </w: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066"/>
            <w:vMerge/>
            <w:tcBorders>
              <w:top w:val="none" w:color="000000" w:sz="4"/>
              <w:left w:val="single" w:color="000000" w:sz="4"/>
              <w:bottom w:val="single" w:color="000000" w:sz="4"/>
              <w:right w:val="single" w:color="000000" w:sz="4"/>
            </w:tcBorders>
          </w:tcPr>
          <w:p/>
        </w:tc>
        <w:tc>
          <w:tcPr>
            <w:tcW w:type="dxa" w:w="5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自定义视图</w:t>
            </w: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2066"/>
            <w:vMerge/>
            <w:tcBorders>
              <w:top w:val="none" w:color="000000" w:sz="4"/>
              <w:left w:val="single" w:color="000000" w:sz="4"/>
              <w:bottom w:val="single" w:color="000000" w:sz="4"/>
              <w:right w:val="single" w:color="000000" w:sz="4"/>
            </w:tcBorders>
          </w:tcPr>
          <w:p/>
        </w:tc>
        <w:tc>
          <w:tcPr>
            <w:tcW w:type="dxa" w:w="5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患者主索引服务</w:t>
            </w:r>
            <w:r>
              <w:rPr>
                <w:sz w:val="21"/>
              </w:rPr>
              <w:t>EMPI</w:t>
            </w: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2066"/>
            <w:vMerge/>
            <w:tcBorders>
              <w:top w:val="none" w:color="000000" w:sz="4"/>
              <w:left w:val="single" w:color="000000" w:sz="4"/>
              <w:bottom w:val="single" w:color="000000" w:sz="4"/>
              <w:right w:val="single" w:color="000000" w:sz="4"/>
            </w:tcBorders>
          </w:tcPr>
          <w:p/>
        </w:tc>
        <w:tc>
          <w:tcPr>
            <w:tcW w:type="dxa" w:w="5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主数据管理服务</w:t>
            </w: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2066"/>
            <w:vMerge/>
            <w:tcBorders>
              <w:top w:val="none" w:color="000000" w:sz="4"/>
              <w:left w:val="single" w:color="000000" w:sz="4"/>
              <w:bottom w:val="single" w:color="000000" w:sz="4"/>
              <w:right w:val="single" w:color="000000" w:sz="4"/>
            </w:tcBorders>
          </w:tcPr>
          <w:p/>
        </w:tc>
        <w:tc>
          <w:tcPr>
            <w:tcW w:type="dxa" w:w="5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标准功能</w:t>
            </w: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2066"/>
            <w:vMerge/>
            <w:tcBorders>
              <w:top w:val="none" w:color="000000" w:sz="4"/>
              <w:left w:val="single" w:color="000000" w:sz="4"/>
              <w:bottom w:val="single" w:color="000000" w:sz="4"/>
              <w:right w:val="single" w:color="000000" w:sz="4"/>
            </w:tcBorders>
          </w:tcPr>
          <w:p/>
        </w:tc>
        <w:tc>
          <w:tcPr>
            <w:tcW w:type="dxa" w:w="5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接口设计</w:t>
            </w: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2066"/>
            <w:vMerge/>
            <w:tcBorders>
              <w:top w:val="none" w:color="000000" w:sz="4"/>
              <w:left w:val="single" w:color="000000" w:sz="4"/>
              <w:bottom w:val="single" w:color="000000" w:sz="4"/>
              <w:right w:val="single" w:color="000000" w:sz="4"/>
            </w:tcBorders>
          </w:tcPr>
          <w:p/>
        </w:tc>
        <w:tc>
          <w:tcPr>
            <w:tcW w:type="dxa" w:w="5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互联互通接口：提供互联互通国家接口数据</w:t>
            </w: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2066"/>
            <w:vMerge/>
            <w:tcBorders>
              <w:top w:val="none" w:color="000000" w:sz="4"/>
              <w:left w:val="single" w:color="000000" w:sz="4"/>
              <w:bottom w:val="single" w:color="000000" w:sz="4"/>
              <w:right w:val="single" w:color="000000" w:sz="4"/>
            </w:tcBorders>
          </w:tcPr>
          <w:p/>
        </w:tc>
        <w:tc>
          <w:tcPr>
            <w:tcW w:type="dxa" w:w="5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网络安全</w:t>
            </w:r>
          </w:p>
        </w:tc>
      </w:tr>
    </w:tbl>
    <w:p>
      <w:pPr>
        <w:pStyle w:val="null3"/>
        <w:ind w:firstLine="420"/>
        <w:jc w:val="both"/>
      </w:pPr>
      <w:r>
        <w:rPr>
          <w:sz w:val="21"/>
        </w:rPr>
        <w:t>3.★</w:t>
      </w:r>
      <w:r>
        <w:rPr>
          <w:sz w:val="21"/>
        </w:rPr>
        <w:t>医院信息系统（</w:t>
      </w:r>
      <w:r>
        <w:rPr>
          <w:sz w:val="21"/>
        </w:rPr>
        <w:t>HIS</w:t>
      </w:r>
      <w:r>
        <w:rPr>
          <w:sz w:val="21"/>
        </w:rPr>
        <w:t>）服务范围</w:t>
      </w:r>
      <w:r>
        <w:rPr>
          <w:sz w:val="21"/>
        </w:rPr>
        <w:t>（</w:t>
      </w:r>
      <w:r>
        <w:rPr>
          <w:sz w:val="21"/>
        </w:rPr>
        <w:t>提供承诺函，格式自拟，加盖公章）：</w:t>
      </w:r>
    </w:p>
    <w:tbl>
      <w:tblPr>
        <w:tblW w:w="0" w:type="auto"/>
        <w:tblBorders>
          <w:top w:val="none" w:color="000000" w:sz="4"/>
          <w:left w:val="none" w:color="000000" w:sz="4"/>
          <w:bottom w:val="none" w:color="000000" w:sz="4"/>
          <w:right w:val="none" w:color="000000" w:sz="4"/>
          <w:insideH w:val="none"/>
          <w:insideV w:val="none"/>
        </w:tblBorders>
      </w:tblPr>
      <w:tblGrid>
        <w:gridCol w:w="777"/>
        <w:gridCol w:w="2008"/>
        <w:gridCol w:w="5521"/>
      </w:tblGrid>
      <w:tr>
        <w:tc>
          <w:tcPr>
            <w:tcW w:type="dxa" w:w="7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0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2"/>
              <w:jc w:val="both"/>
            </w:pPr>
            <w:r>
              <w:rPr>
                <w:sz w:val="21"/>
                <w:b/>
              </w:rPr>
              <w:t>项目名称</w:t>
            </w:r>
          </w:p>
        </w:tc>
        <w:tc>
          <w:tcPr>
            <w:tcW w:type="dxa" w:w="55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2"/>
              <w:jc w:val="both"/>
            </w:pPr>
            <w:r>
              <w:rPr>
                <w:sz w:val="21"/>
                <w:b/>
              </w:rPr>
              <w:t>详细内容</w:t>
            </w:r>
          </w:p>
        </w:tc>
      </w:tr>
      <w:tr>
        <w:tc>
          <w:tcPr>
            <w:tcW w:type="dxa" w:w="7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多院区管理</w:t>
            </w:r>
          </w:p>
        </w:tc>
        <w:tc>
          <w:tcPr>
            <w:tcW w:type="dxa" w:w="5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多院区预约号池</w:t>
            </w:r>
          </w:p>
        </w:tc>
      </w:tr>
      <w:tr>
        <w:tc>
          <w:tcPr>
            <w:tcW w:type="dxa" w:w="777"/>
            <w:vMerge/>
            <w:tcBorders>
              <w:top w:val="none" w:color="000000" w:sz="4"/>
              <w:left w:val="single" w:color="000000" w:sz="4"/>
              <w:bottom w:val="single" w:color="000000" w:sz="4"/>
              <w:right w:val="single" w:color="000000" w:sz="4"/>
            </w:tcBorders>
          </w:tcPr>
          <w:p/>
        </w:tc>
        <w:tc>
          <w:tcPr>
            <w:tcW w:type="dxa" w:w="2008"/>
            <w:vMerge/>
            <w:tcBorders>
              <w:top w:val="none" w:color="000000" w:sz="4"/>
              <w:left w:val="none" w:color="000000" w:sz="4"/>
              <w:bottom w:val="single" w:color="000000" w:sz="4"/>
              <w:right w:val="single" w:color="000000" w:sz="4"/>
            </w:tcBorders>
          </w:tcPr>
          <w:p/>
        </w:tc>
        <w:tc>
          <w:tcPr>
            <w:tcW w:type="dxa" w:w="5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多院区药房管理</w:t>
            </w:r>
          </w:p>
        </w:tc>
      </w:tr>
      <w:tr>
        <w:tc>
          <w:tcPr>
            <w:tcW w:type="dxa" w:w="777"/>
            <w:vMerge/>
            <w:tcBorders>
              <w:top w:val="none" w:color="000000" w:sz="4"/>
              <w:left w:val="single" w:color="000000" w:sz="4"/>
              <w:bottom w:val="single" w:color="000000" w:sz="4"/>
              <w:right w:val="single" w:color="000000" w:sz="4"/>
            </w:tcBorders>
          </w:tcPr>
          <w:p/>
        </w:tc>
        <w:tc>
          <w:tcPr>
            <w:tcW w:type="dxa" w:w="2008"/>
            <w:vMerge/>
            <w:tcBorders>
              <w:top w:val="none" w:color="000000" w:sz="4"/>
              <w:left w:val="none" w:color="000000" w:sz="4"/>
              <w:bottom w:val="single" w:color="000000" w:sz="4"/>
              <w:right w:val="single" w:color="000000" w:sz="4"/>
            </w:tcBorders>
          </w:tcPr>
          <w:p/>
        </w:tc>
        <w:tc>
          <w:tcPr>
            <w:tcW w:type="dxa" w:w="5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多院区检验检查管理</w:t>
            </w:r>
          </w:p>
        </w:tc>
      </w:tr>
      <w:tr>
        <w:tc>
          <w:tcPr>
            <w:tcW w:type="dxa" w:w="777"/>
            <w:vMerge/>
            <w:tcBorders>
              <w:top w:val="none" w:color="000000" w:sz="4"/>
              <w:left w:val="single" w:color="000000" w:sz="4"/>
              <w:bottom w:val="single" w:color="000000" w:sz="4"/>
              <w:right w:val="single" w:color="000000" w:sz="4"/>
            </w:tcBorders>
          </w:tcPr>
          <w:p/>
        </w:tc>
        <w:tc>
          <w:tcPr>
            <w:tcW w:type="dxa" w:w="2008"/>
            <w:vMerge/>
            <w:tcBorders>
              <w:top w:val="none" w:color="000000" w:sz="4"/>
              <w:left w:val="none" w:color="000000" w:sz="4"/>
              <w:bottom w:val="single" w:color="000000" w:sz="4"/>
              <w:right w:val="single" w:color="000000" w:sz="4"/>
            </w:tcBorders>
          </w:tcPr>
          <w:p/>
        </w:tc>
        <w:tc>
          <w:tcPr>
            <w:tcW w:type="dxa" w:w="5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多院区成本收入核算</w:t>
            </w:r>
          </w:p>
        </w:tc>
      </w:tr>
      <w:tr>
        <w:tc>
          <w:tcPr>
            <w:tcW w:type="dxa" w:w="777"/>
            <w:vMerge/>
            <w:tcBorders>
              <w:top w:val="none" w:color="000000" w:sz="4"/>
              <w:left w:val="single" w:color="000000" w:sz="4"/>
              <w:bottom w:val="single" w:color="000000" w:sz="4"/>
              <w:right w:val="single" w:color="000000" w:sz="4"/>
            </w:tcBorders>
          </w:tcPr>
          <w:p/>
        </w:tc>
        <w:tc>
          <w:tcPr>
            <w:tcW w:type="dxa" w:w="2008"/>
            <w:vMerge/>
            <w:tcBorders>
              <w:top w:val="none" w:color="000000" w:sz="4"/>
              <w:left w:val="none" w:color="000000" w:sz="4"/>
              <w:bottom w:val="single" w:color="000000" w:sz="4"/>
              <w:right w:val="single" w:color="000000" w:sz="4"/>
            </w:tcBorders>
          </w:tcPr>
          <w:p/>
        </w:tc>
        <w:tc>
          <w:tcPr>
            <w:tcW w:type="dxa" w:w="5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多院区差异化管理</w:t>
            </w:r>
          </w:p>
        </w:tc>
      </w:tr>
      <w:tr>
        <w:tc>
          <w:tcPr>
            <w:tcW w:type="dxa" w:w="7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门诊系统</w:t>
            </w:r>
            <w:r>
              <w:rPr>
                <w:sz w:val="21"/>
              </w:rPr>
              <w:t>5.0</w:t>
            </w:r>
          </w:p>
        </w:tc>
        <w:tc>
          <w:tcPr>
            <w:tcW w:type="dxa" w:w="5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门诊收费子系统</w:t>
            </w:r>
          </w:p>
        </w:tc>
      </w:tr>
      <w:tr>
        <w:tc>
          <w:tcPr>
            <w:tcW w:type="dxa" w:w="777"/>
            <w:vMerge/>
            <w:tcBorders>
              <w:top w:val="none" w:color="000000" w:sz="4"/>
              <w:left w:val="single" w:color="000000" w:sz="4"/>
              <w:bottom w:val="single" w:color="000000" w:sz="4"/>
              <w:right w:val="single" w:color="000000" w:sz="4"/>
            </w:tcBorders>
          </w:tcPr>
          <w:p/>
        </w:tc>
        <w:tc>
          <w:tcPr>
            <w:tcW w:type="dxa" w:w="2008"/>
            <w:vMerge/>
            <w:tcBorders>
              <w:top w:val="none" w:color="000000" w:sz="4"/>
              <w:left w:val="none" w:color="000000" w:sz="4"/>
              <w:bottom w:val="single" w:color="000000" w:sz="4"/>
              <w:right w:val="single" w:color="000000" w:sz="4"/>
            </w:tcBorders>
          </w:tcPr>
          <w:p/>
        </w:tc>
        <w:tc>
          <w:tcPr>
            <w:tcW w:type="dxa" w:w="5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门诊公共字典子系统</w:t>
            </w:r>
          </w:p>
        </w:tc>
      </w:tr>
      <w:tr>
        <w:tc>
          <w:tcPr>
            <w:tcW w:type="dxa" w:w="777"/>
            <w:vMerge/>
            <w:tcBorders>
              <w:top w:val="none" w:color="000000" w:sz="4"/>
              <w:left w:val="single" w:color="000000" w:sz="4"/>
              <w:bottom w:val="single" w:color="000000" w:sz="4"/>
              <w:right w:val="single" w:color="000000" w:sz="4"/>
            </w:tcBorders>
          </w:tcPr>
          <w:p/>
        </w:tc>
        <w:tc>
          <w:tcPr>
            <w:tcW w:type="dxa" w:w="2008"/>
            <w:vMerge/>
            <w:tcBorders>
              <w:top w:val="none" w:color="000000" w:sz="4"/>
              <w:left w:val="none" w:color="000000" w:sz="4"/>
              <w:bottom w:val="single" w:color="000000" w:sz="4"/>
              <w:right w:val="single" w:color="000000" w:sz="4"/>
            </w:tcBorders>
          </w:tcPr>
          <w:p/>
        </w:tc>
        <w:tc>
          <w:tcPr>
            <w:tcW w:type="dxa" w:w="5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门诊医生站子系统</w:t>
            </w:r>
          </w:p>
        </w:tc>
      </w:tr>
      <w:tr>
        <w:tc>
          <w:tcPr>
            <w:tcW w:type="dxa" w:w="777"/>
            <w:vMerge/>
            <w:tcBorders>
              <w:top w:val="none" w:color="000000" w:sz="4"/>
              <w:left w:val="single" w:color="000000" w:sz="4"/>
              <w:bottom w:val="single" w:color="000000" w:sz="4"/>
              <w:right w:val="single" w:color="000000" w:sz="4"/>
            </w:tcBorders>
          </w:tcPr>
          <w:p/>
        </w:tc>
        <w:tc>
          <w:tcPr>
            <w:tcW w:type="dxa" w:w="2008"/>
            <w:vMerge/>
            <w:tcBorders>
              <w:top w:val="none" w:color="000000" w:sz="4"/>
              <w:left w:val="none" w:color="000000" w:sz="4"/>
              <w:bottom w:val="single" w:color="000000" w:sz="4"/>
              <w:right w:val="single" w:color="000000" w:sz="4"/>
            </w:tcBorders>
          </w:tcPr>
          <w:p/>
        </w:tc>
        <w:tc>
          <w:tcPr>
            <w:tcW w:type="dxa" w:w="5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门诊输液子系统</w:t>
            </w:r>
          </w:p>
        </w:tc>
      </w:tr>
      <w:tr>
        <w:tc>
          <w:tcPr>
            <w:tcW w:type="dxa" w:w="777"/>
            <w:vMerge/>
            <w:tcBorders>
              <w:top w:val="none" w:color="000000" w:sz="4"/>
              <w:left w:val="single" w:color="000000" w:sz="4"/>
              <w:bottom w:val="single" w:color="000000" w:sz="4"/>
              <w:right w:val="single" w:color="000000" w:sz="4"/>
            </w:tcBorders>
          </w:tcPr>
          <w:p/>
        </w:tc>
        <w:tc>
          <w:tcPr>
            <w:tcW w:type="dxa" w:w="2008"/>
            <w:vMerge/>
            <w:tcBorders>
              <w:top w:val="none" w:color="000000" w:sz="4"/>
              <w:left w:val="none" w:color="000000" w:sz="4"/>
              <w:bottom w:val="single" w:color="000000" w:sz="4"/>
              <w:right w:val="single" w:color="000000" w:sz="4"/>
            </w:tcBorders>
          </w:tcPr>
          <w:p/>
        </w:tc>
        <w:tc>
          <w:tcPr>
            <w:tcW w:type="dxa" w:w="5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门诊电子病历</w:t>
            </w:r>
          </w:p>
        </w:tc>
      </w:tr>
      <w:tr>
        <w:tc>
          <w:tcPr>
            <w:tcW w:type="dxa" w:w="777"/>
            <w:vMerge/>
            <w:tcBorders>
              <w:top w:val="none" w:color="000000" w:sz="4"/>
              <w:left w:val="single" w:color="000000" w:sz="4"/>
              <w:bottom w:val="single" w:color="000000" w:sz="4"/>
              <w:right w:val="single" w:color="000000" w:sz="4"/>
            </w:tcBorders>
          </w:tcPr>
          <w:p/>
        </w:tc>
        <w:tc>
          <w:tcPr>
            <w:tcW w:type="dxa" w:w="2008"/>
            <w:vMerge/>
            <w:tcBorders>
              <w:top w:val="none" w:color="000000" w:sz="4"/>
              <w:left w:val="none" w:color="000000" w:sz="4"/>
              <w:bottom w:val="single" w:color="000000" w:sz="4"/>
              <w:right w:val="single" w:color="000000" w:sz="4"/>
            </w:tcBorders>
          </w:tcPr>
          <w:p/>
        </w:tc>
        <w:tc>
          <w:tcPr>
            <w:tcW w:type="dxa" w:w="5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客服管理系统</w:t>
            </w:r>
          </w:p>
        </w:tc>
      </w:tr>
      <w:tr>
        <w:tc>
          <w:tcPr>
            <w:tcW w:type="dxa" w:w="7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0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住院系统</w:t>
            </w:r>
            <w:r>
              <w:rPr>
                <w:sz w:val="21"/>
              </w:rPr>
              <w:t>5.0</w:t>
            </w:r>
          </w:p>
        </w:tc>
        <w:tc>
          <w:tcPr>
            <w:tcW w:type="dxa" w:w="5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住院收费系统</w:t>
            </w:r>
          </w:p>
        </w:tc>
      </w:tr>
      <w:tr>
        <w:tc>
          <w:tcPr>
            <w:tcW w:type="dxa" w:w="777"/>
            <w:vMerge/>
            <w:tcBorders>
              <w:top w:val="none" w:color="000000" w:sz="4"/>
              <w:left w:val="single" w:color="000000" w:sz="4"/>
              <w:bottom w:val="single" w:color="000000" w:sz="4"/>
              <w:right w:val="single" w:color="000000" w:sz="4"/>
            </w:tcBorders>
          </w:tcPr>
          <w:p/>
        </w:tc>
        <w:tc>
          <w:tcPr>
            <w:tcW w:type="dxa" w:w="2008"/>
            <w:vMerge/>
            <w:tcBorders>
              <w:top w:val="none" w:color="000000" w:sz="4"/>
              <w:left w:val="none" w:color="000000" w:sz="4"/>
              <w:bottom w:val="single" w:color="000000" w:sz="4"/>
              <w:right w:val="single" w:color="000000" w:sz="4"/>
            </w:tcBorders>
          </w:tcPr>
          <w:p/>
        </w:tc>
        <w:tc>
          <w:tcPr>
            <w:tcW w:type="dxa" w:w="5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住院医生工作站子系统</w:t>
            </w:r>
          </w:p>
        </w:tc>
      </w:tr>
      <w:tr>
        <w:tc>
          <w:tcPr>
            <w:tcW w:type="dxa" w:w="777"/>
            <w:vMerge/>
            <w:tcBorders>
              <w:top w:val="none" w:color="000000" w:sz="4"/>
              <w:left w:val="single" w:color="000000" w:sz="4"/>
              <w:bottom w:val="single" w:color="000000" w:sz="4"/>
              <w:right w:val="single" w:color="000000" w:sz="4"/>
            </w:tcBorders>
          </w:tcPr>
          <w:p/>
        </w:tc>
        <w:tc>
          <w:tcPr>
            <w:tcW w:type="dxa" w:w="2008"/>
            <w:vMerge/>
            <w:tcBorders>
              <w:top w:val="none" w:color="000000" w:sz="4"/>
              <w:left w:val="none" w:color="000000" w:sz="4"/>
              <w:bottom w:val="single" w:color="000000" w:sz="4"/>
              <w:right w:val="single" w:color="000000" w:sz="4"/>
            </w:tcBorders>
          </w:tcPr>
          <w:p/>
        </w:tc>
        <w:tc>
          <w:tcPr>
            <w:tcW w:type="dxa" w:w="5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住院护士工作站子系统</w:t>
            </w:r>
          </w:p>
        </w:tc>
      </w:tr>
      <w:tr>
        <w:tc>
          <w:tcPr>
            <w:tcW w:type="dxa" w:w="777"/>
            <w:vMerge/>
            <w:tcBorders>
              <w:top w:val="none" w:color="000000" w:sz="4"/>
              <w:left w:val="single" w:color="000000" w:sz="4"/>
              <w:bottom w:val="single" w:color="000000" w:sz="4"/>
              <w:right w:val="single" w:color="000000" w:sz="4"/>
            </w:tcBorders>
          </w:tcPr>
          <w:p/>
        </w:tc>
        <w:tc>
          <w:tcPr>
            <w:tcW w:type="dxa" w:w="2008"/>
            <w:vMerge/>
            <w:tcBorders>
              <w:top w:val="none" w:color="000000" w:sz="4"/>
              <w:left w:val="none" w:color="000000" w:sz="4"/>
              <w:bottom w:val="single" w:color="000000" w:sz="4"/>
              <w:right w:val="single" w:color="000000" w:sz="4"/>
            </w:tcBorders>
          </w:tcPr>
          <w:p/>
        </w:tc>
        <w:tc>
          <w:tcPr>
            <w:tcW w:type="dxa" w:w="5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手术室管理子系统</w:t>
            </w:r>
          </w:p>
        </w:tc>
      </w:tr>
      <w:tr>
        <w:tc>
          <w:tcPr>
            <w:tcW w:type="dxa" w:w="777"/>
            <w:vMerge/>
            <w:tcBorders>
              <w:top w:val="none" w:color="000000" w:sz="4"/>
              <w:left w:val="single" w:color="000000" w:sz="4"/>
              <w:bottom w:val="single" w:color="000000" w:sz="4"/>
              <w:right w:val="single" w:color="000000" w:sz="4"/>
            </w:tcBorders>
          </w:tcPr>
          <w:p/>
        </w:tc>
        <w:tc>
          <w:tcPr>
            <w:tcW w:type="dxa" w:w="2008"/>
            <w:vMerge/>
            <w:tcBorders>
              <w:top w:val="none" w:color="000000" w:sz="4"/>
              <w:left w:val="none" w:color="000000" w:sz="4"/>
              <w:bottom w:val="single" w:color="000000" w:sz="4"/>
              <w:right w:val="single" w:color="000000" w:sz="4"/>
            </w:tcBorders>
          </w:tcPr>
          <w:p/>
        </w:tc>
        <w:tc>
          <w:tcPr>
            <w:tcW w:type="dxa" w:w="5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科室确认系统</w:t>
            </w:r>
          </w:p>
        </w:tc>
      </w:tr>
      <w:tr>
        <w:tc>
          <w:tcPr>
            <w:tcW w:type="dxa" w:w="777"/>
            <w:vMerge/>
            <w:tcBorders>
              <w:top w:val="none" w:color="000000" w:sz="4"/>
              <w:left w:val="single" w:color="000000" w:sz="4"/>
              <w:bottom w:val="single" w:color="000000" w:sz="4"/>
              <w:right w:val="single" w:color="000000" w:sz="4"/>
            </w:tcBorders>
          </w:tcPr>
          <w:p/>
        </w:tc>
        <w:tc>
          <w:tcPr>
            <w:tcW w:type="dxa" w:w="2008"/>
            <w:vMerge/>
            <w:tcBorders>
              <w:top w:val="none" w:color="000000" w:sz="4"/>
              <w:left w:val="none" w:color="000000" w:sz="4"/>
              <w:bottom w:val="single" w:color="000000" w:sz="4"/>
              <w:right w:val="single" w:color="000000" w:sz="4"/>
            </w:tcBorders>
          </w:tcPr>
          <w:p/>
        </w:tc>
        <w:tc>
          <w:tcPr>
            <w:tcW w:type="dxa" w:w="5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住院公共字典子系统</w:t>
            </w:r>
          </w:p>
        </w:tc>
      </w:tr>
      <w:tr>
        <w:tc>
          <w:tcPr>
            <w:tcW w:type="dxa" w:w="777"/>
            <w:vMerge/>
            <w:tcBorders>
              <w:top w:val="none" w:color="000000" w:sz="4"/>
              <w:left w:val="single" w:color="000000" w:sz="4"/>
              <w:bottom w:val="single" w:color="000000" w:sz="4"/>
              <w:right w:val="single" w:color="000000" w:sz="4"/>
            </w:tcBorders>
          </w:tcPr>
          <w:p/>
        </w:tc>
        <w:tc>
          <w:tcPr>
            <w:tcW w:type="dxa" w:w="2008"/>
            <w:vMerge/>
            <w:tcBorders>
              <w:top w:val="none" w:color="000000" w:sz="4"/>
              <w:left w:val="none" w:color="000000" w:sz="4"/>
              <w:bottom w:val="single" w:color="000000" w:sz="4"/>
              <w:right w:val="single" w:color="000000" w:sz="4"/>
            </w:tcBorders>
          </w:tcPr>
          <w:p/>
        </w:tc>
        <w:tc>
          <w:tcPr>
            <w:tcW w:type="dxa" w:w="5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药库管理系统</w:t>
            </w:r>
          </w:p>
        </w:tc>
      </w:tr>
      <w:tr>
        <w:tc>
          <w:tcPr>
            <w:tcW w:type="dxa" w:w="7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0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系统接口</w:t>
            </w:r>
          </w:p>
        </w:tc>
        <w:tc>
          <w:tcPr>
            <w:tcW w:type="dxa" w:w="5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互联互通接口</w:t>
            </w:r>
          </w:p>
        </w:tc>
      </w:tr>
      <w:tr>
        <w:tc>
          <w:tcPr>
            <w:tcW w:type="dxa" w:w="777"/>
            <w:vMerge/>
            <w:tcBorders>
              <w:top w:val="none" w:color="000000" w:sz="4"/>
              <w:left w:val="single" w:color="000000" w:sz="4"/>
              <w:bottom w:val="single" w:color="000000" w:sz="4"/>
              <w:right w:val="single" w:color="000000" w:sz="4"/>
            </w:tcBorders>
          </w:tcPr>
          <w:p/>
        </w:tc>
        <w:tc>
          <w:tcPr>
            <w:tcW w:type="dxa" w:w="2008"/>
            <w:vMerge/>
            <w:tcBorders>
              <w:top w:val="none" w:color="000000" w:sz="4"/>
              <w:left w:val="none" w:color="000000" w:sz="4"/>
              <w:bottom w:val="single" w:color="000000" w:sz="4"/>
              <w:right w:val="single" w:color="000000" w:sz="4"/>
            </w:tcBorders>
          </w:tcPr>
          <w:p/>
        </w:tc>
        <w:tc>
          <w:tcPr>
            <w:tcW w:type="dxa" w:w="5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HIS与药房自动化系统接口</w:t>
            </w:r>
          </w:p>
        </w:tc>
      </w:tr>
      <w:tr>
        <w:tc>
          <w:tcPr>
            <w:tcW w:type="dxa" w:w="777"/>
            <w:vMerge/>
            <w:tcBorders>
              <w:top w:val="none" w:color="000000" w:sz="4"/>
              <w:left w:val="single" w:color="000000" w:sz="4"/>
              <w:bottom w:val="single" w:color="000000" w:sz="4"/>
              <w:right w:val="single" w:color="000000" w:sz="4"/>
            </w:tcBorders>
          </w:tcPr>
          <w:p/>
        </w:tc>
        <w:tc>
          <w:tcPr>
            <w:tcW w:type="dxa" w:w="2008"/>
            <w:vMerge/>
            <w:tcBorders>
              <w:top w:val="none" w:color="000000" w:sz="4"/>
              <w:left w:val="none" w:color="000000" w:sz="4"/>
              <w:bottom w:val="single" w:color="000000" w:sz="4"/>
              <w:right w:val="single" w:color="000000" w:sz="4"/>
            </w:tcBorders>
          </w:tcPr>
          <w:p/>
        </w:tc>
        <w:tc>
          <w:tcPr>
            <w:tcW w:type="dxa" w:w="5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BMP接口</w:t>
            </w:r>
          </w:p>
        </w:tc>
      </w:tr>
      <w:tr>
        <w:tc>
          <w:tcPr>
            <w:tcW w:type="dxa" w:w="777"/>
            <w:vMerge/>
            <w:tcBorders>
              <w:top w:val="none" w:color="000000" w:sz="4"/>
              <w:left w:val="single" w:color="000000" w:sz="4"/>
              <w:bottom w:val="single" w:color="000000" w:sz="4"/>
              <w:right w:val="single" w:color="000000" w:sz="4"/>
            </w:tcBorders>
          </w:tcPr>
          <w:p/>
        </w:tc>
        <w:tc>
          <w:tcPr>
            <w:tcW w:type="dxa" w:w="2008"/>
            <w:vMerge/>
            <w:tcBorders>
              <w:top w:val="none" w:color="000000" w:sz="4"/>
              <w:left w:val="none" w:color="000000" w:sz="4"/>
              <w:bottom w:val="single" w:color="000000" w:sz="4"/>
              <w:right w:val="single" w:color="000000" w:sz="4"/>
            </w:tcBorders>
          </w:tcPr>
          <w:p/>
        </w:tc>
        <w:tc>
          <w:tcPr>
            <w:tcW w:type="dxa" w:w="5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电子票据接口</w:t>
            </w:r>
          </w:p>
        </w:tc>
      </w:tr>
      <w:tr>
        <w:tc>
          <w:tcPr>
            <w:tcW w:type="dxa" w:w="777"/>
            <w:vMerge/>
            <w:tcBorders>
              <w:top w:val="none" w:color="000000" w:sz="4"/>
              <w:left w:val="single" w:color="000000" w:sz="4"/>
              <w:bottom w:val="single" w:color="000000" w:sz="4"/>
              <w:right w:val="single" w:color="000000" w:sz="4"/>
            </w:tcBorders>
          </w:tcPr>
          <w:p/>
        </w:tc>
        <w:tc>
          <w:tcPr>
            <w:tcW w:type="dxa" w:w="2008"/>
            <w:vMerge/>
            <w:tcBorders>
              <w:top w:val="none" w:color="000000" w:sz="4"/>
              <w:left w:val="none" w:color="000000" w:sz="4"/>
              <w:bottom w:val="single" w:color="000000" w:sz="4"/>
              <w:right w:val="single" w:color="000000" w:sz="4"/>
            </w:tcBorders>
          </w:tcPr>
          <w:p/>
        </w:tc>
        <w:tc>
          <w:tcPr>
            <w:tcW w:type="dxa" w:w="5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SPD接口</w:t>
            </w:r>
          </w:p>
        </w:tc>
      </w:tr>
      <w:tr>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保健信息化系统</w:t>
            </w:r>
          </w:p>
        </w:tc>
        <w:tc>
          <w:tcPr>
            <w:tcW w:type="dxa" w:w="5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保健功能</w:t>
            </w:r>
          </w:p>
        </w:tc>
      </w:tr>
      <w:tr>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物流系统</w:t>
            </w:r>
          </w:p>
        </w:tc>
        <w:tc>
          <w:tcPr>
            <w:tcW w:type="dxa" w:w="5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物流系统</w:t>
            </w:r>
          </w:p>
        </w:tc>
      </w:tr>
    </w:tbl>
    <w:p>
      <w:pPr>
        <w:pStyle w:val="null3"/>
        <w:ind w:firstLine="422"/>
        <w:jc w:val="both"/>
      </w:pPr>
      <w:r>
        <w:rPr>
          <w:sz w:val="21"/>
          <w:b/>
        </w:rPr>
        <w:t>上述系统未列之其他功能及其同第三方软件接口的维护。</w:t>
      </w:r>
    </w:p>
    <w:p>
      <w:pPr>
        <w:pStyle w:val="null3"/>
        <w:ind w:firstLine="420"/>
        <w:jc w:val="both"/>
      </w:pPr>
      <w:r>
        <w:rPr>
          <w:sz w:val="21"/>
        </w:rPr>
        <w:t>4.</w:t>
      </w:r>
      <w:r>
        <w:rPr>
          <w:sz w:val="21"/>
        </w:rPr>
        <w:t>根据医院实际工作需求，公司需建立一支开发服务队伍，项目经理</w:t>
      </w:r>
      <w:r>
        <w:rPr>
          <w:sz w:val="21"/>
        </w:rPr>
        <w:t>1</w:t>
      </w:r>
      <w:r>
        <w:rPr>
          <w:sz w:val="21"/>
        </w:rPr>
        <w:t>人（具备信息通信类的高级工程师职称证书、计算机技术与软件专业技术资格（水平）的信息系统项目管理师证书、计算机技术与软件专业技术资格（水平）的系统分析师证书、计算机技术与软件专业技术资格（水平）的网络工程师证书），系统功能改造技术负责人</w:t>
      </w:r>
      <w:r>
        <w:rPr>
          <w:sz w:val="21"/>
        </w:rPr>
        <w:t>1</w:t>
      </w:r>
      <w:r>
        <w:rPr>
          <w:sz w:val="21"/>
        </w:rPr>
        <w:t>人（具备软考软件设计师证书、软考系统规划与管理师证书、软考系统架构设计师证书），信息系统和集成平台运维负责人员</w:t>
      </w:r>
      <w:r>
        <w:rPr>
          <w:sz w:val="21"/>
        </w:rPr>
        <w:t>1</w:t>
      </w:r>
      <w:r>
        <w:rPr>
          <w:sz w:val="21"/>
        </w:rPr>
        <w:t>人（具备网络工程师证书、数据库系统工程师证书），日常驻场人员</w:t>
      </w:r>
      <w:r>
        <w:rPr>
          <w:sz w:val="21"/>
        </w:rPr>
        <w:t>4</w:t>
      </w:r>
      <w:r>
        <w:rPr>
          <w:sz w:val="21"/>
        </w:rPr>
        <w:t>人（具有信息系统开发或运维工作经验），其中日常驻场开发人员不少于</w:t>
      </w:r>
      <w:r>
        <w:rPr>
          <w:sz w:val="21"/>
        </w:rPr>
        <w:t>3</w:t>
      </w:r>
      <w:r>
        <w:rPr>
          <w:sz w:val="21"/>
        </w:rPr>
        <w:t>人，满足医院现有信息集成平台和</w:t>
      </w:r>
      <w:r>
        <w:rPr>
          <w:sz w:val="21"/>
        </w:rPr>
        <w:t>HIS</w:t>
      </w:r>
      <w:r>
        <w:rPr>
          <w:sz w:val="21"/>
        </w:rPr>
        <w:t>系统的开发维护以及现有</w:t>
      </w:r>
      <w:r>
        <w:rPr>
          <w:sz w:val="21"/>
        </w:rPr>
        <w:t>HIS</w:t>
      </w:r>
      <w:r>
        <w:rPr>
          <w:sz w:val="21"/>
        </w:rPr>
        <w:t>系统</w:t>
      </w:r>
      <w:r>
        <w:rPr>
          <w:sz w:val="21"/>
        </w:rPr>
        <w:t>BUG</w:t>
      </w:r>
      <w:r>
        <w:rPr>
          <w:sz w:val="21"/>
        </w:rPr>
        <w:t>的完善和优化工作，保障医院信息系统正常稳定运行。</w:t>
      </w:r>
    </w:p>
    <w:p>
      <w:pPr>
        <w:pStyle w:val="null3"/>
        <w:ind w:firstLine="420"/>
        <w:jc w:val="both"/>
      </w:pPr>
      <w:r>
        <w:rPr>
          <w:sz w:val="21"/>
        </w:rPr>
        <w:t>5.</w:t>
      </w:r>
      <w:r>
        <w:rPr>
          <w:sz w:val="21"/>
        </w:rPr>
        <w:t>团队技术能力要求：</w:t>
      </w:r>
    </w:p>
    <w:p>
      <w:pPr>
        <w:pStyle w:val="null3"/>
        <w:ind w:firstLine="420"/>
        <w:jc w:val="both"/>
      </w:pPr>
      <w:r>
        <w:rPr>
          <w:sz w:val="21"/>
        </w:rPr>
        <w:t>1)</w:t>
      </w:r>
      <w:r>
        <w:rPr>
          <w:sz w:val="21"/>
        </w:rPr>
        <w:t>▲掌握医院</w:t>
      </w:r>
      <w:r>
        <w:rPr>
          <w:sz w:val="21"/>
        </w:rPr>
        <w:t>HIS</w:t>
      </w:r>
      <w:r>
        <w:rPr>
          <w:sz w:val="21"/>
        </w:rPr>
        <w:t>系统数据结构，提供相关证明材料或原厂授权函。</w:t>
      </w:r>
    </w:p>
    <w:p>
      <w:pPr>
        <w:pStyle w:val="null3"/>
        <w:ind w:firstLine="420"/>
        <w:jc w:val="both"/>
      </w:pPr>
      <w:r>
        <w:rPr>
          <w:sz w:val="21"/>
        </w:rPr>
        <w:t>2)</w:t>
      </w:r>
      <w:r>
        <w:rPr>
          <w:sz w:val="21"/>
        </w:rPr>
        <w:t>▲掌握医院</w:t>
      </w:r>
      <w:r>
        <w:rPr>
          <w:sz w:val="21"/>
        </w:rPr>
        <w:t>HIS</w:t>
      </w:r>
      <w:r>
        <w:rPr>
          <w:sz w:val="21"/>
        </w:rPr>
        <w:t>系统业务流程，提供相关证明材料或原厂授权函。</w:t>
      </w:r>
    </w:p>
    <w:p>
      <w:pPr>
        <w:pStyle w:val="null3"/>
        <w:ind w:firstLine="420"/>
        <w:jc w:val="both"/>
      </w:pPr>
      <w:r>
        <w:rPr>
          <w:sz w:val="21"/>
        </w:rPr>
        <w:t>3)</w:t>
      </w:r>
      <w:r>
        <w:rPr>
          <w:sz w:val="21"/>
        </w:rPr>
        <w:t>▲掌握医院</w:t>
      </w:r>
      <w:r>
        <w:rPr>
          <w:sz w:val="21"/>
        </w:rPr>
        <w:t>HIS</w:t>
      </w:r>
      <w:r>
        <w:rPr>
          <w:sz w:val="21"/>
        </w:rPr>
        <w:t>系统应用程序代码，提供相关证明材料或原厂授权函。</w:t>
      </w:r>
    </w:p>
    <w:p>
      <w:pPr>
        <w:pStyle w:val="null3"/>
        <w:ind w:firstLine="420"/>
        <w:jc w:val="both"/>
      </w:pPr>
      <w:r>
        <w:rPr>
          <w:sz w:val="21"/>
        </w:rPr>
        <w:t>4)</w:t>
      </w:r>
      <w:r>
        <w:rPr>
          <w:sz w:val="21"/>
        </w:rPr>
        <w:t>▲掌握医院</w:t>
      </w:r>
      <w:r>
        <w:rPr>
          <w:sz w:val="21"/>
        </w:rPr>
        <w:t>HIS</w:t>
      </w:r>
      <w:r>
        <w:rPr>
          <w:sz w:val="21"/>
        </w:rPr>
        <w:t>系统的架构、系统设计、开发工具等，能胜任医院</w:t>
      </w:r>
      <w:r>
        <w:rPr>
          <w:sz w:val="21"/>
        </w:rPr>
        <w:t>HIS</w:t>
      </w:r>
      <w:r>
        <w:rPr>
          <w:sz w:val="21"/>
        </w:rPr>
        <w:t>系统开发及维护工作，提供项目相关证明材料或原厂授权函。</w:t>
      </w:r>
    </w:p>
    <w:p>
      <w:pPr>
        <w:pStyle w:val="null3"/>
        <w:ind w:firstLine="420"/>
        <w:jc w:val="both"/>
      </w:pPr>
      <w:r>
        <w:rPr>
          <w:sz w:val="21"/>
        </w:rPr>
        <w:t>5)</w:t>
      </w:r>
      <w:r>
        <w:rPr>
          <w:sz w:val="21"/>
        </w:rPr>
        <w:t>▲掌握医院集成平台</w:t>
      </w:r>
      <w:r>
        <w:rPr>
          <w:sz w:val="21"/>
        </w:rPr>
        <w:t>ESB</w:t>
      </w:r>
      <w:r>
        <w:rPr>
          <w:sz w:val="21"/>
        </w:rPr>
        <w:t>路由、通信点配置方法、</w:t>
      </w:r>
      <w:r>
        <w:rPr>
          <w:sz w:val="21"/>
        </w:rPr>
        <w:t>ESB</w:t>
      </w:r>
      <w:r>
        <w:rPr>
          <w:sz w:val="21"/>
        </w:rPr>
        <w:t>总线的调优方法，提供相关证明材料或原厂授权函。</w:t>
      </w:r>
    </w:p>
    <w:p>
      <w:pPr>
        <w:pStyle w:val="null3"/>
        <w:ind w:firstLine="420"/>
        <w:jc w:val="both"/>
      </w:pPr>
      <w:r>
        <w:rPr>
          <w:sz w:val="21"/>
        </w:rPr>
        <w:t>6)</w:t>
      </w:r>
      <w:r>
        <w:rPr>
          <w:sz w:val="21"/>
        </w:rPr>
        <w:t>▲熟悉医院各系统接口与集成平台的对接逻辑，可以熟练使用交互服务配置系统和</w:t>
      </w:r>
      <w:r>
        <w:rPr>
          <w:sz w:val="21"/>
        </w:rPr>
        <w:t>ESB</w:t>
      </w:r>
      <w:r>
        <w:rPr>
          <w:sz w:val="21"/>
        </w:rPr>
        <w:t>配置接口，提供相关证明材料或原厂授权函。</w:t>
      </w:r>
    </w:p>
    <w:p>
      <w:pPr>
        <w:pStyle w:val="null3"/>
        <w:ind w:firstLine="420"/>
        <w:jc w:val="both"/>
      </w:pPr>
      <w:r>
        <w:rPr>
          <w:sz w:val="21"/>
        </w:rPr>
        <w:t>7)</w:t>
      </w:r>
      <w:r>
        <w:rPr>
          <w:sz w:val="21"/>
        </w:rPr>
        <w:t>▲熟悉医院集成平台系统的部署方式、熟练掌握重启、查看日志、启动或停止系统的命令，提供相关证明材料或原厂授权函。</w:t>
      </w:r>
    </w:p>
    <w:p>
      <w:pPr>
        <w:pStyle w:val="null3"/>
        <w:ind w:firstLine="420"/>
        <w:jc w:val="both"/>
      </w:pPr>
      <w:r>
        <w:rPr>
          <w:sz w:val="21"/>
        </w:rPr>
        <w:t>8)</w:t>
      </w:r>
      <w:r>
        <w:rPr>
          <w:sz w:val="21"/>
        </w:rPr>
        <w:t>▲提供系统自动化运维辅助工具，具有异常服务监控及报警、服务器性能监控等功能，提供系统截图证明。</w:t>
      </w:r>
    </w:p>
    <w:p>
      <w:pPr>
        <w:pStyle w:val="null3"/>
        <w:ind w:firstLine="420"/>
        <w:jc w:val="both"/>
      </w:pPr>
      <w:r>
        <w:rPr>
          <w:sz w:val="21"/>
        </w:rPr>
        <w:t>9)</w:t>
      </w:r>
      <w:r>
        <w:rPr>
          <w:sz w:val="21"/>
        </w:rPr>
        <w:t>必须对医院</w:t>
      </w:r>
      <w:r>
        <w:rPr>
          <w:sz w:val="21"/>
        </w:rPr>
        <w:t>HIS</w:t>
      </w:r>
      <w:r>
        <w:rPr>
          <w:sz w:val="21"/>
        </w:rPr>
        <w:t>系统各系统版本做好版本控制与更新、共享。</w:t>
      </w:r>
    </w:p>
    <w:p>
      <w:pPr>
        <w:pStyle w:val="null3"/>
        <w:ind w:firstLine="420"/>
        <w:jc w:val="both"/>
      </w:pPr>
      <w:r>
        <w:rPr>
          <w:sz w:val="21"/>
        </w:rPr>
        <w:t>1</w:t>
      </w:r>
      <w:r>
        <w:rPr>
          <w:sz w:val="21"/>
        </w:rPr>
        <w:t>0</w:t>
      </w:r>
      <w:r>
        <w:rPr>
          <w:sz w:val="21"/>
        </w:rPr>
        <w:t>)</w:t>
      </w:r>
      <w:r>
        <w:rPr>
          <w:sz w:val="21"/>
        </w:rPr>
        <w:t>数据统计功能及结果，必须严格执行医院安全保密制度，若出现泄露信息行为应由中标人及相关人员承担相应责任。</w:t>
      </w:r>
    </w:p>
    <w:p>
      <w:pPr>
        <w:pStyle w:val="null3"/>
        <w:ind w:firstLine="420"/>
        <w:jc w:val="both"/>
      </w:pPr>
      <w:r>
        <w:rPr>
          <w:sz w:val="21"/>
        </w:rPr>
        <w:t>1</w:t>
      </w:r>
      <w:r>
        <w:rPr>
          <w:sz w:val="21"/>
        </w:rPr>
        <w:t>1</w:t>
      </w:r>
      <w:r>
        <w:rPr>
          <w:sz w:val="21"/>
        </w:rPr>
        <w:t>)</w:t>
      </w:r>
      <w:r>
        <w:rPr>
          <w:sz w:val="21"/>
        </w:rPr>
        <w:t>中标人每两周必须向采购人提交工作报告及工作计划，格式由采购人另行提供。</w:t>
      </w:r>
    </w:p>
    <w:p>
      <w:pPr>
        <w:pStyle w:val="null3"/>
        <w:ind w:firstLine="420"/>
        <w:jc w:val="both"/>
      </w:pPr>
      <w:r>
        <w:rPr>
          <w:sz w:val="21"/>
        </w:rPr>
        <w:t>1</w:t>
      </w:r>
      <w:r>
        <w:rPr>
          <w:sz w:val="21"/>
        </w:rPr>
        <w:t>2</w:t>
      </w:r>
      <w:r>
        <w:rPr>
          <w:sz w:val="21"/>
        </w:rPr>
        <w:t>)</w:t>
      </w:r>
      <w:r>
        <w:rPr>
          <w:sz w:val="21"/>
        </w:rPr>
        <w:t>必须严格遵守医院信息安全管理各项规章制度，未经许可不得随意接入正式环境。</w:t>
      </w:r>
    </w:p>
    <w:p>
      <w:pPr>
        <w:pStyle w:val="null3"/>
        <w:ind w:firstLine="420"/>
        <w:jc w:val="both"/>
      </w:pPr>
      <w:r>
        <w:rPr>
          <w:sz w:val="21"/>
          <w:b/>
        </w:rPr>
        <w:t>（二）项目维护服务方案</w:t>
      </w:r>
    </w:p>
    <w:p>
      <w:pPr>
        <w:pStyle w:val="null3"/>
        <w:ind w:firstLine="422"/>
        <w:jc w:val="both"/>
      </w:pPr>
      <w:r>
        <w:rPr>
          <w:sz w:val="21"/>
          <w:b/>
        </w:rPr>
        <w:t>1.</w:t>
      </w:r>
      <w:r>
        <w:rPr>
          <w:sz w:val="21"/>
          <w:b/>
        </w:rPr>
        <w:t>运维服务方式</w:t>
      </w:r>
    </w:p>
    <w:p>
      <w:pPr>
        <w:pStyle w:val="null3"/>
        <w:ind w:firstLine="420"/>
        <w:jc w:val="both"/>
      </w:pPr>
      <w:r>
        <w:rPr>
          <w:sz w:val="21"/>
        </w:rPr>
        <w:t>1)</w:t>
      </w:r>
      <w:r>
        <w:rPr>
          <w:sz w:val="21"/>
        </w:rPr>
        <w:t>现场维护服务：安排四名工程师常驻客户现场，提供系统日常运维服务。</w:t>
      </w:r>
    </w:p>
    <w:p>
      <w:pPr>
        <w:pStyle w:val="null3"/>
        <w:ind w:firstLine="420"/>
        <w:jc w:val="both"/>
      </w:pPr>
      <w:r>
        <w:rPr>
          <w:sz w:val="21"/>
        </w:rPr>
        <w:t>2)</w:t>
      </w:r>
      <w:r>
        <w:rPr>
          <w:sz w:val="21"/>
        </w:rPr>
        <w:t>远程支持服务：含故障协助排查、程序优化修改、技术问题咨询等。</w:t>
      </w:r>
    </w:p>
    <w:p>
      <w:pPr>
        <w:pStyle w:val="null3"/>
        <w:ind w:firstLine="422"/>
        <w:jc w:val="both"/>
      </w:pPr>
      <w:r>
        <w:rPr>
          <w:sz w:val="21"/>
          <w:b/>
        </w:rPr>
        <w:t>2.</w:t>
      </w:r>
      <w:r>
        <w:rPr>
          <w:sz w:val="21"/>
          <w:b/>
        </w:rPr>
        <w:t>软件运维服务</w:t>
      </w:r>
    </w:p>
    <w:p>
      <w:pPr>
        <w:pStyle w:val="null3"/>
        <w:ind w:firstLine="420"/>
        <w:jc w:val="both"/>
      </w:pPr>
      <w:r>
        <w:rPr>
          <w:sz w:val="21"/>
        </w:rPr>
        <w:t>1)BUG</w:t>
      </w:r>
      <w:r>
        <w:rPr>
          <w:sz w:val="21"/>
        </w:rPr>
        <w:t>修复</w:t>
      </w:r>
    </w:p>
    <w:p>
      <w:pPr>
        <w:pStyle w:val="null3"/>
        <w:ind w:firstLine="420"/>
        <w:jc w:val="both"/>
      </w:pPr>
      <w:r>
        <w:rPr>
          <w:sz w:val="21"/>
        </w:rPr>
        <w:t>对软件系统使用过程中所发现的</w:t>
      </w:r>
      <w:r>
        <w:rPr>
          <w:sz w:val="21"/>
        </w:rPr>
        <w:t>BUG</w:t>
      </w:r>
      <w:r>
        <w:rPr>
          <w:sz w:val="21"/>
        </w:rPr>
        <w:t>问题，积极响应与处理，对于软件存在的可复现的</w:t>
      </w:r>
      <w:r>
        <w:rPr>
          <w:sz w:val="21"/>
        </w:rPr>
        <w:t>BUG</w:t>
      </w:r>
      <w:r>
        <w:rPr>
          <w:sz w:val="21"/>
        </w:rPr>
        <w:t>问题，在与客户确认修复时间后，在约定的时间之内完成修改。</w:t>
      </w:r>
    </w:p>
    <w:p>
      <w:pPr>
        <w:pStyle w:val="null3"/>
        <w:ind w:firstLine="420"/>
        <w:jc w:val="both"/>
      </w:pPr>
      <w:r>
        <w:rPr>
          <w:sz w:val="21"/>
        </w:rPr>
        <w:t>2)</w:t>
      </w:r>
      <w:r>
        <w:rPr>
          <w:sz w:val="21"/>
        </w:rPr>
        <w:t>功能完善</w:t>
      </w:r>
    </w:p>
    <w:p>
      <w:pPr>
        <w:pStyle w:val="null3"/>
        <w:ind w:firstLine="420"/>
        <w:jc w:val="both"/>
      </w:pPr>
      <w:r>
        <w:rPr>
          <w:sz w:val="21"/>
        </w:rPr>
        <w:t>功能完善是指在不改变系统技术架构和数据结构的前提下，对系统已有功能进行适应性修改和完善。</w:t>
      </w:r>
    </w:p>
    <w:p>
      <w:pPr>
        <w:pStyle w:val="null3"/>
        <w:ind w:firstLine="420"/>
        <w:jc w:val="both"/>
      </w:pPr>
      <w:r>
        <w:rPr>
          <w:sz w:val="21"/>
        </w:rPr>
        <w:t>3)</w:t>
      </w:r>
      <w:r>
        <w:rPr>
          <w:sz w:val="21"/>
        </w:rPr>
        <w:t>软件更新</w:t>
      </w:r>
    </w:p>
    <w:p>
      <w:pPr>
        <w:pStyle w:val="null3"/>
        <w:ind w:firstLine="420"/>
        <w:jc w:val="both"/>
      </w:pPr>
      <w:r>
        <w:rPr>
          <w:sz w:val="21"/>
        </w:rPr>
        <w:t>定期优化软件功能和性能，在公司推出同版本的新升级程序后，按需对客户系统进行系统升级，该次更新不包括合同范围外功能，更新具体时间可双方协商。</w:t>
      </w:r>
    </w:p>
    <w:p>
      <w:pPr>
        <w:pStyle w:val="null3"/>
        <w:ind w:firstLine="422"/>
        <w:jc w:val="both"/>
      </w:pPr>
      <w:r>
        <w:rPr>
          <w:sz w:val="21"/>
          <w:b/>
        </w:rPr>
        <w:t>3.</w:t>
      </w:r>
      <w:r>
        <w:rPr>
          <w:sz w:val="21"/>
          <w:b/>
        </w:rPr>
        <w:t>接口运维服务</w:t>
      </w:r>
    </w:p>
    <w:p>
      <w:pPr>
        <w:pStyle w:val="null3"/>
        <w:ind w:firstLine="420"/>
        <w:jc w:val="both"/>
      </w:pPr>
      <w:r>
        <w:rPr>
          <w:sz w:val="21"/>
        </w:rPr>
        <w:t>1)</w:t>
      </w:r>
      <w:r>
        <w:rPr>
          <w:sz w:val="21"/>
        </w:rPr>
        <w:t>接口远程处理</w:t>
      </w:r>
    </w:p>
    <w:p>
      <w:pPr>
        <w:pStyle w:val="null3"/>
        <w:ind w:firstLine="420"/>
        <w:jc w:val="both"/>
      </w:pPr>
      <w:r>
        <w:rPr>
          <w:sz w:val="21"/>
        </w:rPr>
        <w:t>提供技术支持以保障系统范围现有接口的稳定运行（对现有接口方案进行新增的相关接口，不含在维护服务内，需另行协商）。</w:t>
      </w:r>
    </w:p>
    <w:p>
      <w:pPr>
        <w:pStyle w:val="null3"/>
        <w:ind w:firstLine="420"/>
        <w:jc w:val="both"/>
      </w:pPr>
      <w:r>
        <w:rPr>
          <w:sz w:val="21"/>
        </w:rPr>
        <w:t>2)</w:t>
      </w:r>
      <w:r>
        <w:rPr>
          <w:sz w:val="21"/>
        </w:rPr>
        <w:t>提供接口解决方案</w:t>
      </w:r>
    </w:p>
    <w:p>
      <w:pPr>
        <w:pStyle w:val="null3"/>
        <w:ind w:firstLine="420"/>
        <w:jc w:val="both"/>
      </w:pPr>
      <w:r>
        <w:rPr>
          <w:sz w:val="21"/>
        </w:rPr>
        <w:t>由于第三方导致现有接口运行不畅，提供接口解决方案，并积极配合采购人进行调整（对现有接口进行变更的相关接口，不含在维护服务内，需另行协商）。</w:t>
      </w:r>
    </w:p>
    <w:p>
      <w:pPr>
        <w:pStyle w:val="null3"/>
        <w:ind w:firstLine="420"/>
        <w:jc w:val="both"/>
      </w:pPr>
      <w:r>
        <w:rPr>
          <w:sz w:val="21"/>
        </w:rPr>
        <w:t>3)</w:t>
      </w:r>
      <w:r>
        <w:rPr>
          <w:sz w:val="21"/>
        </w:rPr>
        <w:t>数据库服务器运维服务</w:t>
      </w:r>
    </w:p>
    <w:p>
      <w:pPr>
        <w:pStyle w:val="null3"/>
        <w:ind w:firstLine="420"/>
        <w:jc w:val="both"/>
      </w:pPr>
      <w:r>
        <w:rPr>
          <w:sz w:val="21"/>
        </w:rPr>
        <w:t>根据客户需要组织数据库服务器定期</w:t>
      </w:r>
      <w:r>
        <w:rPr>
          <w:sz w:val="21"/>
        </w:rPr>
        <w:t>(</w:t>
      </w:r>
      <w:r>
        <w:rPr>
          <w:sz w:val="21"/>
        </w:rPr>
        <w:t>每季度</w:t>
      </w:r>
      <w:r>
        <w:rPr>
          <w:sz w:val="21"/>
        </w:rPr>
        <w:t>)</w:t>
      </w:r>
      <w:r>
        <w:rPr>
          <w:sz w:val="21"/>
        </w:rPr>
        <w:t>检查，检查内容包括服务器硬件、系统日志、磁盘空间、数据库性能、数据库任务、软件安装、数据库备份等，检查后编写《服务器例行检查报告》并提交客户。</w:t>
      </w:r>
    </w:p>
    <w:p>
      <w:pPr>
        <w:pStyle w:val="null3"/>
        <w:ind w:firstLine="422"/>
        <w:jc w:val="both"/>
      </w:pPr>
      <w:r>
        <w:rPr>
          <w:sz w:val="21"/>
          <w:b/>
        </w:rPr>
        <w:t>4.</w:t>
      </w:r>
      <w:r>
        <w:rPr>
          <w:sz w:val="21"/>
          <w:b/>
        </w:rPr>
        <w:t>指导与咨询服务</w:t>
      </w:r>
    </w:p>
    <w:p>
      <w:pPr>
        <w:pStyle w:val="null3"/>
        <w:ind w:firstLine="420"/>
        <w:jc w:val="both"/>
      </w:pPr>
      <w:r>
        <w:rPr>
          <w:sz w:val="21"/>
        </w:rPr>
        <w:t>1)</w:t>
      </w:r>
      <w:r>
        <w:rPr>
          <w:sz w:val="21"/>
        </w:rPr>
        <w:t>系统流程、功能操作指导</w:t>
      </w:r>
    </w:p>
    <w:p>
      <w:pPr>
        <w:pStyle w:val="null3"/>
        <w:ind w:firstLine="420"/>
        <w:jc w:val="both"/>
      </w:pPr>
      <w:r>
        <w:rPr>
          <w:sz w:val="21"/>
        </w:rPr>
        <w:t>客户在使用以及维护过程中遇到系统流程不熟悉或系统功能不会操作时，提供相应的指导与咨询，并及时回答提出的问题。</w:t>
      </w:r>
    </w:p>
    <w:p>
      <w:pPr>
        <w:pStyle w:val="null3"/>
        <w:ind w:firstLine="420"/>
        <w:jc w:val="both"/>
      </w:pPr>
      <w:r>
        <w:rPr>
          <w:sz w:val="21"/>
        </w:rPr>
        <w:t>2)</w:t>
      </w:r>
      <w:r>
        <w:rPr>
          <w:sz w:val="21"/>
        </w:rPr>
        <w:t>软件更新指导</w:t>
      </w:r>
    </w:p>
    <w:p>
      <w:pPr>
        <w:pStyle w:val="null3"/>
        <w:ind w:firstLine="420"/>
        <w:jc w:val="both"/>
      </w:pPr>
      <w:r>
        <w:rPr>
          <w:sz w:val="21"/>
        </w:rPr>
        <w:t>提供系统更新操作指南，并提供远程或电话指导的服务，协助更新现有系统。</w:t>
      </w:r>
    </w:p>
    <w:p>
      <w:pPr>
        <w:pStyle w:val="null3"/>
        <w:ind w:firstLine="420"/>
        <w:jc w:val="both"/>
      </w:pPr>
      <w:r>
        <w:rPr>
          <w:sz w:val="21"/>
        </w:rPr>
        <w:t>3)</w:t>
      </w:r>
      <w:r>
        <w:rPr>
          <w:sz w:val="21"/>
        </w:rPr>
        <w:t>软件问题查看与指导</w:t>
      </w:r>
    </w:p>
    <w:p>
      <w:pPr>
        <w:pStyle w:val="null3"/>
        <w:ind w:firstLine="420"/>
        <w:jc w:val="both"/>
      </w:pPr>
      <w:r>
        <w:rPr>
          <w:sz w:val="21"/>
        </w:rPr>
        <w:t>客户在使用以及维护过程中，遇到软件系统的相关合同模块约定的功能问题时，提供远程或者电话指导的方式，及时处理并回答提出的问题。</w:t>
      </w:r>
    </w:p>
    <w:p>
      <w:pPr>
        <w:pStyle w:val="null3"/>
        <w:ind w:firstLine="422"/>
        <w:jc w:val="both"/>
      </w:pPr>
      <w:r>
        <w:rPr>
          <w:sz w:val="21"/>
          <w:b/>
        </w:rPr>
        <w:t>5.</w:t>
      </w:r>
      <w:r>
        <w:rPr>
          <w:sz w:val="21"/>
          <w:b/>
        </w:rPr>
        <w:t>维护服务内容</w:t>
      </w:r>
    </w:p>
    <w:p>
      <w:pPr>
        <w:pStyle w:val="null3"/>
        <w:ind w:firstLine="420"/>
        <w:jc w:val="both"/>
      </w:pPr>
      <w:r>
        <w:rPr>
          <w:sz w:val="21"/>
        </w:rPr>
        <w:t>涵盖内容：医院所使用的集成平台、医院信息系统，包括但不限于电脑端全部功能模块（含与第三方系统的对接部分）的维护与服务。</w:t>
      </w:r>
    </w:p>
    <w:p>
      <w:pPr>
        <w:pStyle w:val="null3"/>
        <w:ind w:firstLine="420"/>
        <w:jc w:val="both"/>
      </w:pPr>
      <w:r>
        <w:rPr>
          <w:sz w:val="21"/>
        </w:rPr>
        <w:t>注：涉及数据库、程序、系统版本等更新时，原则上，中标人必须派遣专业人员至采购人现场进行处理，确保更新操作的安全性与准确性。在紧急情况下，中标人除需迅速响应外，还应主动向院方提交申请以获取必要的远程开通权限，并即刻安排专业人员前往现场或采取其他必要措施以解决问题。</w:t>
      </w:r>
    </w:p>
    <w:tbl>
      <w:tblPr>
        <w:tblW w:w="0" w:type="auto"/>
        <w:tblBorders>
          <w:top w:val="none" w:color="000000" w:sz="4"/>
          <w:left w:val="none" w:color="000000" w:sz="4"/>
          <w:bottom w:val="none" w:color="000000" w:sz="4"/>
          <w:right w:val="none" w:color="000000" w:sz="4"/>
          <w:insideH w:val="none"/>
          <w:insideV w:val="none"/>
        </w:tblBorders>
      </w:tblPr>
      <w:tblGrid>
        <w:gridCol w:w="1621"/>
        <w:gridCol w:w="3385"/>
        <w:gridCol w:w="918"/>
        <w:gridCol w:w="882"/>
        <w:gridCol w:w="942"/>
        <w:gridCol w:w="558"/>
      </w:tblGrid>
      <w:tr>
        <w:tc>
          <w:tcPr>
            <w:tcW w:type="dxa" w:w="162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服务项目</w:t>
            </w:r>
          </w:p>
        </w:tc>
        <w:tc>
          <w:tcPr>
            <w:tcW w:type="dxa" w:w="338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服务内容</w:t>
            </w:r>
          </w:p>
        </w:tc>
        <w:tc>
          <w:tcPr>
            <w:tcW w:type="dxa" w:w="3300"/>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服务方式（</w:t>
            </w:r>
            <w:r>
              <w:rPr>
                <w:sz w:val="21"/>
              </w:rPr>
              <w:t>“×”表示原则上，不得以该方式提供）</w:t>
            </w:r>
          </w:p>
        </w:tc>
      </w:tr>
      <w:tr>
        <w:tc>
          <w:tcPr>
            <w:tcW w:type="dxa" w:w="1621"/>
            <w:vMerge/>
            <w:tcBorders>
              <w:top w:val="single" w:color="000000" w:sz="4"/>
              <w:left w:val="single" w:color="000000" w:sz="4"/>
              <w:bottom w:val="single" w:color="000000" w:sz="4"/>
              <w:right w:val="single" w:color="000000" w:sz="4"/>
            </w:tcBorders>
          </w:tcPr>
          <w:p/>
        </w:tc>
        <w:tc>
          <w:tcPr>
            <w:tcW w:type="dxa" w:w="3385"/>
            <w:vMerge/>
            <w:tcBorders>
              <w:top w:val="single" w:color="000000" w:sz="4"/>
              <w:left w:val="single" w:color="000000" w:sz="4"/>
              <w:bottom w:val="single" w:color="000000" w:sz="4"/>
              <w:right w:val="single" w:color="000000" w:sz="4"/>
            </w:tcBorders>
          </w:tcPr>
          <w:p/>
        </w:tc>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电话</w:t>
            </w:r>
            <w:r>
              <w:rPr>
                <w:sz w:val="21"/>
              </w:rPr>
              <w:t>/在线服务</w:t>
            </w:r>
          </w:p>
        </w:tc>
        <w:tc>
          <w:tcPr>
            <w:tcW w:type="dxa" w:w="8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远程服务</w:t>
            </w:r>
          </w:p>
        </w:tc>
        <w:tc>
          <w:tcPr>
            <w:tcW w:type="dxa" w:w="9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现场服务</w:t>
            </w:r>
          </w:p>
        </w:tc>
        <w:tc>
          <w:tcPr>
            <w:tcW w:type="dxa" w:w="5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备注</w:t>
            </w:r>
          </w:p>
        </w:tc>
      </w:tr>
      <w:tr>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在线支持</w:t>
            </w:r>
          </w:p>
        </w:tc>
        <w:tc>
          <w:tcPr>
            <w:tcW w:type="dxa" w:w="3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在线</w:t>
            </w:r>
            <w:r>
              <w:rPr>
                <w:sz w:val="21"/>
              </w:rPr>
              <w:t>QQ，微信，邮件技术支持</w:t>
            </w:r>
          </w:p>
        </w:tc>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远程维护</w:t>
            </w:r>
          </w:p>
        </w:tc>
        <w:tc>
          <w:tcPr>
            <w:tcW w:type="dxa" w:w="3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在线远程技术维护</w:t>
            </w:r>
          </w:p>
        </w:tc>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电话支持</w:t>
            </w:r>
          </w:p>
        </w:tc>
        <w:tc>
          <w:tcPr>
            <w:tcW w:type="dxa" w:w="3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电话支持</w:t>
            </w:r>
          </w:p>
        </w:tc>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月度电话回访</w:t>
            </w:r>
          </w:p>
        </w:tc>
        <w:tc>
          <w:tcPr>
            <w:tcW w:type="dxa" w:w="3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每月对用户使用情况进行回访</w:t>
            </w:r>
          </w:p>
        </w:tc>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现场服务</w:t>
            </w:r>
          </w:p>
        </w:tc>
        <w:tc>
          <w:tcPr>
            <w:tcW w:type="dxa" w:w="3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应客户要求，上门提供服务</w:t>
            </w:r>
          </w:p>
        </w:tc>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软件功能修改</w:t>
            </w:r>
          </w:p>
        </w:tc>
        <w:tc>
          <w:tcPr>
            <w:tcW w:type="dxa" w:w="3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应采购人要求，对新的使用场景或跟其它系统对接等需求，满足对系统现有功能的修改或升级；采购人需新增或修改小的程序可经过友好协商给予配合，不另收取费用。</w:t>
            </w:r>
          </w:p>
        </w:tc>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系统版本升级</w:t>
            </w:r>
          </w:p>
        </w:tc>
        <w:tc>
          <w:tcPr>
            <w:tcW w:type="dxa" w:w="3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升级使用的系统及开发版本</w:t>
            </w:r>
          </w:p>
        </w:tc>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系统故障诊断</w:t>
            </w:r>
          </w:p>
        </w:tc>
        <w:tc>
          <w:tcPr>
            <w:tcW w:type="dxa" w:w="3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诊断系统故障原因，并提出排除故障措施，出具故障排查分析报告。</w:t>
            </w:r>
          </w:p>
        </w:tc>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系统使用培训</w:t>
            </w:r>
          </w:p>
        </w:tc>
        <w:tc>
          <w:tcPr>
            <w:tcW w:type="dxa" w:w="3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指导临床用户使用系统，提高用户的系统应用能力和工作效率</w:t>
            </w:r>
          </w:p>
        </w:tc>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系统维护培训</w:t>
            </w:r>
          </w:p>
        </w:tc>
        <w:tc>
          <w:tcPr>
            <w:tcW w:type="dxa" w:w="3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指导信息科进行系统日常维护</w:t>
            </w:r>
          </w:p>
        </w:tc>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系统软件安装</w:t>
            </w:r>
          </w:p>
        </w:tc>
        <w:tc>
          <w:tcPr>
            <w:tcW w:type="dxa" w:w="3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为客户安装有效授权的客户端软件</w:t>
            </w:r>
          </w:p>
        </w:tc>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数据修正</w:t>
            </w:r>
          </w:p>
        </w:tc>
        <w:tc>
          <w:tcPr>
            <w:tcW w:type="dxa" w:w="3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查找系统中出错的数据，并进行修正。数据的错误常见于操作失误，死机、断电等意外造成的数据错误。</w:t>
            </w:r>
          </w:p>
        </w:tc>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数据备份</w:t>
            </w:r>
          </w:p>
        </w:tc>
        <w:tc>
          <w:tcPr>
            <w:tcW w:type="dxa" w:w="3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备份系统数据，确保系统数据安全有效。</w:t>
            </w:r>
          </w:p>
        </w:tc>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数据恢复</w:t>
            </w:r>
          </w:p>
        </w:tc>
        <w:tc>
          <w:tcPr>
            <w:tcW w:type="dxa" w:w="3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恢复有效的备份系统数据。</w:t>
            </w:r>
          </w:p>
        </w:tc>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系统接口优化</w:t>
            </w:r>
          </w:p>
        </w:tc>
        <w:tc>
          <w:tcPr>
            <w:tcW w:type="dxa" w:w="3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对系统接口进行检测，提出优化系统性能方案。</w:t>
            </w:r>
          </w:p>
        </w:tc>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定时巡检</w:t>
            </w:r>
          </w:p>
        </w:tc>
        <w:tc>
          <w:tcPr>
            <w:tcW w:type="dxa" w:w="3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经采购人许可，每季度进行一次定期现场巡检，对应用软件的软硬件环境进行检查，发现系统稳定运行的隐患因素并及时排除。向采购人出具系统巡检报告，内容包含巡检范围、结果及巡检建议。</w:t>
            </w:r>
          </w:p>
        </w:tc>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both"/>
      </w:pPr>
      <w:r>
        <w:rPr>
          <w:sz w:val="21"/>
          <w:b/>
        </w:rPr>
        <w:t>6.</w:t>
      </w:r>
      <w:r>
        <w:rPr>
          <w:sz w:val="21"/>
          <w:b/>
        </w:rPr>
        <w:t>维护服务考核方案</w:t>
      </w:r>
    </w:p>
    <w:p>
      <w:pPr>
        <w:pStyle w:val="null3"/>
        <w:ind w:firstLine="420"/>
        <w:jc w:val="both"/>
      </w:pPr>
      <w:r>
        <w:rPr>
          <w:sz w:val="21"/>
        </w:rPr>
        <w:t>院方按年度指标考核中标人服务，方案概述如下：</w:t>
      </w:r>
    </w:p>
    <w:p>
      <w:pPr>
        <w:pStyle w:val="null3"/>
        <w:ind w:firstLine="420"/>
        <w:jc w:val="both"/>
      </w:pPr>
      <w:r>
        <w:rPr>
          <w:sz w:val="21"/>
        </w:rPr>
        <w:t>1)</w:t>
      </w:r>
      <w:r>
        <w:rPr>
          <w:sz w:val="21"/>
        </w:rPr>
        <w:t>考核概述</w:t>
      </w:r>
    </w:p>
    <w:p>
      <w:pPr>
        <w:pStyle w:val="null3"/>
        <w:ind w:firstLine="420"/>
        <w:jc w:val="both"/>
      </w:pPr>
      <w:r>
        <w:rPr>
          <w:sz w:val="21"/>
        </w:rPr>
        <w:t>1.</w:t>
      </w:r>
      <w:r>
        <w:rPr>
          <w:sz w:val="21"/>
        </w:rPr>
        <w:t>维护服务考核按年度进行。</w:t>
      </w:r>
    </w:p>
    <w:p>
      <w:pPr>
        <w:pStyle w:val="null3"/>
        <w:ind w:firstLine="420"/>
        <w:jc w:val="both"/>
      </w:pPr>
      <w:r>
        <w:rPr>
          <w:sz w:val="21"/>
        </w:rPr>
        <w:t>2.</w:t>
      </w:r>
      <w:r>
        <w:rPr>
          <w:sz w:val="21"/>
        </w:rPr>
        <w:t>维护年度结束后</w:t>
      </w:r>
      <w:r>
        <w:rPr>
          <w:sz w:val="21"/>
        </w:rPr>
        <w:t>10</w:t>
      </w:r>
      <w:r>
        <w:rPr>
          <w:sz w:val="21"/>
        </w:rPr>
        <w:t>个工作日内，中标人提供年度考核材料，院方根据中标人的服务情况，结合实际调查和用户信息反馈，按照合同及各项服务要求，对服务管理各个流程的执行情况和成效、故障处理的完成时间、服务质量和成效进行考核。</w:t>
      </w:r>
    </w:p>
    <w:p>
      <w:pPr>
        <w:pStyle w:val="null3"/>
        <w:ind w:firstLine="420"/>
        <w:jc w:val="both"/>
      </w:pPr>
      <w:r>
        <w:rPr>
          <w:sz w:val="21"/>
        </w:rPr>
        <w:t>2)</w:t>
      </w:r>
      <w:r>
        <w:rPr>
          <w:sz w:val="21"/>
        </w:rPr>
        <w:t>考核依据</w:t>
      </w:r>
    </w:p>
    <w:p>
      <w:pPr>
        <w:pStyle w:val="null3"/>
        <w:ind w:firstLine="420"/>
        <w:jc w:val="both"/>
      </w:pPr>
      <w:r>
        <w:rPr>
          <w:sz w:val="21"/>
        </w:rPr>
        <w:t>考核内容依据招标书、投标书、合同、相关承诺及相关补充文件（包括但不限于日常报修记录表、定期巡检报告、需求记录单、信息安全相关记录文件，及年度满意度调查表等）进行。</w:t>
      </w:r>
    </w:p>
    <w:p>
      <w:pPr>
        <w:pStyle w:val="null3"/>
        <w:ind w:firstLine="420"/>
        <w:jc w:val="both"/>
      </w:pPr>
      <w:r>
        <w:rPr>
          <w:sz w:val="21"/>
        </w:rPr>
        <w:t>3)</w:t>
      </w:r>
      <w:r>
        <w:rPr>
          <w:sz w:val="21"/>
        </w:rPr>
        <w:t>考核文件签署</w:t>
      </w:r>
    </w:p>
    <w:p>
      <w:pPr>
        <w:pStyle w:val="null3"/>
        <w:ind w:firstLine="420"/>
        <w:jc w:val="both"/>
      </w:pPr>
      <w:r>
        <w:rPr>
          <w:sz w:val="21"/>
        </w:rPr>
        <w:t>每年服务期满后，中标人需撰写服务完成考核报告，由采购人委派的负责人在审核后签署。</w:t>
      </w:r>
    </w:p>
    <w:p>
      <w:pPr>
        <w:pStyle w:val="null3"/>
        <w:ind w:firstLine="420"/>
        <w:jc w:val="both"/>
      </w:pPr>
      <w:r>
        <w:rPr>
          <w:sz w:val="21"/>
        </w:rPr>
        <w:t>4)</w:t>
      </w:r>
      <w:r>
        <w:rPr>
          <w:sz w:val="21"/>
        </w:rPr>
        <w:t>具体服务考核指标</w:t>
      </w:r>
    </w:p>
    <w:p>
      <w:pPr>
        <w:pStyle w:val="null3"/>
        <w:ind w:firstLine="420"/>
        <w:jc w:val="both"/>
      </w:pPr>
      <w:r>
        <w:rPr>
          <w:sz w:val="21"/>
        </w:rPr>
        <w:t>具体服务考核指标参见下表。考核采用扣分制，采购人信息部门根据被考核单位的工作情况及事件实时记录，年度考核时将扣分情况通报给中标人。</w:t>
      </w:r>
    </w:p>
    <w:tbl>
      <w:tblPr>
        <w:tblW w:w="0" w:type="auto"/>
        <w:tblBorders>
          <w:top w:val="none" w:color="000000" w:sz="4"/>
          <w:left w:val="none" w:color="000000" w:sz="4"/>
          <w:bottom w:val="none" w:color="000000" w:sz="4"/>
          <w:right w:val="none" w:color="000000" w:sz="4"/>
          <w:insideH w:val="none"/>
          <w:insideV w:val="none"/>
        </w:tblBorders>
      </w:tblPr>
      <w:tblGrid>
        <w:gridCol w:w="880"/>
        <w:gridCol w:w="3766"/>
        <w:gridCol w:w="2754"/>
        <w:gridCol w:w="905"/>
      </w:tblGrid>
      <w:tr>
        <w:tc>
          <w:tcPr>
            <w:tcW w:type="dxa" w:w="8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w:t>
            </w:r>
          </w:p>
          <w:p>
            <w:pPr>
              <w:pStyle w:val="null3"/>
              <w:jc w:val="center"/>
            </w:pPr>
            <w:r>
              <w:rPr>
                <w:sz w:val="21"/>
              </w:rPr>
              <w:t>指标</w:t>
            </w:r>
          </w:p>
        </w:tc>
        <w:tc>
          <w:tcPr>
            <w:tcW w:type="dxa" w:w="37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具体要求</w:t>
            </w:r>
          </w:p>
        </w:tc>
        <w:tc>
          <w:tcPr>
            <w:tcW w:type="dxa" w:w="27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分数扣除说明</w:t>
            </w:r>
          </w:p>
        </w:tc>
        <w:tc>
          <w:tcPr>
            <w:tcW w:type="dxa" w:w="9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扣除</w:t>
            </w:r>
          </w:p>
          <w:p>
            <w:pPr>
              <w:pStyle w:val="null3"/>
              <w:jc w:val="center"/>
            </w:pPr>
            <w:r>
              <w:rPr>
                <w:sz w:val="21"/>
              </w:rPr>
              <w:t>依据</w:t>
            </w:r>
          </w:p>
        </w:tc>
      </w:tr>
      <w:tr>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一、紧急故障处理与响应</w:t>
            </w:r>
          </w:p>
        </w:tc>
        <w:tc>
          <w:tcPr>
            <w:tcW w:type="dxa" w:w="3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要求</w:t>
            </w:r>
            <w:r>
              <w:rPr>
                <w:sz w:val="21"/>
              </w:rPr>
              <w:t>15</w:t>
            </w:r>
            <w:r>
              <w:rPr>
                <w:sz w:val="21"/>
              </w:rPr>
              <w:t>分钟内响应，</w:t>
            </w:r>
            <w:r>
              <w:rPr>
                <w:sz w:val="21"/>
              </w:rPr>
              <w:t>1</w:t>
            </w:r>
            <w:r>
              <w:rPr>
                <w:sz w:val="21"/>
              </w:rPr>
              <w:t>小时到达现场，</w:t>
            </w:r>
            <w:r>
              <w:rPr>
                <w:sz w:val="21"/>
              </w:rPr>
              <w:t>2</w:t>
            </w:r>
            <w:r>
              <w:rPr>
                <w:sz w:val="21"/>
              </w:rPr>
              <w:t>小时内恢复系统正常运行（针对影响临床业务的情况）。</w:t>
            </w:r>
          </w:p>
        </w:tc>
        <w:tc>
          <w:tcPr>
            <w:tcW w:type="dxa" w:w="2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响应超时扣</w:t>
            </w:r>
            <w:r>
              <w:rPr>
                <w:sz w:val="21"/>
              </w:rPr>
              <w:t>1分/次，到达现场超时扣1分/次，恢复系统超时扣2分/次。</w:t>
            </w:r>
          </w:p>
        </w:tc>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日常报修记录表</w:t>
            </w:r>
          </w:p>
          <w:p>
            <w:pPr>
              <w:pStyle w:val="null3"/>
              <w:jc w:val="left"/>
            </w:pPr>
          </w:p>
        </w:tc>
      </w:tr>
      <w:tr>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二、远程技术支持与服务质量</w:t>
            </w:r>
          </w:p>
        </w:tc>
        <w:tc>
          <w:tcPr>
            <w:tcW w:type="dxa" w:w="3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提供</w:t>
            </w:r>
            <w:r>
              <w:rPr>
                <w:sz w:val="21"/>
              </w:rPr>
              <w:t>7*24小时远程技术支持（电话、手机、微信等），及时响应并处理报障问题，服务态度热情、专业，准确解答用户问题并提供有效解决方案；如实记录在日常报修记录表中。</w:t>
            </w:r>
          </w:p>
        </w:tc>
        <w:tc>
          <w:tcPr>
            <w:tcW w:type="dxa" w:w="2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未响应扣</w:t>
            </w:r>
            <w:r>
              <w:rPr>
                <w:sz w:val="21"/>
              </w:rPr>
              <w:t>1分/次，记录不完整扣1分/次，服务态度不佳或专业能力不足扣1分/次。</w:t>
            </w:r>
          </w:p>
        </w:tc>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日常报修记录表</w:t>
            </w:r>
          </w:p>
        </w:tc>
      </w:tr>
      <w:tr>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三、数据安全、隐私保护与信息管理</w:t>
            </w:r>
          </w:p>
        </w:tc>
        <w:tc>
          <w:tcPr>
            <w:tcW w:type="dxa" w:w="3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遵守国家信息安全等级保护制度及信息安全管理规范，确保系统建设达到相应等级的安全保护要求；及时修复安全漏洞扫描和风险评估发现的安全漏洞；采用</w:t>
            </w:r>
            <w:r>
              <w:rPr>
                <w:sz w:val="21"/>
              </w:rPr>
              <w:t>VPN和堡垒机方式进行控制访问，确保访问安全；定期进行数据备份，并确保备份数据的完整性和可恢复性；保护患者隐私，未经授权不得泄露患者信息。注：“重大”违规事件指导致系统瘫痪、数据丢失或泄露、VPN或堡垒机账户信息泄露导致入侵攻击等对医院运营和患者信息安全造成严重影响的事件。</w:t>
            </w:r>
          </w:p>
        </w:tc>
        <w:tc>
          <w:tcPr>
            <w:tcW w:type="dxa" w:w="2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未遵守等保要求或信息安全管理规范扣</w:t>
            </w:r>
            <w:r>
              <w:rPr>
                <w:sz w:val="21"/>
              </w:rPr>
              <w:t>5分/次，未及时修复安全漏洞扣5分/次，远程访问方式不当扣5分/次，未按时备份数据扣2分/次，泄露患者隐私或发生“重大”违规事件扣10分/次，并视情况终止合同。</w:t>
            </w:r>
          </w:p>
        </w:tc>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安全漏洞修复报告等相关安全记录文件</w:t>
            </w:r>
          </w:p>
        </w:tc>
      </w:tr>
      <w:tr>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四、定期巡检与功能完善</w:t>
            </w:r>
          </w:p>
        </w:tc>
        <w:tc>
          <w:tcPr>
            <w:tcW w:type="dxa" w:w="3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每季度进行定期现场巡检，检查软硬件环境，记录巡检结果；根据医院需求或政策性需求按协商工期要求及时完善系统功能，并记录功能变更情况。</w:t>
            </w:r>
          </w:p>
        </w:tc>
        <w:tc>
          <w:tcPr>
            <w:tcW w:type="dxa" w:w="2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未按时巡检扣</w:t>
            </w:r>
            <w:r>
              <w:rPr>
                <w:sz w:val="21"/>
              </w:rPr>
              <w:t>2分/次，未及时完善功能扣3分/次。</w:t>
            </w:r>
          </w:p>
        </w:tc>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定期巡检报告、需求记录单</w:t>
            </w:r>
          </w:p>
        </w:tc>
      </w:tr>
      <w:tr>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五、年度满意度调查</w:t>
            </w:r>
          </w:p>
        </w:tc>
        <w:tc>
          <w:tcPr>
            <w:tcW w:type="dxa" w:w="3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满意度调查在年度考核时填写，不细化到每次故障处理响应中。旨在用户评估中标人服务整体质量。</w:t>
            </w:r>
          </w:p>
        </w:tc>
        <w:tc>
          <w:tcPr>
            <w:tcW w:type="dxa" w:w="2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根据满意等级扣分。非常满意、满意不扣分、基本满意扣</w:t>
            </w:r>
            <w:r>
              <w:rPr>
                <w:sz w:val="21"/>
              </w:rPr>
              <w:t>2</w:t>
            </w:r>
            <w:r>
              <w:rPr>
                <w:sz w:val="21"/>
              </w:rPr>
              <w:t>分、不满意扣</w:t>
            </w:r>
            <w:r>
              <w:rPr>
                <w:sz w:val="21"/>
              </w:rPr>
              <w:t>5分</w:t>
            </w:r>
            <w:r>
              <w:rPr>
                <w:sz w:val="21"/>
              </w:rPr>
              <w:t>、非常不满意扣</w:t>
            </w:r>
            <w:r>
              <w:rPr>
                <w:sz w:val="21"/>
              </w:rPr>
              <w:t>10分。</w:t>
            </w:r>
          </w:p>
        </w:tc>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年度满意度调查表</w:t>
            </w:r>
          </w:p>
        </w:tc>
      </w:tr>
    </w:tbl>
    <w:p>
      <w:pPr>
        <w:pStyle w:val="null3"/>
        <w:ind w:firstLine="420"/>
        <w:jc w:val="both"/>
      </w:pPr>
      <w:r>
        <w:rPr>
          <w:sz w:val="21"/>
        </w:rPr>
        <w:t>5)</w:t>
      </w:r>
      <w:r>
        <w:rPr>
          <w:sz w:val="21"/>
        </w:rPr>
        <w:t>考核结果与费用扣除</w:t>
      </w:r>
    </w:p>
    <w:p>
      <w:pPr>
        <w:pStyle w:val="null3"/>
        <w:ind w:firstLine="420"/>
        <w:jc w:val="both"/>
      </w:pPr>
      <w:r>
        <w:rPr>
          <w:sz w:val="21"/>
        </w:rPr>
        <w:t>考核采用扣分制。采购人信息部门依据中标人工作情况及事件实时记录，于每年度服务期满向中标人通报扣分详情。</w:t>
      </w:r>
    </w:p>
    <w:p>
      <w:pPr>
        <w:pStyle w:val="null3"/>
        <w:ind w:firstLine="420"/>
        <w:jc w:val="both"/>
      </w:pPr>
      <w:r>
        <w:rPr>
          <w:sz w:val="21"/>
        </w:rPr>
        <w:t>1.</w:t>
      </w:r>
      <w:r>
        <w:rPr>
          <w:sz w:val="21"/>
        </w:rPr>
        <w:t>若中标人年度考核总扣分不超过</w:t>
      </w:r>
      <w:r>
        <w:rPr>
          <w:sz w:val="21"/>
        </w:rPr>
        <w:t>10</w:t>
      </w:r>
      <w:r>
        <w:rPr>
          <w:sz w:val="21"/>
        </w:rPr>
        <w:t>分（含</w:t>
      </w:r>
      <w:r>
        <w:rPr>
          <w:sz w:val="21"/>
        </w:rPr>
        <w:t>10</w:t>
      </w:r>
      <w:r>
        <w:rPr>
          <w:sz w:val="21"/>
        </w:rPr>
        <w:t>分），则视为服务优秀，采购人不扣减中标人服务费用。</w:t>
      </w:r>
    </w:p>
    <w:p>
      <w:pPr>
        <w:pStyle w:val="null3"/>
        <w:ind w:firstLine="420"/>
        <w:jc w:val="both"/>
      </w:pPr>
      <w:r>
        <w:rPr>
          <w:sz w:val="21"/>
        </w:rPr>
        <w:t>2.</w:t>
      </w:r>
      <w:r>
        <w:rPr>
          <w:sz w:val="21"/>
        </w:rPr>
        <w:t>若中标人年度考核总扣分超过</w:t>
      </w:r>
      <w:r>
        <w:rPr>
          <w:sz w:val="21"/>
        </w:rPr>
        <w:t>10</w:t>
      </w:r>
      <w:r>
        <w:rPr>
          <w:sz w:val="21"/>
        </w:rPr>
        <w:t>分，则每扣</w:t>
      </w:r>
      <w:r>
        <w:rPr>
          <w:sz w:val="21"/>
        </w:rPr>
        <w:t>1</w:t>
      </w:r>
      <w:r>
        <w:rPr>
          <w:sz w:val="21"/>
        </w:rPr>
        <w:t>分，采购人将扣减中标人合同总金额的</w:t>
      </w:r>
      <w:r>
        <w:rPr>
          <w:sz w:val="21"/>
        </w:rPr>
        <w:t>0.5%</w:t>
      </w:r>
      <w:r>
        <w:rPr>
          <w:sz w:val="21"/>
        </w:rPr>
        <w:t>。</w:t>
      </w:r>
    </w:p>
    <w:p>
      <w:pPr>
        <w:pStyle w:val="null3"/>
        <w:ind w:firstLine="420"/>
        <w:jc w:val="both"/>
      </w:pPr>
      <w:r>
        <w:rPr>
          <w:sz w:val="21"/>
        </w:rPr>
        <w:t>3.</w:t>
      </w:r>
      <w:r>
        <w:rPr>
          <w:sz w:val="21"/>
        </w:rPr>
        <w:t>若中标人年度考核总扣分超过</w:t>
      </w:r>
      <w:r>
        <w:rPr>
          <w:sz w:val="21"/>
        </w:rPr>
        <w:t>20</w:t>
      </w:r>
      <w:r>
        <w:rPr>
          <w:sz w:val="21"/>
        </w:rPr>
        <w:t>分，则视为中标人不具备相应运维服务能力，考核判定为不通过。在此情形下，采购人有权单方面终止合同，并要求中标人承担相应违约责任。</w:t>
      </w:r>
    </w:p>
    <w:p>
      <w:pPr>
        <w:pStyle w:val="null3"/>
        <w:ind w:firstLine="420"/>
        <w:jc w:val="both"/>
      </w:pPr>
      <w:r>
        <w:rPr>
          <w:sz w:val="21"/>
        </w:rPr>
        <w:t>6</w:t>
      </w:r>
      <w:r>
        <w:rPr>
          <w:sz w:val="21"/>
        </w:rPr>
        <w:t>)</w:t>
      </w:r>
      <w:r>
        <w:rPr>
          <w:sz w:val="21"/>
        </w:rPr>
        <w:t>付款</w:t>
      </w:r>
    </w:p>
    <w:p>
      <w:pPr>
        <w:pStyle w:val="null3"/>
        <w:ind w:firstLine="420"/>
        <w:jc w:val="both"/>
      </w:pPr>
      <w:r>
        <w:rPr>
          <w:sz w:val="21"/>
        </w:rPr>
        <w:t>1.</w:t>
      </w:r>
      <w:r>
        <w:rPr>
          <w:sz w:val="21"/>
        </w:rPr>
        <w:t>支付方式：</w:t>
      </w:r>
    </w:p>
    <w:p>
      <w:pPr>
        <w:pStyle w:val="null3"/>
        <w:ind w:firstLine="420"/>
        <w:jc w:val="both"/>
      </w:pPr>
      <w:r>
        <w:rPr>
          <w:sz w:val="21"/>
        </w:rPr>
        <w:t>采购人在中标人提供等额发票后的</w:t>
      </w:r>
      <w:r>
        <w:rPr>
          <w:sz w:val="21"/>
        </w:rPr>
        <w:t>3</w:t>
      </w:r>
      <w:r>
        <w:rPr>
          <w:sz w:val="21"/>
        </w:rPr>
        <w:t>个月内（如中标人为中小企业则按照相关法规支付款项），以转账方式向中标人支付合同价款。如因中标人提供发票有误或迟延的，采购人可顺延付款时间，不承担逾期付款责任。</w:t>
      </w:r>
    </w:p>
    <w:p>
      <w:pPr>
        <w:pStyle w:val="null3"/>
        <w:ind w:firstLine="420"/>
        <w:jc w:val="both"/>
      </w:pPr>
      <w:r>
        <w:rPr>
          <w:sz w:val="21"/>
        </w:rPr>
        <w:t>2.</w:t>
      </w:r>
      <w:r>
        <w:rPr>
          <w:sz w:val="21"/>
        </w:rPr>
        <w:t>付款安排：</w:t>
      </w:r>
    </w:p>
    <w:p>
      <w:pPr>
        <w:pStyle w:val="null3"/>
        <w:ind w:firstLine="420"/>
        <w:jc w:val="both"/>
      </w:pPr>
      <w:r>
        <w:rPr>
          <w:sz w:val="21"/>
        </w:rPr>
        <w:t>（</w:t>
      </w:r>
      <w:r>
        <w:rPr>
          <w:sz w:val="21"/>
        </w:rPr>
        <w:t>1</w:t>
      </w:r>
      <w:r>
        <w:rPr>
          <w:sz w:val="21"/>
        </w:rPr>
        <w:t>）</w:t>
      </w:r>
      <w:r>
        <w:rPr>
          <w:b/>
          <w:color w:val="000000"/>
        </w:rPr>
        <w:t>首期款</w:t>
      </w:r>
      <w:r>
        <w:rPr>
          <w:color w:val="000000"/>
        </w:rPr>
        <w:t>：</w:t>
      </w:r>
      <w:r>
        <w:rPr>
          <w:sz w:val="21"/>
        </w:rPr>
        <w:t>合同签署生效后，采购人支付中标人首年维保费的</w:t>
      </w:r>
      <w:r>
        <w:rPr>
          <w:sz w:val="21"/>
        </w:rPr>
        <w:t>50%</w:t>
      </w:r>
      <w:r>
        <w:rPr>
          <w:sz w:val="21"/>
        </w:rPr>
        <w:t>。</w:t>
      </w:r>
    </w:p>
    <w:p>
      <w:pPr>
        <w:pStyle w:val="null3"/>
        <w:ind w:firstLine="420"/>
        <w:jc w:val="both"/>
      </w:pPr>
      <w:r>
        <w:rPr>
          <w:sz w:val="21"/>
        </w:rPr>
        <w:t>（</w:t>
      </w:r>
      <w:r>
        <w:rPr>
          <w:sz w:val="21"/>
        </w:rPr>
        <w:t>2</w:t>
      </w:r>
      <w:r>
        <w:rPr>
          <w:sz w:val="21"/>
        </w:rPr>
        <w:t>）</w:t>
      </w:r>
      <w:r>
        <w:rPr>
          <w:b/>
          <w:color w:val="000000"/>
        </w:rPr>
        <w:t>第二期款</w:t>
      </w:r>
      <w:r>
        <w:rPr>
          <w:sz w:val="21"/>
        </w:rPr>
        <w:t>：第一年服务期满，且中标人通过采购人组织的年度运维服务考核后支付首年维保费剩余</w:t>
      </w:r>
      <w:r>
        <w:rPr>
          <w:sz w:val="21"/>
        </w:rPr>
        <w:t>50%</w:t>
      </w:r>
      <w:r>
        <w:rPr>
          <w:sz w:val="21"/>
        </w:rPr>
        <w:t>（如有考核扣罚，则相应扣除），以及</w:t>
      </w:r>
      <w:r>
        <w:rPr>
          <w:color w:val="000000"/>
        </w:rPr>
        <w:t>第二年维保费的</w:t>
      </w:r>
      <w:r>
        <w:rPr>
          <w:color w:val="000000"/>
        </w:rPr>
        <w:t>50%预付款</w:t>
      </w:r>
      <w:r>
        <w:rPr>
          <w:sz w:val="21"/>
        </w:rPr>
        <w:t>。</w:t>
      </w:r>
    </w:p>
    <w:p>
      <w:pPr>
        <w:pStyle w:val="null3"/>
        <w:ind w:firstLine="420"/>
        <w:jc w:val="both"/>
      </w:pPr>
      <w:r>
        <w:rPr>
          <w:sz w:val="21"/>
        </w:rPr>
        <w:t>（</w:t>
      </w:r>
      <w:r>
        <w:rPr>
          <w:sz w:val="21"/>
        </w:rPr>
        <w:t>3</w:t>
      </w:r>
      <w:r>
        <w:rPr>
          <w:sz w:val="21"/>
        </w:rPr>
        <w:t>）</w:t>
      </w:r>
      <w:r>
        <w:rPr>
          <w:sz w:val="21"/>
          <w:b/>
          <w:color w:val="000000"/>
        </w:rPr>
        <w:t>尾款：</w:t>
      </w:r>
      <w:r>
        <w:rPr>
          <w:sz w:val="21"/>
        </w:rPr>
        <w:t>第二年服务期满</w:t>
      </w:r>
      <w:r>
        <w:rPr>
          <w:sz w:val="21"/>
        </w:rPr>
        <w:t>且中标人通过采购人组织的年度运维服务考核</w:t>
      </w:r>
      <w:r>
        <w:rPr>
          <w:sz w:val="21"/>
        </w:rPr>
        <w:t>后支付第二年维保费剩余</w:t>
      </w:r>
      <w:r>
        <w:rPr>
          <w:sz w:val="21"/>
        </w:rPr>
        <w:t>50%</w:t>
      </w:r>
      <w:r>
        <w:rPr>
          <w:sz w:val="21"/>
        </w:rPr>
        <w:t>（如有考核扣罚，则相应扣除）。</w:t>
      </w:r>
    </w:p>
    <w:p>
      <w:pPr>
        <w:pStyle w:val="null3"/>
      </w:pPr>
      <w:r>
        <w:rPr/>
        <w:t>采购包1（信息系统及集成平台运维服务）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自合同签订之日起2年。</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第1期为(1期)：支付比例100%，支付比例100%,具体付款方式详见《第二章 采购需求》。</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1期：1)考核概述 1.维护服务考核按年度进行。 2.维护年度结束后10个工作日内，中标人提供年度考核材料，院方根据中标人的服务情况，结合实际调查和用户信息反馈，按照合同及各项服务要求，对服务管理各个流程的执行情况和成效、故障处理的完成时间、服务质量和成效进行考核。 2)考核依据 考核内容依据招标书、投标书、合同、相关承诺及相关补充文件（包括但不限于日常报修记录表、定期巡检报告、需求记录单、信息安全相关记录文件，及年度满意度调查表等）进行。 3)考核文件签署 每年服务期满后，中标人需撰写服务完成考核报告，由采购人委派的负责人在审核后签署。 4)具体服务考核指标 具体服务考核指标参见下表。考核采用扣分制，采购人信息部门根据被考核单位的工作情况及事件实时记录，年度考核时将扣分情况通报给中标人。 其他内容：详见《第二章采购需求》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软件运维服务</w:t>
            </w:r>
          </w:p>
        </w:tc>
        <w:tc>
          <w:tcPr>
            <w:tcW w:type="dxa" w:w="933"/>
          </w:tcPr>
          <w:p>
            <w:pPr>
              <w:pStyle w:val="null3"/>
              <w:jc w:val="left"/>
            </w:pPr>
            <w:r>
              <w:rPr/>
              <w:t>广州中医药大学第一附属医院信息系统及集成平台运维服务</w:t>
            </w:r>
          </w:p>
        </w:tc>
        <w:tc>
          <w:tcPr>
            <w:tcW w:type="dxa" w:w="933"/>
          </w:tcPr>
          <w:p>
            <w:pPr>
              <w:pStyle w:val="null3"/>
              <w:jc w:val="left"/>
            </w:pPr>
            <w:r>
              <w:rPr/>
              <w:t>年</w:t>
            </w:r>
          </w:p>
        </w:tc>
        <w:tc>
          <w:tcPr>
            <w:tcW w:type="dxa" w:w="933"/>
          </w:tcPr>
          <w:p>
            <w:pPr>
              <w:pStyle w:val="null3"/>
              <w:jc w:val="right"/>
            </w:pPr>
            <w:r>
              <w:rPr/>
              <w:t>2.00</w:t>
            </w:r>
          </w:p>
        </w:tc>
        <w:tc>
          <w:tcPr>
            <w:tcW w:type="dxa" w:w="933"/>
          </w:tcPr>
          <w:p>
            <w:pPr>
              <w:pStyle w:val="null3"/>
              <w:jc w:val="right"/>
            </w:pPr>
            <w:r>
              <w:rPr/>
              <w:t>2,421,246.50</w:t>
            </w:r>
          </w:p>
        </w:tc>
        <w:tc>
          <w:tcPr>
            <w:tcW w:type="dxa" w:w="933"/>
          </w:tcPr>
          <w:p>
            <w:pPr>
              <w:pStyle w:val="null3"/>
              <w:jc w:val="right"/>
            </w:pPr>
            <w:r>
              <w:rPr/>
              <w:t>4,842,493.00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广州中医药大学第一附属医院信息系统及集成平台运维服务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1.采购代理机构：本项目是指广东广招招标采购有限公司，负责整个采购活动的组织，依法负责编制和发布招标文件，对招标文件拥有最终的解释权，不以任何身份出任评标委员会成员。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广州中医药大学第一附属医院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采购机构代理服务收费标准：按照采购代理委托协议规定。</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广东广招招标采购有限公司</w:t>
      </w:r>
      <w:r>
        <w:rPr/>
        <w:t>代收。具体操作要求详见</w:t>
      </w:r>
      <w:r>
        <w:rPr/>
        <w:t>广东广招招标采购有限公司</w:t>
      </w:r>
      <w:r>
        <w:rPr/>
        <w:t>有关指引，递交事宜请自行咨询</w:t>
      </w:r>
      <w:r>
        <w:rPr/>
        <w:t>广东广招招标采购有限公司</w:t>
      </w:r>
      <w:r>
        <w:rPr/>
        <w:t>；请各投标人在投标文件递交截止时间前按须知前附表规定的金额递交至</w:t>
      </w:r>
      <w:r>
        <w:rPr/>
        <w:t>广东广招招标采购有限公司</w:t>
      </w:r>
      <w:r>
        <w:rPr/>
        <w:t>，到账情况以开标时</w:t>
      </w:r>
      <w:r>
        <w:rPr/>
        <w:t>广东广招招标采购有限公司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广东广招招标采购有限公司网（http://www.gztpc.com）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广东广招招标采购有限公司网（http://www.gztpc.com）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020-37816286-821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广州市东风东路745号东山紫园商务大厦2003室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信息系统及集成平台运维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广东广招招标采购有限公司</w:t>
      </w:r>
      <w:r>
        <w:rPr/>
        <w:t>统一对外发布。</w:t>
      </w:r>
    </w:p>
    <w:p>
      <w:pPr>
        <w:pStyle w:val="null3"/>
        <w:ind w:firstLine="480"/>
      </w:pPr>
      <w:r>
        <w:rPr/>
        <w:t>（2）对</w:t>
      </w:r>
      <w:r>
        <w:rPr/>
        <w:t>广东广招招标采购有限公司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采购包1（信息系统及集成平台运维服务）：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采购包1（信息系统及集成平台运维服务）：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提供2023年度财务状况报告或2024年度财务状况报告；或银行出具的资信证明材料复印件。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本项目不属于专门面向中小企业采购的项目。仅在评审时对符合条件的小型、微型企业进行价格扣除（监狱企业、残疾人福利性单位视同为小型、微型企业）。</w:t>
            </w:r>
          </w:p>
        </w:tc>
        <w:tc>
          <w:tcPr>
            <w:tcW w:type="dxa" w:w="4238"/>
          </w:tcPr>
          <w:p>
            <w:pPr>
              <w:pStyle w:val="null3"/>
            </w:pPr>
            <w:r>
              <w:rPr/>
              <w:t>本项目不属于专门面向中小企业采购的项目。仅在评审时对符合条件的小型、微型企业进行价格扣除（监狱企业、残疾人福利性单位视同为小型、微型企业）。</w:t>
            </w:r>
          </w:p>
        </w:tc>
      </w:tr>
    </w:tbl>
    <w:p>
      <w:pPr>
        <w:pStyle w:val="null3"/>
        <w:ind w:firstLine="480"/>
      </w:pPr>
      <w:r>
        <w:rPr/>
        <w:t>表二符合性审查表：</w:t>
      </w:r>
    </w:p>
    <w:p>
      <w:pPr>
        <w:pStyle w:val="null3"/>
      </w:pPr>
      <w:r>
        <w:rPr/>
        <w:t>采购包1（信息系统及集成平台运维服务）：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按照招标文件规定要求签署和盖章的；</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法定代表人资格证明书及法定代表人授权委托书的有效性；</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投标函已提交并符合招标文件要求的，且投标有效期满足招标文件要求的；</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投标文件完全满足对招标文件的实质性条款（即标注★号条款）无负偏离的；</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投标报价没有超过本项目最高限价；</w:t>
            </w:r>
          </w:p>
        </w:tc>
        <w:tc>
          <w:tcPr>
            <w:tcW w:type="dxa" w:w="4238"/>
          </w:tcPr>
          <w:p>
            <w:pPr>
              <w:pStyle w:val="null3"/>
            </w:pPr>
            <w:r>
              <w:rPr/>
              <w:t>投标报价没有超过本项目最高限价；</w:t>
            </w:r>
          </w:p>
        </w:tc>
      </w:tr>
      <w:tr>
        <w:tc>
          <w:tcPr>
            <w:tcW w:type="dxa" w:w="890"/>
          </w:tcPr>
          <w:p>
            <w:pPr>
              <w:pStyle w:val="null3"/>
            </w:pPr>
            <w:r>
              <w:rPr/>
              <w:t>6</w:t>
            </w:r>
          </w:p>
        </w:tc>
        <w:tc>
          <w:tcPr>
            <w:tcW w:type="dxa" w:w="3178"/>
          </w:tcPr>
          <w:p>
            <w:pPr>
              <w:pStyle w:val="null3"/>
            </w:pPr>
            <w:r>
              <w:rPr/>
              <w:t>投标文件没有采购人不能接受的附加条件的；</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投标文件没有出现串通投标情形的；</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采购包1(信息系统及集成平台运维服务):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技术部分55.0分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对采购需求中带▲号的重要技术条款的响应情况 (24.0分)</w:t>
            </w:r>
          </w:p>
        </w:tc>
        <w:tc>
          <w:tcPr>
            <w:tcW w:type="dxa" w:w="5076"/>
          </w:tcPr>
          <w:p>
            <w:pPr>
              <w:pStyle w:val="null3"/>
              <w:jc w:val="left"/>
            </w:pPr>
            <w:r>
              <w:rPr/>
              <w:t>根据各投标人对《第二章采购需求》“二、项目服务内容及维护要求-（一）本项目要求进行维护服务的信息系统”中标注“▲”的重要条款的响应情况进行评审（共8项）：完全满足或优于采购需求标注“▲”的重要条款的，得24分。每一项负偏离或不完全满足的扣3分。 备注：如采购需求中有明确要求提供证明材料的，则以采购需求要求的为准； 如采购需求中无明确要求证明材料的，则依据《技术和服务要求响应表》进行评审。</w:t>
            </w:r>
          </w:p>
        </w:tc>
      </w:tr>
      <w:tr>
        <w:tc>
          <w:tcPr>
            <w:tcW w:type="dxa" w:w="922"/>
            <w:gridSpan w:val="2"/>
            <w:vMerge/>
          </w:tcPr>
          <w:p/>
        </w:tc>
        <w:tc>
          <w:tcPr>
            <w:tcW w:type="dxa" w:w="2307"/>
          </w:tcPr>
          <w:p>
            <w:pPr>
              <w:pStyle w:val="null3"/>
              <w:jc w:val="left"/>
            </w:pPr>
            <w:r>
              <w:rPr/>
              <w:t>对采购需求中中未标注“★”或“▲”的一般技术条款的响应情况 (12.0分)</w:t>
            </w:r>
          </w:p>
        </w:tc>
        <w:tc>
          <w:tcPr>
            <w:tcW w:type="dxa" w:w="5076"/>
          </w:tcPr>
          <w:p>
            <w:pPr>
              <w:pStyle w:val="null3"/>
              <w:jc w:val="left"/>
            </w:pPr>
            <w:r>
              <w:rPr/>
              <w:t>根据各投标人对《第二章采购需求》“二、项目服务内容及维护要求-（一）本项目要求进行维护服务的信息系统”中一般技术条款的响应情况进行评审（共6项）：完全满足或优于采购需求一般技术条款的，得12分。每一项负偏离扣2分。 备注：如采购需求中有明确要求提供证明材料的，则以采购需求要求的为准； 如采购需求中无明确要求证明材料的，则依据《技术和服务要求响应表》进行评审。</w:t>
            </w:r>
          </w:p>
        </w:tc>
      </w:tr>
      <w:tr>
        <w:tc>
          <w:tcPr>
            <w:tcW w:type="dxa" w:w="922"/>
            <w:gridSpan w:val="2"/>
            <w:vMerge/>
          </w:tcPr>
          <w:p/>
        </w:tc>
        <w:tc>
          <w:tcPr>
            <w:tcW w:type="dxa" w:w="2307"/>
          </w:tcPr>
          <w:p>
            <w:pPr>
              <w:pStyle w:val="null3"/>
              <w:jc w:val="left"/>
            </w:pPr>
            <w:r>
              <w:rPr/>
              <w:t>总体需求的分析 (5.0分)</w:t>
            </w:r>
          </w:p>
        </w:tc>
        <w:tc>
          <w:tcPr>
            <w:tcW w:type="dxa" w:w="5076"/>
          </w:tcPr>
          <w:p>
            <w:pPr>
              <w:pStyle w:val="null3"/>
              <w:jc w:val="left"/>
            </w:pPr>
            <w:r>
              <w:rPr/>
              <w:t>根据各投标人对本服务项目的总体需求分析是否清晰、完整、严谨、合理，所提出的需求分析情况能否很好地满足项目服务目标要求，由评标委员会进行评分， 1.分析详细、可行、合理的得5分； 2.分析较详细、较可行、较合理的得2分； 3.分析不详细、较可行、较合理的得1分； 4.差或未提供的本项不得分。</w:t>
            </w:r>
          </w:p>
        </w:tc>
      </w:tr>
      <w:tr>
        <w:tc>
          <w:tcPr>
            <w:tcW w:type="dxa" w:w="922"/>
            <w:gridSpan w:val="2"/>
            <w:vMerge/>
          </w:tcPr>
          <w:p/>
        </w:tc>
        <w:tc>
          <w:tcPr>
            <w:tcW w:type="dxa" w:w="2307"/>
          </w:tcPr>
          <w:p>
            <w:pPr>
              <w:pStyle w:val="null3"/>
              <w:jc w:val="left"/>
            </w:pPr>
            <w:r>
              <w:rPr/>
              <w:t>服务衔接方案 (5.0分)</w:t>
            </w:r>
          </w:p>
        </w:tc>
        <w:tc>
          <w:tcPr>
            <w:tcW w:type="dxa" w:w="5076"/>
          </w:tcPr>
          <w:p>
            <w:pPr>
              <w:pStyle w:val="null3"/>
              <w:jc w:val="left"/>
            </w:pPr>
            <w:r>
              <w:rPr/>
              <w:t>根据投标人提供的项目中标接手项目后服务衔接方案（包括但不限于衔接时间计划、衔接内容、衔接方式等）要求衔接期（过渡期）不能影响医院现有业务的正常运行。由评委进行打分 1.完全无缝衔接，且衔接时间最短的得5分； 2.能在一周内完成工作衔接且不影响医院系统日常运行的得2分； 3.能在两周内完成工作衔接且不影响医院系统日常运行的得1分； 4.其余不得分。</w:t>
            </w:r>
          </w:p>
        </w:tc>
      </w:tr>
      <w:tr>
        <w:tc>
          <w:tcPr>
            <w:tcW w:type="dxa" w:w="922"/>
            <w:gridSpan w:val="2"/>
            <w:vMerge/>
          </w:tcPr>
          <w:p/>
        </w:tc>
        <w:tc>
          <w:tcPr>
            <w:tcW w:type="dxa" w:w="2307"/>
          </w:tcPr>
          <w:p>
            <w:pPr>
              <w:pStyle w:val="null3"/>
              <w:jc w:val="left"/>
            </w:pPr>
            <w:r>
              <w:rPr/>
              <w:t>运维服务方案 (4.0分)</w:t>
            </w:r>
          </w:p>
        </w:tc>
        <w:tc>
          <w:tcPr>
            <w:tcW w:type="dxa" w:w="5076"/>
          </w:tcPr>
          <w:p>
            <w:pPr>
              <w:pStyle w:val="null3"/>
              <w:jc w:val="left"/>
            </w:pPr>
            <w:r>
              <w:rPr/>
              <w:t>根据投标人的运维服务方案，运维服务承诺的可行性、完整性进行评审，内容包括但不限于运维服务内容、故障响应时间、响应方式： 1.运维服务方案科学、合理、内容全面详实、具有很强的针对性的得4分； 2.运维服务方案较科学、合理、内容较全面、针对性较强的得2分； 3.运维服务方案基本满足项目需求的得1分； 4.运维服务方案不满足项目需求或未提供不得分。</w:t>
            </w:r>
          </w:p>
        </w:tc>
      </w:tr>
      <w:tr>
        <w:tc>
          <w:tcPr>
            <w:tcW w:type="dxa" w:w="922"/>
            <w:gridSpan w:val="2"/>
            <w:vMerge/>
          </w:tcPr>
          <w:p/>
        </w:tc>
        <w:tc>
          <w:tcPr>
            <w:tcW w:type="dxa" w:w="2307"/>
          </w:tcPr>
          <w:p>
            <w:pPr>
              <w:pStyle w:val="null3"/>
              <w:jc w:val="left"/>
            </w:pPr>
            <w:r>
              <w:rPr/>
              <w:t>维护质量保障措施 (3.0分)</w:t>
            </w:r>
          </w:p>
        </w:tc>
        <w:tc>
          <w:tcPr>
            <w:tcW w:type="dxa" w:w="5076"/>
          </w:tcPr>
          <w:p>
            <w:pPr>
              <w:pStyle w:val="null3"/>
              <w:jc w:val="left"/>
            </w:pPr>
            <w:r>
              <w:rPr/>
              <w:t>根据维护质量保障措施情况进行评审： 1.提出的维护服务质量保证措施合理完善，修改、完善、调整和维护方案不会影响到原有系统结构、功能，能确保系统稳定、安全运转的，3分； 2.提出的维护服务质量保证措施基本合理，修改、完善、调整和维护方案基本不影响到原有系统结构、功能，能确保系统运转的，2分； 3.提出的维护服务质量保证措施一般，修改、完善、调整和维护方案对原有系统结构、功能影响小，能确保系统运转，1分； 4.提出的维护服务质量保证措施不合理，修改、完善、调整和维护方案会影响到原有系统结构、功能，不能确保系统运转的，0分。</w:t>
            </w:r>
          </w:p>
        </w:tc>
      </w:tr>
      <w:tr>
        <w:tc>
          <w:tcPr>
            <w:tcW w:type="dxa" w:w="922"/>
            <w:gridSpan w:val="2"/>
            <w:vMerge/>
          </w:tcPr>
          <w:p/>
        </w:tc>
        <w:tc>
          <w:tcPr>
            <w:tcW w:type="dxa" w:w="2307"/>
          </w:tcPr>
          <w:p>
            <w:pPr>
              <w:pStyle w:val="null3"/>
              <w:jc w:val="left"/>
            </w:pPr>
            <w:r>
              <w:rPr/>
              <w:t>应急预案 (2.0分)</w:t>
            </w:r>
          </w:p>
        </w:tc>
        <w:tc>
          <w:tcPr>
            <w:tcW w:type="dxa" w:w="5076"/>
          </w:tcPr>
          <w:p>
            <w:pPr>
              <w:pStyle w:val="null3"/>
              <w:jc w:val="left"/>
            </w:pPr>
            <w:r>
              <w:rPr/>
              <w:t>投标人应急方案内容包括故障响应及排除故障时间、具体保障措施得2分，每缺一项扣1 分，扣完为止。</w:t>
            </w:r>
          </w:p>
        </w:tc>
      </w:tr>
      <w:tr>
        <w:tc>
          <w:tcPr>
            <w:tcW w:type="dxa" w:w="922"/>
            <w:gridSpan w:val="2"/>
            <w:vMerge w:val="restart"/>
          </w:tcPr>
          <w:p>
            <w:pPr>
              <w:pStyle w:val="null3"/>
              <w:jc w:val="center"/>
            </w:pPr>
            <w:r>
              <w:rPr/>
              <w:t>商务部分</w:t>
            </w:r>
          </w:p>
        </w:tc>
        <w:tc>
          <w:tcPr>
            <w:tcW w:type="dxa" w:w="2307"/>
          </w:tcPr>
          <w:p>
            <w:pPr>
              <w:pStyle w:val="null3"/>
              <w:jc w:val="left"/>
            </w:pPr>
            <w:r>
              <w:rPr/>
              <w:t>项目经理 (6.0分)</w:t>
            </w:r>
          </w:p>
        </w:tc>
        <w:tc>
          <w:tcPr>
            <w:tcW w:type="dxa" w:w="5076"/>
          </w:tcPr>
          <w:p>
            <w:pPr>
              <w:pStyle w:val="null3"/>
              <w:jc w:val="left"/>
            </w:pPr>
            <w:r>
              <w:rPr/>
              <w:t>投标人针对本项目拟派遣的项目经理（1名）具备以下证书： 1.具有信息通信类的高级工程师职称证书； 2.具有计算机技术与软件专业技术资格（水平）的信息系统项目管理师证书； 3.具有计算机技术与软件专业技术资格（水平）的系统分析师证书； 4.具有计算机技术与软件专业技术资格（水平）的网络工程师证书。 每满足1项得1.5分，本项最高得6分。 注：需提供相应证书复印件、在投标人单位购买的投标截止日之前六个月内任意一个月的社保证明材料，否则不得分。</w:t>
            </w:r>
          </w:p>
        </w:tc>
      </w:tr>
      <w:tr>
        <w:tc>
          <w:tcPr>
            <w:tcW w:type="dxa" w:w="922"/>
            <w:gridSpan w:val="2"/>
            <w:vMerge/>
          </w:tcPr>
          <w:p/>
        </w:tc>
        <w:tc>
          <w:tcPr>
            <w:tcW w:type="dxa" w:w="2307"/>
          </w:tcPr>
          <w:p>
            <w:pPr>
              <w:pStyle w:val="null3"/>
              <w:jc w:val="left"/>
            </w:pPr>
            <w:r>
              <w:rPr/>
              <w:t>后台技术支持团队 (6.0分)</w:t>
            </w:r>
          </w:p>
        </w:tc>
        <w:tc>
          <w:tcPr>
            <w:tcW w:type="dxa" w:w="5076"/>
          </w:tcPr>
          <w:p>
            <w:pPr>
              <w:pStyle w:val="null3"/>
              <w:jc w:val="left"/>
            </w:pPr>
            <w:r>
              <w:rPr/>
              <w:t>一、系统功能改造技术负责人（1名）具备以下证书： 1.具备软考软件设计师证书； 2.具备软考系统规划与管理师证书； 3.具备软考系统架构设计师证书。 每满足1项得1分，本项最高得3分。 二、信息系统和集成平台运维负责人员（1名）具备以下证书： 1.具有网络工程师证书； 2.具有数据库系统工程师证书； 每满足1项得1.5分，本项最高3分。 注：需提供相应证书复印件、在投标人单位购买的投标截止日之前六个月内任意一个月的社保证明材料，否则不得分。</w:t>
            </w:r>
          </w:p>
        </w:tc>
      </w:tr>
      <w:tr>
        <w:tc>
          <w:tcPr>
            <w:tcW w:type="dxa" w:w="922"/>
            <w:gridSpan w:val="2"/>
            <w:vMerge/>
          </w:tcPr>
          <w:p/>
        </w:tc>
        <w:tc>
          <w:tcPr>
            <w:tcW w:type="dxa" w:w="2307"/>
          </w:tcPr>
          <w:p>
            <w:pPr>
              <w:pStyle w:val="null3"/>
              <w:jc w:val="left"/>
            </w:pPr>
            <w:r>
              <w:rPr/>
              <w:t>项目驻场成员 (4.0分)</w:t>
            </w:r>
          </w:p>
        </w:tc>
        <w:tc>
          <w:tcPr>
            <w:tcW w:type="dxa" w:w="5076"/>
          </w:tcPr>
          <w:p>
            <w:pPr>
              <w:pStyle w:val="null3"/>
              <w:jc w:val="left"/>
            </w:pPr>
            <w:r>
              <w:rPr/>
              <w:t>一、针对拟投入本项目的驻场人员，每提供1名得0.5分，最高得2分。 二、针对拟投入本项目的驻场人员，具有信息系统开发或运维工作经验，每提供一位得0.5分，最高得2分。 注：需提供带有项目人员名单的项目合同，或带有项目成员名单的项目评价表等相关工作经验证明材料，以及在投标人单位购买的投标截止日之前六个月内任意一个月的社保证明材料，否则不得分。</w:t>
            </w:r>
          </w:p>
        </w:tc>
      </w:tr>
      <w:tr>
        <w:tc>
          <w:tcPr>
            <w:tcW w:type="dxa" w:w="922"/>
            <w:gridSpan w:val="2"/>
            <w:vMerge/>
          </w:tcPr>
          <w:p/>
        </w:tc>
        <w:tc>
          <w:tcPr>
            <w:tcW w:type="dxa" w:w="2307"/>
          </w:tcPr>
          <w:p>
            <w:pPr>
              <w:pStyle w:val="null3"/>
              <w:jc w:val="left"/>
            </w:pPr>
            <w:r>
              <w:rPr/>
              <w:t>投标人管理体系情况 (3.0分)</w:t>
            </w:r>
          </w:p>
        </w:tc>
        <w:tc>
          <w:tcPr>
            <w:tcW w:type="dxa" w:w="5076"/>
          </w:tcPr>
          <w:p>
            <w:pPr>
              <w:pStyle w:val="null3"/>
              <w:jc w:val="left"/>
            </w:pPr>
            <w:r>
              <w:rPr/>
              <w:t>（1）质量管理体系认证证书；（2）职业健康安全管理体系认证证书；（3）环境管理体系认证证书。 注：1、须提供以上有效的证书复印件加投标人公章及在全国认证认可信息公共服务平台上http://cx.cnca.cn查询截图及链接（显示查询网址，并须提供链接），否则不得分；2、如因供应商成立时间原因导致无法获得上述评价的，按对应得分，供应商须进行说明。</w:t>
            </w:r>
          </w:p>
        </w:tc>
      </w:tr>
      <w:tr>
        <w:tc>
          <w:tcPr>
            <w:tcW w:type="dxa" w:w="922"/>
            <w:gridSpan w:val="2"/>
            <w:vMerge/>
          </w:tcPr>
          <w:p/>
        </w:tc>
        <w:tc>
          <w:tcPr>
            <w:tcW w:type="dxa" w:w="2307"/>
          </w:tcPr>
          <w:p>
            <w:pPr>
              <w:pStyle w:val="null3"/>
              <w:jc w:val="left"/>
            </w:pPr>
            <w:r>
              <w:rPr/>
              <w:t>项目经验【分支机构投标的，总公司（总所）业绩可纳入评审】 (4.0分)</w:t>
            </w:r>
          </w:p>
        </w:tc>
        <w:tc>
          <w:tcPr>
            <w:tcW w:type="dxa" w:w="5076"/>
          </w:tcPr>
          <w:p>
            <w:pPr>
              <w:pStyle w:val="null3"/>
              <w:jc w:val="left"/>
            </w:pPr>
            <w:r>
              <w:rPr/>
              <w:t>一、投标人2023年1月1日至今（以合同签订日期为准）具有信息系统运维类项目经验的业绩合同，每提满足一项得1分，最高得4分。 注：须提供合同关键页（含签订合同双方的单位名称、合同项目名称、合同清单/合同概况、与含签订合同双方的落款盖章、签订日期页）扫描件作为评审依据，无提供或提供不全或提供的证明材料不清晰明确，评委无法辨认的，则不得分。</w:t>
            </w:r>
          </w:p>
        </w:tc>
      </w:tr>
      <w:tr>
        <w:tc>
          <w:tcPr>
            <w:tcW w:type="dxa" w:w="922"/>
            <w:gridSpan w:val="2"/>
            <w:vMerge/>
          </w:tcPr>
          <w:p/>
        </w:tc>
        <w:tc>
          <w:tcPr>
            <w:tcW w:type="dxa" w:w="2307"/>
          </w:tcPr>
          <w:p>
            <w:pPr>
              <w:pStyle w:val="null3"/>
              <w:jc w:val="left"/>
            </w:pPr>
            <w:r>
              <w:rPr/>
              <w:t>客户评价 (2.0分)</w:t>
            </w:r>
          </w:p>
        </w:tc>
        <w:tc>
          <w:tcPr>
            <w:tcW w:type="dxa" w:w="5076"/>
          </w:tcPr>
          <w:p>
            <w:pPr>
              <w:pStyle w:val="null3"/>
              <w:jc w:val="left"/>
            </w:pPr>
            <w:r>
              <w:rPr/>
              <w:t>投标人2023年1月1日至今（以合同签订日期为准），承接过信息系统运维类项目业绩经验，由用户单位出具的满意度评价，评价情况至少须为“满意、优秀、优良或类似好评”的方可计分，每提满足一项得1分，最高得2分。 【注：同一客户或同一项目提供多项用户满意度评价的，按一项计算。】</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shd w:fill="FFFFFF" w:val="clear"/>
        </w:rPr>
        <w:t>广东省政府采购</w:t>
      </w:r>
    </w:p>
    <w:p>
      <w:pPr>
        <w:pStyle w:val="null3"/>
        <w:jc w:val="both"/>
      </w:pPr>
      <w:r>
        <w:rPr>
          <w:sz w:val="48"/>
          <w:b/>
          <w:shd w:fill="FFFFFF" w:val="clear"/>
        </w:rPr>
        <w:t>合　同　书</w:t>
      </w:r>
    </w:p>
    <w:p>
      <w:pPr>
        <w:pStyle w:val="null3"/>
        <w:jc w:val="center"/>
      </w:pPr>
      <w:r>
        <w:br/>
      </w:r>
      <w:r>
        <w:br/>
      </w:r>
      <w:r>
        <w:br/>
      </w:r>
      <w:r>
        <w:br/>
      </w:r>
      <w:r>
        <w:br/>
      </w:r>
      <w:r>
        <w:br/>
      </w:r>
      <w:r>
        <w:br/>
      </w:r>
      <w:r>
        <w:br/>
      </w:r>
    </w:p>
    <w:p>
      <w:pPr>
        <w:pStyle w:val="null3"/>
        <w:jc w:val="center"/>
      </w:pPr>
      <w:r>
        <w:rPr>
          <w:sz w:val="28"/>
          <w:shd w:fill="FFFFFF" w:val="clear"/>
        </w:rPr>
        <w:t>采购计划编号：</w:t>
      </w:r>
    </w:p>
    <w:p>
      <w:pPr>
        <w:pStyle w:val="null3"/>
        <w:jc w:val="both"/>
      </w:pPr>
      <w:r>
        <w:rPr>
          <w:sz w:val="28"/>
          <w:shd w:fill="FFFFFF" w:val="clear"/>
        </w:rPr>
        <w:t>项目编号：</w:t>
      </w:r>
    </w:p>
    <w:p>
      <w:pPr>
        <w:pStyle w:val="null3"/>
        <w:jc w:val="both"/>
      </w:pPr>
      <w:r>
        <w:rPr>
          <w:sz w:val="28"/>
          <w:shd w:fill="FFFFFF" w:val="clear"/>
        </w:rPr>
        <w:t>项目名称：</w:t>
      </w:r>
    </w:p>
    <w:p>
      <w:pPr>
        <w:pStyle w:val="null3"/>
        <w:jc w:val="both"/>
      </w:pPr>
      <w:r>
        <w:rPr>
          <w:sz w:val="24"/>
          <w:b/>
          <w:shd w:fill="FFFFFF" w:val="clear"/>
        </w:rPr>
        <w:t>注：本合同仅为合同的参考文本，合同签订双方可根据项目的具体要求进行修订。</w:t>
      </w:r>
    </w:p>
    <w:p>
      <w:pPr>
        <w:pStyle w:val="null3"/>
        <w:jc w:val="both"/>
      </w:pPr>
      <w:r>
        <w:br/>
      </w:r>
    </w:p>
    <w:p>
      <w:pPr>
        <w:pStyle w:val="null3"/>
        <w:jc w:val="both"/>
      </w:pPr>
      <w:r>
        <w:rPr/>
        <w:t xml:space="preserve"> </w:t>
      </w:r>
    </w:p>
    <w:p>
      <w:pPr>
        <w:pStyle w:val="null3"/>
        <w:jc w:val="center"/>
      </w:pPr>
      <w:r>
        <w:rPr>
          <w:sz w:val="36"/>
          <w:b/>
          <w:color w:val="000000"/>
        </w:rPr>
        <w:t>广州中医药大学第一附属医院</w:t>
      </w:r>
    </w:p>
    <w:p>
      <w:pPr>
        <w:pStyle w:val="null3"/>
        <w:jc w:val="center"/>
      </w:pPr>
      <w:r>
        <w:rPr>
          <w:sz w:val="36"/>
          <w:b/>
          <w:color w:val="000000"/>
        </w:rPr>
        <w:t>信息系统及集成平台运维服务项目合同</w:t>
      </w:r>
    </w:p>
    <w:p>
      <w:pPr>
        <w:pStyle w:val="null3"/>
        <w:ind w:firstLine="462"/>
        <w:jc w:val="both"/>
      </w:pPr>
      <w:r>
        <w:rPr/>
        <w:t xml:space="preserve"> </w:t>
      </w:r>
    </w:p>
    <w:p>
      <w:pPr>
        <w:pStyle w:val="null3"/>
        <w:ind w:firstLine="462"/>
        <w:jc w:val="both"/>
      </w:pPr>
      <w:r>
        <w:rPr>
          <w:sz w:val="23"/>
          <w:b/>
          <w:color w:val="000000"/>
        </w:rPr>
        <w:t>甲方：广州中医药大学第一附属医院</w:t>
      </w:r>
    </w:p>
    <w:p>
      <w:pPr>
        <w:pStyle w:val="null3"/>
        <w:ind w:firstLine="462"/>
        <w:jc w:val="both"/>
      </w:pPr>
      <w:r>
        <w:rPr>
          <w:sz w:val="23"/>
          <w:b/>
          <w:color w:val="000000"/>
        </w:rPr>
        <w:t>乙方：</w:t>
      </w:r>
      <w:r>
        <w:rPr>
          <w:sz w:val="23"/>
          <w:b/>
          <w:color w:val="000000"/>
        </w:rPr>
        <w:t>XXXXXXXXXX</w:t>
      </w:r>
      <w:r>
        <w:rPr>
          <w:sz w:val="23"/>
          <w:b/>
          <w:color w:val="000000"/>
        </w:rPr>
        <w:t>公司</w:t>
      </w:r>
    </w:p>
    <w:p>
      <w:pPr>
        <w:pStyle w:val="null3"/>
        <w:ind w:firstLine="420"/>
        <w:jc w:val="both"/>
      </w:pPr>
      <w:r>
        <w:rPr>
          <w:sz w:val="21"/>
          <w:color w:val="000000"/>
        </w:rPr>
        <w:t>根据《中华人民共和国</w:t>
      </w:r>
      <w:r>
        <w:rPr>
          <w:sz w:val="23"/>
          <w:color w:val="000000"/>
        </w:rPr>
        <w:t>民法典</w:t>
      </w:r>
      <w:r>
        <w:rPr>
          <w:sz w:val="21"/>
          <w:color w:val="000000"/>
        </w:rPr>
        <w:t>》及国家有关法律、法规，广州中医药大学第一附属医院采购项目的招标结果和招标文件的要求，</w:t>
      </w:r>
      <w:r>
        <w:rPr>
          <w:sz w:val="21"/>
          <w:color w:val="000000"/>
        </w:rPr>
        <w:t>本着自愿、平等、诚信的原则，</w:t>
      </w:r>
      <w:r>
        <w:rPr>
          <w:sz w:val="21"/>
          <w:color w:val="000000"/>
        </w:rPr>
        <w:t>甲、乙双方经协商确定，甲方向乙方</w:t>
      </w:r>
      <w:r>
        <w:rPr>
          <w:sz w:val="21"/>
          <w:color w:val="000000"/>
        </w:rPr>
        <w:t>订</w:t>
      </w:r>
      <w:r>
        <w:rPr>
          <w:sz w:val="21"/>
          <w:color w:val="000000"/>
        </w:rPr>
        <w:t>购</w:t>
      </w:r>
      <w:r>
        <w:rPr>
          <w:sz w:val="21"/>
        </w:rPr>
        <w:t>广州中医药大学第一附属医院信息系统及集成平台运维服务</w:t>
      </w:r>
      <w:r>
        <w:rPr>
          <w:sz w:val="21"/>
          <w:color w:val="000000"/>
        </w:rPr>
        <w:t>，为明确双方责任和权利，特签订本合同，共同遵守。具体条款如下：</w:t>
      </w:r>
    </w:p>
    <w:p>
      <w:pPr>
        <w:pStyle w:val="null3"/>
        <w:jc w:val="both"/>
      </w:pPr>
      <w:r>
        <w:rPr>
          <w:sz w:val="21"/>
          <w:b/>
        </w:rPr>
        <w:t>第</w:t>
      </w:r>
      <w:r>
        <w:rPr>
          <w:sz w:val="21"/>
          <w:b/>
        </w:rPr>
        <w:t>1条  服务项目</w:t>
      </w:r>
    </w:p>
    <w:p>
      <w:pPr>
        <w:pStyle w:val="null3"/>
        <w:ind w:firstLine="210"/>
        <w:jc w:val="both"/>
      </w:pPr>
      <w:r>
        <w:rPr>
          <w:sz w:val="21"/>
        </w:rPr>
        <w:t>1.1 服务范围：见附件一《</w:t>
      </w:r>
      <w:r>
        <w:rPr>
          <w:sz w:val="21"/>
        </w:rPr>
        <w:t>广州中医药大学第一附属医院信息系统及集成平台运维服务</w:t>
      </w:r>
      <w:r>
        <w:rPr>
          <w:sz w:val="21"/>
          <w:color w:val="000000"/>
        </w:rPr>
        <w:t>项目</w:t>
      </w:r>
      <w:r>
        <w:rPr>
          <w:sz w:val="21"/>
        </w:rPr>
        <w:t>服务范围及内容》</w:t>
      </w:r>
    </w:p>
    <w:p>
      <w:pPr>
        <w:pStyle w:val="null3"/>
        <w:ind w:firstLine="210"/>
        <w:jc w:val="both"/>
      </w:pPr>
      <w:r>
        <w:rPr>
          <w:sz w:val="21"/>
        </w:rPr>
        <w:t>1.2 服务内容：【注释：服务内容自行根据实际需求修改，注意须根考核指标保持一致】</w:t>
      </w:r>
    </w:p>
    <w:p>
      <w:pPr>
        <w:pStyle w:val="null3"/>
        <w:jc w:val="both"/>
      </w:pPr>
      <w:r>
        <w:rPr>
          <w:sz w:val="21"/>
        </w:rPr>
        <w:t>（</w:t>
      </w:r>
      <w:r>
        <w:rPr>
          <w:sz w:val="21"/>
        </w:rPr>
        <w:t>1）</w:t>
      </w:r>
      <w:r>
        <w:rPr>
          <w:sz w:val="21"/>
        </w:rPr>
        <w:t>乙方</w:t>
      </w:r>
      <w:r>
        <w:rPr>
          <w:sz w:val="21"/>
        </w:rPr>
        <w:t>为医院提</w:t>
      </w:r>
      <w:r>
        <w:rPr>
          <w:sz w:val="21"/>
        </w:rPr>
        <w:t>供故障应急服务：</w:t>
      </w:r>
    </w:p>
    <w:p>
      <w:pPr>
        <w:pStyle w:val="null3"/>
        <w:numPr>
          <w:ilvl w:val="0"/>
          <w:numId w:val="1"/>
        </w:numPr>
        <w:jc w:val="both"/>
      </w:pPr>
      <w:r>
        <w:rPr>
          <w:sz w:val="21"/>
          <w:color w:val="000000"/>
        </w:rPr>
        <w:t>每周</w:t>
      </w:r>
      <w:r>
        <w:rPr>
          <w:sz w:val="21"/>
          <w:color w:val="000000"/>
        </w:rPr>
        <w:t>7×24小时（包括节假日）提供电话故障应急服务,提供通过即时通讯工具（如QQ、微信、邮件等）进行提交问题、查询问题、解决问题的服务。随时提供技术支持，分析系统故障、解答疑难问题、提供改进建议。</w:t>
      </w:r>
    </w:p>
    <w:p>
      <w:pPr>
        <w:pStyle w:val="null3"/>
        <w:numPr>
          <w:ilvl w:val="0"/>
          <w:numId w:val="1"/>
        </w:numPr>
      </w:pPr>
      <w:r>
        <w:rPr>
          <w:sz w:val="21"/>
          <w:color w:val="000000"/>
        </w:rPr>
        <w:t>提供备份恢复服务，为服务器、客户端、采集、打印机等建立应急备份机制，在发生通常故障时院方能快</w:t>
      </w:r>
      <w:r>
        <w:rPr>
          <w:sz w:val="21"/>
          <w:color w:val="000000"/>
        </w:rPr>
        <w:t>速应用备份策略，保证系统维持基本运转，直至系统恢复。</w:t>
      </w:r>
    </w:p>
    <w:p>
      <w:pPr>
        <w:pStyle w:val="null3"/>
        <w:jc w:val="both"/>
      </w:pPr>
      <w:r>
        <w:rPr>
          <w:sz w:val="21"/>
        </w:rPr>
        <w:t>（</w:t>
      </w:r>
      <w:r>
        <w:rPr>
          <w:sz w:val="21"/>
        </w:rPr>
        <w:t>2</w:t>
      </w:r>
      <w:r>
        <w:rPr>
          <w:sz w:val="21"/>
        </w:rPr>
        <w:t>）</w:t>
      </w:r>
      <w:r>
        <w:rPr>
          <w:sz w:val="21"/>
          <w:color w:val="000000"/>
        </w:rPr>
        <w:t>乙方为医院提供故障维护服务：配合甲方解决系统运行过程中由于网络、服务器、计算机、操作系统等原因所产生的软件无法正常运行的情况，保障系统的正常运行，并在完成故障处理后出具产品</w:t>
      </w:r>
      <w:r>
        <w:rPr>
          <w:sz w:val="21"/>
        </w:rPr>
        <w:t>维护报告，包含问题的原因、解决办法</w:t>
      </w:r>
      <w:r>
        <w:rPr>
          <w:sz w:val="21"/>
        </w:rPr>
        <w:t>及建议。</w:t>
      </w:r>
    </w:p>
    <w:p>
      <w:pPr>
        <w:pStyle w:val="null3"/>
        <w:jc w:val="both"/>
      </w:pPr>
      <w:r>
        <w:rPr>
          <w:sz w:val="21"/>
        </w:rPr>
        <w:t>（</w:t>
      </w:r>
      <w:r>
        <w:rPr>
          <w:sz w:val="21"/>
        </w:rPr>
        <w:t>3</w:t>
      </w:r>
      <w:r>
        <w:rPr>
          <w:sz w:val="21"/>
        </w:rPr>
        <w:t>）</w:t>
      </w:r>
      <w:r>
        <w:rPr>
          <w:sz w:val="21"/>
        </w:rPr>
        <w:t>乙方</w:t>
      </w:r>
      <w:r>
        <w:rPr>
          <w:sz w:val="21"/>
        </w:rPr>
        <w:t>为</w:t>
      </w:r>
      <w:r>
        <w:rPr>
          <w:sz w:val="21"/>
        </w:rPr>
        <w:t>甲方</w:t>
      </w:r>
      <w:r>
        <w:rPr>
          <w:sz w:val="21"/>
        </w:rPr>
        <w:t>提供软件正确性维护服务：软件运行过程中新发现的软件错误，负责维护并及时改进，同时向</w:t>
      </w:r>
      <w:r>
        <w:rPr>
          <w:sz w:val="21"/>
        </w:rPr>
        <w:t>甲方</w:t>
      </w:r>
      <w:r>
        <w:rPr>
          <w:sz w:val="21"/>
        </w:rPr>
        <w:t>提供软件维护说明。</w:t>
      </w:r>
    </w:p>
    <w:p>
      <w:pPr>
        <w:pStyle w:val="null3"/>
        <w:jc w:val="both"/>
      </w:pPr>
      <w:r>
        <w:rPr>
          <w:sz w:val="21"/>
        </w:rPr>
        <w:t>（</w:t>
      </w:r>
      <w:r>
        <w:rPr>
          <w:sz w:val="21"/>
        </w:rPr>
        <w:t>4）</w:t>
      </w:r>
      <w:r>
        <w:rPr>
          <w:sz w:val="21"/>
        </w:rPr>
        <w:t>乙方</w:t>
      </w:r>
      <w:r>
        <w:rPr>
          <w:sz w:val="21"/>
        </w:rPr>
        <w:t>为</w:t>
      </w:r>
      <w:r>
        <w:rPr>
          <w:sz w:val="21"/>
        </w:rPr>
        <w:t>甲方</w:t>
      </w:r>
      <w:r>
        <w:rPr>
          <w:sz w:val="21"/>
        </w:rPr>
        <w:t>提供</w:t>
      </w:r>
      <w:r>
        <w:rPr>
          <w:sz w:val="21"/>
        </w:rPr>
        <w:t>软件功能修改服务：应甲方的需求，政策性任务必须按照政策要求进度及时限完成，非政策性需求需按照医院规定进度及时限完成对系统现有功能的修改或升级，并保证修改或升级后软件功能的可用性与稳定性。</w:t>
      </w:r>
    </w:p>
    <w:p>
      <w:pPr>
        <w:pStyle w:val="null3"/>
        <w:jc w:val="both"/>
      </w:pPr>
      <w:r>
        <w:rPr>
          <w:sz w:val="21"/>
          <w:color w:val="000000"/>
        </w:rPr>
        <w:t>（</w:t>
      </w:r>
      <w:r>
        <w:rPr>
          <w:sz w:val="21"/>
          <w:color w:val="000000"/>
        </w:rPr>
        <w:t>5</w:t>
      </w:r>
      <w:r>
        <w:rPr>
          <w:sz w:val="21"/>
          <w:color w:val="000000"/>
        </w:rPr>
        <w:t>）</w:t>
      </w:r>
      <w:r>
        <w:rPr>
          <w:sz w:val="21"/>
        </w:rPr>
        <w:t>乙方</w:t>
      </w:r>
      <w:r>
        <w:rPr>
          <w:sz w:val="21"/>
        </w:rPr>
        <w:t>为医院提供用户培训服务：负责软件更改后造成</w:t>
      </w:r>
      <w:r>
        <w:rPr>
          <w:sz w:val="21"/>
          <w:color w:val="000000"/>
        </w:rPr>
        <w:t>软件操作变化的使用培训，培训对象为</w:t>
      </w:r>
      <w:r>
        <w:rPr>
          <w:sz w:val="21"/>
          <w:color w:val="000000"/>
        </w:rPr>
        <w:t>甲方</w:t>
      </w:r>
      <w:r>
        <w:rPr>
          <w:sz w:val="21"/>
          <w:color w:val="000000"/>
        </w:rPr>
        <w:t>的医生、护士、技术工程师、业务科室的关键用户。同时向</w:t>
      </w:r>
      <w:r>
        <w:rPr>
          <w:sz w:val="21"/>
          <w:color w:val="000000"/>
        </w:rPr>
        <w:t>甲方</w:t>
      </w:r>
      <w:r>
        <w:rPr>
          <w:sz w:val="21"/>
          <w:color w:val="000000"/>
        </w:rPr>
        <w:t>提供新功能使用说明。</w:t>
      </w:r>
    </w:p>
    <w:p>
      <w:pPr>
        <w:pStyle w:val="null3"/>
        <w:jc w:val="both"/>
      </w:pPr>
      <w:r>
        <w:rPr>
          <w:sz w:val="21"/>
          <w:color w:val="000000"/>
        </w:rPr>
        <w:t>（</w:t>
      </w:r>
      <w:r>
        <w:rPr>
          <w:sz w:val="21"/>
          <w:color w:val="000000"/>
        </w:rPr>
        <w:t>6</w:t>
      </w:r>
      <w:r>
        <w:rPr>
          <w:sz w:val="21"/>
          <w:color w:val="000000"/>
        </w:rPr>
        <w:t>）</w:t>
      </w:r>
      <w:r>
        <w:rPr>
          <w:sz w:val="21"/>
          <w:color w:val="000000"/>
        </w:rPr>
        <w:t>乙方</w:t>
      </w:r>
      <w:r>
        <w:rPr>
          <w:sz w:val="21"/>
          <w:color w:val="000000"/>
        </w:rPr>
        <w:t>为</w:t>
      </w:r>
      <w:r>
        <w:rPr>
          <w:sz w:val="21"/>
          <w:color w:val="000000"/>
        </w:rPr>
        <w:t>甲方</w:t>
      </w:r>
      <w:r>
        <w:rPr>
          <w:sz w:val="21"/>
          <w:color w:val="000000"/>
        </w:rPr>
        <w:t>提供定时巡检服务：经</w:t>
      </w:r>
      <w:r>
        <w:rPr>
          <w:sz w:val="21"/>
          <w:color w:val="000000"/>
        </w:rPr>
        <w:t>甲方</w:t>
      </w:r>
      <w:r>
        <w:rPr>
          <w:sz w:val="21"/>
          <w:color w:val="000000"/>
        </w:rPr>
        <w:t>许可，每季度进行一次定期现场巡检，对应用软件的软硬件环境进行检查，发现系统稳定运行的隐患因素并及时排除。向</w:t>
      </w:r>
      <w:r>
        <w:rPr>
          <w:sz w:val="21"/>
          <w:color w:val="000000"/>
        </w:rPr>
        <w:t>甲方</w:t>
      </w:r>
      <w:r>
        <w:rPr>
          <w:sz w:val="21"/>
          <w:color w:val="000000"/>
        </w:rPr>
        <w:t>出具系统巡检报告，内容包含巡检范围、结果及巡检建议。</w:t>
      </w:r>
    </w:p>
    <w:p>
      <w:pPr>
        <w:pStyle w:val="null3"/>
        <w:jc w:val="both"/>
      </w:pPr>
      <w:r>
        <w:rPr>
          <w:sz w:val="21"/>
          <w:color w:val="000000"/>
        </w:rPr>
        <w:t>（</w:t>
      </w:r>
      <w:r>
        <w:rPr>
          <w:sz w:val="21"/>
          <w:color w:val="000000"/>
        </w:rPr>
        <w:t>7）</w:t>
      </w:r>
      <w:r>
        <w:rPr>
          <w:sz w:val="21"/>
          <w:color w:val="000000"/>
        </w:rPr>
        <w:t>乙方</w:t>
      </w:r>
      <w:r>
        <w:rPr>
          <w:sz w:val="21"/>
          <w:color w:val="000000"/>
        </w:rPr>
        <w:t>为医院提供数据库优化服务：提供数据库基本维护服务，定期检查表空间使用情况、数据文件存储情况，维持数据库稳定性。提供数据库优化服务，定期清理垃圾数据，对数据库运行参数进行优化。</w:t>
      </w:r>
    </w:p>
    <w:p>
      <w:pPr>
        <w:pStyle w:val="null3"/>
        <w:jc w:val="both"/>
      </w:pPr>
      <w:r>
        <w:rPr>
          <w:sz w:val="21"/>
          <w:color w:val="000000"/>
        </w:rPr>
        <w:t>（</w:t>
      </w:r>
      <w:r>
        <w:rPr>
          <w:sz w:val="21"/>
          <w:color w:val="000000"/>
        </w:rPr>
        <w:t>8）</w:t>
      </w:r>
      <w:r>
        <w:rPr>
          <w:sz w:val="21"/>
          <w:color w:val="000000"/>
        </w:rPr>
        <w:t>乙方</w:t>
      </w:r>
      <w:r>
        <w:rPr>
          <w:sz w:val="21"/>
          <w:color w:val="000000"/>
        </w:rPr>
        <w:t>为医院提供系统建议：系统在运行过程中，不定期地向</w:t>
      </w:r>
      <w:r>
        <w:rPr>
          <w:sz w:val="21"/>
          <w:color w:val="000000"/>
        </w:rPr>
        <w:t>甲方</w:t>
      </w:r>
      <w:r>
        <w:rPr>
          <w:sz w:val="21"/>
          <w:color w:val="000000"/>
        </w:rPr>
        <w:t>提供科室软件建设建议方案。</w:t>
      </w:r>
    </w:p>
    <w:p>
      <w:pPr>
        <w:pStyle w:val="null3"/>
        <w:ind w:right="15"/>
        <w:jc w:val="left"/>
      </w:pPr>
      <w:r>
        <w:rPr>
          <w:sz w:val="21"/>
          <w:color w:val="000000"/>
        </w:rPr>
        <w:t>（</w:t>
      </w:r>
      <w:r>
        <w:rPr>
          <w:sz w:val="21"/>
          <w:color w:val="000000"/>
        </w:rPr>
        <w:t>9）</w:t>
      </w:r>
      <w:r>
        <w:rPr>
          <w:sz w:val="21"/>
          <w:color w:val="000000"/>
        </w:rPr>
        <w:t>接口设计：</w:t>
      </w:r>
      <w:r>
        <w:rPr>
          <w:sz w:val="21"/>
          <w:color w:val="000000"/>
        </w:rPr>
        <w:t>支持与医院集成平台对接，系统功能模块满足国家信息互联互通成熟度测评五级乙等要求和国家电子病历系统功能应用七级水平标准，能按照要求进行</w:t>
      </w:r>
      <w:r>
        <w:rPr>
          <w:sz w:val="21"/>
          <w:color w:val="000000"/>
        </w:rPr>
        <w:t>SSO单点登录和相关服务对接，提供相关数据集及共享文档，并支持与如HIS、CDSS等医院内信息系统的接口对接。</w:t>
      </w:r>
    </w:p>
    <w:p>
      <w:pPr>
        <w:pStyle w:val="null3"/>
        <w:jc w:val="both"/>
      </w:pPr>
      <w:r>
        <w:rPr>
          <w:sz w:val="21"/>
          <w:color w:val="000000"/>
        </w:rPr>
        <w:t>（</w:t>
      </w:r>
      <w:r>
        <w:rPr>
          <w:sz w:val="21"/>
          <w:color w:val="000000"/>
        </w:rPr>
        <w:t>10</w:t>
      </w:r>
      <w:r>
        <w:rPr>
          <w:sz w:val="21"/>
          <w:color w:val="000000"/>
        </w:rPr>
        <w:t>）</w:t>
      </w:r>
      <w:r>
        <w:rPr>
          <w:sz w:val="21"/>
          <w:color w:val="000000"/>
        </w:rPr>
        <w:t>网络安全：符合网络安全等级保护制度</w:t>
      </w:r>
      <w:r>
        <w:rPr>
          <w:sz w:val="21"/>
          <w:color w:val="000000"/>
        </w:rPr>
        <w:t>2.0</w:t>
      </w:r>
      <w:r>
        <w:rPr>
          <w:sz w:val="21"/>
          <w:color w:val="000000"/>
        </w:rPr>
        <w:t>相关标准建设要求。</w:t>
      </w:r>
    </w:p>
    <w:p>
      <w:pPr>
        <w:pStyle w:val="null3"/>
        <w:jc w:val="both"/>
      </w:pPr>
      <w:r>
        <w:rPr>
          <w:sz w:val="21"/>
          <w:color w:val="000000"/>
        </w:rPr>
        <w:t>（</w:t>
      </w:r>
      <w:r>
        <w:rPr>
          <w:sz w:val="21"/>
          <w:color w:val="000000"/>
        </w:rPr>
        <w:t>11</w:t>
      </w:r>
      <w:r>
        <w:rPr>
          <w:sz w:val="21"/>
          <w:color w:val="000000"/>
        </w:rPr>
        <w:t>）</w:t>
      </w:r>
      <w:r>
        <w:rPr>
          <w:sz w:val="21"/>
          <w:color w:val="000000"/>
        </w:rPr>
        <w:t>测评配合：支持配合</w:t>
      </w:r>
      <w:r>
        <w:rPr>
          <w:sz w:val="21"/>
          <w:color w:val="000000"/>
        </w:rPr>
        <w:t>甲方</w:t>
      </w:r>
      <w:r>
        <w:rPr>
          <w:sz w:val="21"/>
          <w:color w:val="000000"/>
        </w:rPr>
        <w:t>国家信息互联互通成熟度测评五级乙等和国家电子病历系统功能应用</w:t>
      </w:r>
      <w:r>
        <w:rPr>
          <w:sz w:val="21"/>
          <w:color w:val="000000"/>
        </w:rPr>
        <w:t>七</w:t>
      </w:r>
      <w:r>
        <w:rPr>
          <w:sz w:val="21"/>
          <w:color w:val="000000"/>
        </w:rPr>
        <w:t>级水平标准测评现场服务。</w:t>
      </w:r>
    </w:p>
    <w:p>
      <w:pPr>
        <w:pStyle w:val="null3"/>
        <w:jc w:val="both"/>
      </w:pPr>
      <w:r>
        <w:rPr>
          <w:sz w:val="21"/>
          <w:color w:val="000000"/>
        </w:rPr>
        <w:t>（</w:t>
      </w:r>
      <w:r>
        <w:rPr>
          <w:sz w:val="21"/>
          <w:color w:val="000000"/>
        </w:rPr>
        <w:t>12</w:t>
      </w:r>
      <w:r>
        <w:rPr>
          <w:sz w:val="21"/>
          <w:color w:val="000000"/>
        </w:rPr>
        <w:t>）</w:t>
      </w:r>
      <w:r>
        <w:rPr>
          <w:sz w:val="21"/>
          <w:color w:val="000000"/>
        </w:rPr>
        <w:t>故障响应时间：</w:t>
      </w:r>
    </w:p>
    <w:p>
      <w:pPr>
        <w:pStyle w:val="null3"/>
        <w:numPr>
          <w:ilvl w:val="0"/>
          <w:numId w:val="1"/>
        </w:numPr>
      </w:pPr>
      <w:r>
        <w:rPr>
          <w:sz w:val="21"/>
          <w:color w:val="000000"/>
        </w:rPr>
        <w:t>乙方</w:t>
      </w:r>
      <w:r>
        <w:rPr>
          <w:sz w:val="21"/>
          <w:color w:val="000000"/>
        </w:rPr>
        <w:t>在维护期内，如软件系统故障，在接到通知后</w:t>
      </w:r>
      <w:r>
        <w:rPr>
          <w:sz w:val="21"/>
          <w:color w:val="000000"/>
        </w:rPr>
        <w:t>15</w:t>
      </w:r>
      <w:r>
        <w:rPr>
          <w:sz w:val="21"/>
          <w:color w:val="000000"/>
        </w:rPr>
        <w:t>分钟内予以响应，共同协商解决方案。</w:t>
      </w:r>
    </w:p>
    <w:p>
      <w:pPr>
        <w:pStyle w:val="null3"/>
        <w:numPr>
          <w:ilvl w:val="0"/>
          <w:numId w:val="1"/>
        </w:numPr>
      </w:pPr>
      <w:r>
        <w:rPr>
          <w:sz w:val="21"/>
          <w:color w:val="000000"/>
        </w:rPr>
        <w:t>若需要工程师前往现场，除约定到达时间外，在</w:t>
      </w:r>
      <w:r>
        <w:rPr>
          <w:sz w:val="21"/>
          <w:color w:val="000000"/>
        </w:rPr>
        <w:t>1</w:t>
      </w:r>
      <w:r>
        <w:rPr>
          <w:sz w:val="21"/>
          <w:color w:val="000000"/>
        </w:rPr>
        <w:t>小时到达指定现场。</w:t>
      </w:r>
    </w:p>
    <w:p>
      <w:pPr>
        <w:pStyle w:val="null3"/>
        <w:numPr>
          <w:ilvl w:val="0"/>
          <w:numId w:val="1"/>
        </w:numPr>
      </w:pPr>
      <w:r>
        <w:rPr>
          <w:sz w:val="21"/>
          <w:color w:val="000000"/>
        </w:rPr>
        <w:t>乙方</w:t>
      </w:r>
      <w:r>
        <w:rPr>
          <w:sz w:val="21"/>
          <w:color w:val="000000"/>
        </w:rPr>
        <w:t>工程师在到达现场后，经现场调查后，除约定时间外，</w:t>
      </w:r>
      <w:r>
        <w:rPr>
          <w:sz w:val="21"/>
          <w:color w:val="000000"/>
        </w:rPr>
        <w:t>2</w:t>
      </w:r>
      <w:r>
        <w:rPr>
          <w:sz w:val="21"/>
          <w:color w:val="000000"/>
        </w:rPr>
        <w:t>小时内排除故障。</w:t>
      </w:r>
    </w:p>
    <w:p>
      <w:pPr>
        <w:pStyle w:val="null3"/>
        <w:numPr>
          <w:ilvl w:val="0"/>
          <w:numId w:val="1"/>
        </w:numPr>
      </w:pPr>
      <w:r>
        <w:rPr>
          <w:sz w:val="21"/>
          <w:color w:val="000000"/>
        </w:rPr>
        <w:t>如</w:t>
      </w:r>
      <w:r>
        <w:rPr>
          <w:sz w:val="21"/>
          <w:color w:val="000000"/>
        </w:rPr>
        <w:t>甲方</w:t>
      </w:r>
      <w:r>
        <w:rPr>
          <w:sz w:val="21"/>
          <w:color w:val="000000"/>
        </w:rPr>
        <w:t>因需求修改要求</w:t>
      </w:r>
      <w:r>
        <w:rPr>
          <w:sz w:val="21"/>
          <w:color w:val="000000"/>
        </w:rPr>
        <w:t>乙方</w:t>
      </w:r>
      <w:r>
        <w:rPr>
          <w:sz w:val="21"/>
          <w:color w:val="000000"/>
        </w:rPr>
        <w:t>工程师现场维护的，</w:t>
      </w:r>
      <w:r>
        <w:rPr>
          <w:sz w:val="21"/>
          <w:color w:val="000000"/>
        </w:rPr>
        <w:t>乙方</w:t>
      </w:r>
      <w:r>
        <w:rPr>
          <w:sz w:val="21"/>
          <w:color w:val="000000"/>
        </w:rPr>
        <w:t>在</w:t>
      </w:r>
      <w:r>
        <w:rPr>
          <w:sz w:val="21"/>
          <w:color w:val="000000"/>
        </w:rPr>
        <w:t>24</w:t>
      </w:r>
      <w:r>
        <w:rPr>
          <w:sz w:val="21"/>
          <w:color w:val="000000"/>
        </w:rPr>
        <w:t>小时内予以回应，给出具体解决方案和时间表，经</w:t>
      </w:r>
      <w:r>
        <w:rPr>
          <w:sz w:val="21"/>
          <w:color w:val="000000"/>
        </w:rPr>
        <w:t>甲方</w:t>
      </w:r>
      <w:r>
        <w:rPr>
          <w:sz w:val="21"/>
          <w:color w:val="000000"/>
        </w:rPr>
        <w:t>批准后，遵照方案、时间表及本合同约定执行。</w:t>
      </w:r>
    </w:p>
    <w:p>
      <w:pPr>
        <w:pStyle w:val="null3"/>
        <w:jc w:val="both"/>
      </w:pPr>
      <w:r>
        <w:rPr>
          <w:sz w:val="21"/>
          <w:color w:val="000000"/>
        </w:rPr>
        <w:t>（</w:t>
      </w:r>
      <w:r>
        <w:rPr>
          <w:sz w:val="21"/>
          <w:color w:val="000000"/>
        </w:rPr>
        <w:t>13</w:t>
      </w:r>
      <w:r>
        <w:rPr>
          <w:sz w:val="21"/>
          <w:color w:val="000000"/>
        </w:rPr>
        <w:t>）</w:t>
      </w:r>
      <w:r>
        <w:rPr>
          <w:sz w:val="21"/>
          <w:color w:val="000000"/>
        </w:rPr>
        <w:t>文档管理：</w:t>
      </w:r>
      <w:r>
        <w:rPr>
          <w:sz w:val="21"/>
          <w:color w:val="000000"/>
        </w:rPr>
        <w:t>乙方</w:t>
      </w:r>
      <w:r>
        <w:rPr>
          <w:sz w:val="21"/>
          <w:color w:val="000000"/>
        </w:rPr>
        <w:t>提供和完善相关服务工作文档（软件更新的内容说明和常见问题的解决方法说明）。</w:t>
      </w:r>
      <w:r>
        <w:rPr>
          <w:sz w:val="21"/>
          <w:color w:val="000000"/>
        </w:rPr>
        <w:t>程序更新修改后，乙方需要提供：</w:t>
      </w:r>
    </w:p>
    <w:p>
      <w:pPr>
        <w:pStyle w:val="null3"/>
        <w:numPr>
          <w:ilvl w:val="0"/>
          <w:numId w:val="1"/>
        </w:numPr>
      </w:pPr>
      <w:r>
        <w:rPr>
          <w:sz w:val="21"/>
          <w:color w:val="000000"/>
        </w:rPr>
        <w:t>技术文件：应能够满足乙方对甲方所提供的软件安装、使用、维护、应用开发的需要；</w:t>
      </w:r>
    </w:p>
    <w:p>
      <w:pPr>
        <w:pStyle w:val="null3"/>
        <w:numPr>
          <w:ilvl w:val="0"/>
          <w:numId w:val="1"/>
        </w:numPr>
      </w:pPr>
      <w:r>
        <w:rPr>
          <w:sz w:val="21"/>
          <w:color w:val="000000"/>
        </w:rPr>
        <w:t>系统维护手册、乙方的测试报告和数据结构说明书；</w:t>
      </w:r>
    </w:p>
    <w:p>
      <w:pPr>
        <w:pStyle w:val="null3"/>
        <w:numPr>
          <w:ilvl w:val="0"/>
          <w:numId w:val="1"/>
        </w:numPr>
      </w:pPr>
      <w:r>
        <w:rPr>
          <w:sz w:val="21"/>
          <w:color w:val="000000"/>
        </w:rPr>
        <w:t>提供的文档和资料均应以磁介质</w:t>
      </w:r>
      <w:r>
        <w:rPr>
          <w:sz w:val="21"/>
          <w:color w:val="000000"/>
        </w:rPr>
        <w:t>(或光盘)和纸张为载体，文件格式为Word文档或PDF文档或其他可视化文件。</w:t>
      </w:r>
    </w:p>
    <w:p>
      <w:pPr>
        <w:pStyle w:val="null3"/>
        <w:jc w:val="both"/>
      </w:pPr>
      <w:r>
        <w:rPr>
          <w:sz w:val="21"/>
          <w:color w:val="000000"/>
        </w:rPr>
        <w:t>（</w:t>
      </w:r>
      <w:r>
        <w:rPr>
          <w:sz w:val="21"/>
          <w:color w:val="000000"/>
        </w:rPr>
        <w:t>14）</w:t>
      </w:r>
      <w:r>
        <w:rPr>
          <w:sz w:val="21"/>
          <w:color w:val="000000"/>
        </w:rPr>
        <w:t>定期回访：</w:t>
      </w:r>
      <w:r>
        <w:rPr>
          <w:sz w:val="21"/>
          <w:color w:val="000000"/>
        </w:rPr>
        <w:t>乙方</w:t>
      </w:r>
      <w:r>
        <w:rPr>
          <w:sz w:val="21"/>
          <w:color w:val="000000"/>
        </w:rPr>
        <w:t>针对客服工程师处理问题的质量及服务态度进行定期回访，保障售后服务质量。</w:t>
      </w:r>
    </w:p>
    <w:p>
      <w:pPr>
        <w:pStyle w:val="null3"/>
        <w:jc w:val="both"/>
      </w:pPr>
      <w:r>
        <w:rPr>
          <w:sz w:val="21"/>
          <w:color w:val="000000"/>
        </w:rPr>
        <w:t>（</w:t>
      </w:r>
      <w:r>
        <w:rPr>
          <w:sz w:val="21"/>
          <w:color w:val="000000"/>
        </w:rPr>
        <w:t>15）</w:t>
      </w:r>
      <w:r>
        <w:rPr>
          <w:sz w:val="21"/>
          <w:color w:val="000000"/>
        </w:rPr>
        <w:t>满意度调查：</w:t>
      </w:r>
      <w:r>
        <w:rPr>
          <w:sz w:val="21"/>
          <w:color w:val="000000"/>
        </w:rPr>
        <w:t>乙方不定期</w:t>
      </w:r>
      <w:r>
        <w:rPr>
          <w:sz w:val="21"/>
          <w:color w:val="000000"/>
        </w:rPr>
        <w:t>通过电话访问或问卷调查的方式，针对产品质量、服务质量进行满意度调查，收集宝贵建议，改进产品与服务。</w:t>
      </w:r>
    </w:p>
    <w:p>
      <w:pPr>
        <w:pStyle w:val="null3"/>
        <w:jc w:val="both"/>
      </w:pPr>
      <w:r>
        <w:rPr>
          <w:sz w:val="21"/>
          <w:color w:val="000000"/>
        </w:rPr>
        <w:t>（</w:t>
      </w:r>
      <w:r>
        <w:rPr>
          <w:sz w:val="21"/>
          <w:color w:val="000000"/>
        </w:rPr>
        <w:t>16</w:t>
      </w:r>
      <w:r>
        <w:rPr>
          <w:sz w:val="21"/>
          <w:color w:val="000000"/>
        </w:rPr>
        <w:t>）提供维保记录：</w:t>
      </w:r>
      <w:r>
        <w:rPr>
          <w:sz w:val="21"/>
          <w:color w:val="000000"/>
        </w:rPr>
        <w:t>乙方应提供维保过程中涉及的相关记录（如维保报告），一式两份，双方存档，保存期至少</w:t>
      </w:r>
      <w:r>
        <w:rPr>
          <w:sz w:val="21"/>
          <w:color w:val="000000"/>
        </w:rPr>
        <w:t>3</w:t>
      </w:r>
      <w:r>
        <w:rPr>
          <w:sz w:val="21"/>
          <w:color w:val="000000"/>
        </w:rPr>
        <w:t>年</w:t>
      </w:r>
      <w:r>
        <w:rPr>
          <w:sz w:val="21"/>
          <w:color w:val="000000"/>
        </w:rPr>
        <w:t>。</w:t>
      </w:r>
    </w:p>
    <w:p>
      <w:pPr>
        <w:pStyle w:val="null3"/>
        <w:jc w:val="both"/>
      </w:pPr>
      <w:r>
        <w:rPr>
          <w:sz w:val="21"/>
          <w:color w:val="000000"/>
        </w:rPr>
        <w:t>（</w:t>
      </w:r>
      <w:r>
        <w:rPr>
          <w:sz w:val="21"/>
          <w:color w:val="000000"/>
        </w:rPr>
        <w:t>17</w:t>
      </w:r>
      <w:r>
        <w:rPr>
          <w:sz w:val="21"/>
          <w:color w:val="000000"/>
        </w:rPr>
        <w:t>）</w:t>
      </w:r>
      <w:r>
        <w:rPr>
          <w:sz w:val="21"/>
          <w:color w:val="000000"/>
        </w:rPr>
        <w:t>服务规范：</w:t>
      </w:r>
    </w:p>
    <w:p>
      <w:pPr>
        <w:pStyle w:val="null3"/>
        <w:numPr>
          <w:ilvl w:val="0"/>
          <w:numId w:val="1"/>
        </w:numPr>
      </w:pPr>
      <w:r>
        <w:rPr>
          <w:sz w:val="21"/>
          <w:color w:val="000000"/>
        </w:rPr>
        <w:t>上岗培训：</w:t>
      </w:r>
      <w:r>
        <w:rPr>
          <w:sz w:val="21"/>
          <w:color w:val="000000"/>
        </w:rPr>
        <w:t>乙方</w:t>
      </w:r>
      <w:r>
        <w:rPr>
          <w:sz w:val="21"/>
          <w:color w:val="000000"/>
        </w:rPr>
        <w:t>售后人员经培训合格后方可上岗。</w:t>
      </w:r>
    </w:p>
    <w:p>
      <w:pPr>
        <w:pStyle w:val="null3"/>
        <w:numPr>
          <w:ilvl w:val="0"/>
          <w:numId w:val="1"/>
        </w:numPr>
      </w:pPr>
      <w:r>
        <w:rPr>
          <w:sz w:val="21"/>
          <w:color w:val="000000"/>
        </w:rPr>
        <w:t>服务准则：</w:t>
      </w:r>
      <w:r>
        <w:rPr>
          <w:sz w:val="21"/>
          <w:color w:val="000000"/>
        </w:rPr>
        <w:t>乙方</w:t>
      </w:r>
      <w:r>
        <w:rPr>
          <w:sz w:val="21"/>
          <w:color w:val="000000"/>
        </w:rPr>
        <w:t>售后人员在服务过程中做到诚心、细心、耐心。</w:t>
      </w:r>
    </w:p>
    <w:p>
      <w:pPr>
        <w:pStyle w:val="null3"/>
        <w:numPr>
          <w:ilvl w:val="0"/>
          <w:numId w:val="1"/>
        </w:numPr>
      </w:pPr>
      <w:r>
        <w:rPr>
          <w:sz w:val="21"/>
          <w:color w:val="000000"/>
        </w:rPr>
        <w:t>准备工作：</w:t>
      </w:r>
      <w:r>
        <w:rPr>
          <w:sz w:val="21"/>
          <w:color w:val="000000"/>
        </w:rPr>
        <w:t>乙方</w:t>
      </w:r>
      <w:r>
        <w:rPr>
          <w:sz w:val="21"/>
          <w:color w:val="000000"/>
        </w:rPr>
        <w:t>售后人员在上门服务或拜访前要与用户预约好时间，提前熟悉现场技术情况，准备好相关工具、设备或文档资料等。</w:t>
      </w:r>
    </w:p>
    <w:p>
      <w:pPr>
        <w:pStyle w:val="null3"/>
        <w:numPr>
          <w:ilvl w:val="0"/>
          <w:numId w:val="1"/>
        </w:numPr>
      </w:pPr>
      <w:r>
        <w:rPr>
          <w:sz w:val="21"/>
          <w:color w:val="000000"/>
        </w:rPr>
        <w:t>信息记录：</w:t>
      </w:r>
      <w:r>
        <w:rPr>
          <w:sz w:val="21"/>
          <w:color w:val="000000"/>
        </w:rPr>
        <w:t>乙方</w:t>
      </w:r>
      <w:r>
        <w:rPr>
          <w:sz w:val="21"/>
          <w:color w:val="000000"/>
        </w:rPr>
        <w:t>售后人员在执行技术服务的各个环节时，按照流程处理，记录下必要的过程信息，如故障现象、需求描述、服务要求等。</w:t>
      </w:r>
    </w:p>
    <w:p>
      <w:pPr>
        <w:pStyle w:val="null3"/>
        <w:numPr>
          <w:ilvl w:val="0"/>
          <w:numId w:val="1"/>
        </w:numPr>
      </w:pPr>
      <w:r>
        <w:rPr>
          <w:sz w:val="21"/>
          <w:color w:val="000000"/>
        </w:rPr>
        <w:t>总结改进：</w:t>
      </w:r>
      <w:r>
        <w:rPr>
          <w:sz w:val="21"/>
          <w:color w:val="000000"/>
        </w:rPr>
        <w:t>乙方</w:t>
      </w:r>
      <w:r>
        <w:rPr>
          <w:sz w:val="21"/>
          <w:color w:val="000000"/>
        </w:rPr>
        <w:t>售后人员对服务的总结和改进。定期对业务数据进行汇总分析，总结问题，并提出改进方法。</w:t>
      </w:r>
    </w:p>
    <w:p>
      <w:pPr>
        <w:pStyle w:val="null3"/>
        <w:numPr>
          <w:ilvl w:val="0"/>
          <w:numId w:val="1"/>
        </w:numPr>
      </w:pPr>
      <w:r>
        <w:rPr>
          <w:sz w:val="21"/>
          <w:color w:val="000000"/>
        </w:rPr>
        <w:t>工作流程：技术服务人员在接到维修请求时，按要求提供服务。</w:t>
      </w:r>
    </w:p>
    <w:p>
      <w:pPr>
        <w:pStyle w:val="null3"/>
        <w:numPr>
          <w:ilvl w:val="0"/>
          <w:numId w:val="1"/>
        </w:numPr>
      </w:pPr>
      <w:r>
        <w:rPr>
          <w:sz w:val="21"/>
          <w:color w:val="000000"/>
        </w:rPr>
        <w:t>上门要求：技术服务人员上门时穿戴整洁，服务过程中严格遵守</w:t>
      </w:r>
      <w:r>
        <w:rPr>
          <w:sz w:val="21"/>
          <w:color w:val="000000"/>
        </w:rPr>
        <w:t>甲方</w:t>
      </w:r>
      <w:r>
        <w:rPr>
          <w:sz w:val="21"/>
          <w:color w:val="000000"/>
        </w:rPr>
        <w:t>现场的管理规范，避免造成物品损坏或环境污染。</w:t>
      </w:r>
    </w:p>
    <w:p>
      <w:pPr>
        <w:pStyle w:val="null3"/>
        <w:numPr>
          <w:ilvl w:val="0"/>
          <w:numId w:val="1"/>
        </w:numPr>
      </w:pPr>
      <w:r>
        <w:rPr>
          <w:sz w:val="21"/>
          <w:color w:val="000000"/>
        </w:rPr>
        <w:t>时间要求：技术服务人员上门服务的时间满足售后承诺的时限要求。</w:t>
      </w:r>
    </w:p>
    <w:p>
      <w:pPr>
        <w:pStyle w:val="null3"/>
      </w:pPr>
      <w:r>
        <w:rPr>
          <w:sz w:val="21"/>
          <w:color w:val="000000"/>
        </w:rPr>
        <w:t>⑨</w:t>
      </w:r>
      <w:r>
        <w:rPr>
          <w:sz w:val="21"/>
          <w:color w:val="000000"/>
        </w:rPr>
        <w:t>运维安全要求：技术服务人员在提供维保服务期间需遵守医院相关信息安全管理制度，执行数据库相关操作需按规定通过堡垒机连接，对运维期间使用的相关账户密码的安全负责，不得将数据库或堡垒机账户密码提供给未经甲方授权的无关人员使用。</w:t>
      </w:r>
    </w:p>
    <w:p>
      <w:pPr>
        <w:pStyle w:val="null3"/>
        <w:jc w:val="both"/>
      </w:pPr>
      <w:r>
        <w:rPr>
          <w:sz w:val="21"/>
          <w:b/>
          <w:color w:val="000000"/>
        </w:rPr>
        <w:t>第</w:t>
      </w:r>
      <w:r>
        <w:rPr>
          <w:sz w:val="21"/>
          <w:b/>
          <w:color w:val="000000"/>
        </w:rPr>
        <w:t>2条  服务方式</w:t>
      </w:r>
    </w:p>
    <w:p>
      <w:pPr>
        <w:pStyle w:val="null3"/>
        <w:ind w:firstLine="495"/>
        <w:jc w:val="both"/>
      </w:pPr>
      <w:r>
        <w:rPr>
          <w:sz w:val="21"/>
          <w:color w:val="000000"/>
        </w:rPr>
        <w:t>2.1维保工作主要由乙方负责，甲方配合。乙方成立专门的项目组开展工作，指定系统维保的项目负责人，设立24小时技术支持服务热线电话，按时完成工作内容。出现故障时，甲方可与乙方该项目负责人联系，由该项目负责人安排工程人员进场服务，每年服务完成后甲方相关负责人签署考核意见。</w:t>
      </w:r>
    </w:p>
    <w:p>
      <w:pPr>
        <w:pStyle w:val="null3"/>
        <w:ind w:firstLine="495"/>
        <w:jc w:val="both"/>
      </w:pPr>
      <w:r>
        <w:rPr>
          <w:sz w:val="21"/>
          <w:color w:val="000000"/>
        </w:rPr>
        <w:t>2.</w:t>
      </w:r>
      <w:r>
        <w:rPr>
          <w:sz w:val="21"/>
          <w:color w:val="000000"/>
        </w:rPr>
        <w:t xml:space="preserve">2 </w:t>
      </w:r>
      <w:r>
        <w:rPr>
          <w:sz w:val="21"/>
          <w:color w:val="000000"/>
        </w:rPr>
        <w:t>甲方因软件故障造成的紧急服务要求，乙方保证立即响应，最大限度地降低故障的危害。</w:t>
      </w:r>
    </w:p>
    <w:p>
      <w:pPr>
        <w:pStyle w:val="null3"/>
        <w:ind w:firstLine="495"/>
        <w:jc w:val="both"/>
      </w:pPr>
      <w:r>
        <w:rPr>
          <w:sz w:val="21"/>
          <w:color w:val="000000"/>
        </w:rPr>
        <w:t>2</w:t>
      </w:r>
      <w:r>
        <w:rPr>
          <w:sz w:val="21"/>
          <w:color w:val="000000"/>
        </w:rPr>
        <w:t>.</w:t>
      </w:r>
      <w:r>
        <w:rPr>
          <w:sz w:val="21"/>
          <w:color w:val="000000"/>
        </w:rPr>
        <w:t>3针对系统操作及维护人员，随时进行答疑，协助医院培养技术骨干。</w:t>
      </w:r>
    </w:p>
    <w:p>
      <w:pPr>
        <w:pStyle w:val="null3"/>
        <w:ind w:firstLine="495"/>
        <w:jc w:val="both"/>
      </w:pPr>
      <w:r>
        <w:rPr>
          <w:sz w:val="21"/>
          <w:color w:val="000000"/>
        </w:rPr>
        <w:t>2.4乙方的项目组负责人</w:t>
      </w:r>
      <w:r>
        <w:rPr>
          <w:sz w:val="21"/>
          <w:color w:val="000000"/>
        </w:rPr>
        <w:t>、</w:t>
      </w:r>
      <w:r>
        <w:rPr>
          <w:sz w:val="21"/>
          <w:color w:val="000000"/>
        </w:rPr>
        <w:t>成员</w:t>
      </w:r>
      <w:r>
        <w:rPr>
          <w:sz w:val="21"/>
          <w:color w:val="000000"/>
        </w:rPr>
        <w:t>名单应在本合同生效后</w:t>
      </w:r>
      <w:r>
        <w:rPr>
          <w:sz w:val="21"/>
          <w:color w:val="000000"/>
        </w:rPr>
        <w:t>7 个工作日内（含本数）提交甲方确认。甲方有权提出更换不符合要求的乙方</w:t>
      </w:r>
      <w:r>
        <w:rPr>
          <w:sz w:val="21"/>
          <w:color w:val="000000"/>
        </w:rPr>
        <w:t>工作</w:t>
      </w:r>
      <w:r>
        <w:rPr>
          <w:sz w:val="21"/>
          <w:color w:val="000000"/>
        </w:rPr>
        <w:t>人员，乙方应根据甲方要求，重新选派甲方认可的</w:t>
      </w:r>
      <w:r>
        <w:rPr>
          <w:sz w:val="21"/>
          <w:color w:val="000000"/>
        </w:rPr>
        <w:t>工作</w:t>
      </w:r>
      <w:r>
        <w:rPr>
          <w:sz w:val="21"/>
          <w:color w:val="000000"/>
        </w:rPr>
        <w:t>人员。乙方应在甲方提出该项要求</w:t>
      </w:r>
      <w:r>
        <w:rPr>
          <w:sz w:val="21"/>
          <w:color w:val="000000"/>
        </w:rPr>
        <w:t>2个工作日内答复。</w:t>
      </w:r>
    </w:p>
    <w:p>
      <w:pPr>
        <w:pStyle w:val="null3"/>
        <w:jc w:val="both"/>
      </w:pPr>
      <w:r>
        <w:rPr>
          <w:sz w:val="21"/>
          <w:b/>
          <w:color w:val="000000"/>
        </w:rPr>
        <w:t>第</w:t>
      </w:r>
      <w:r>
        <w:rPr>
          <w:sz w:val="21"/>
          <w:b/>
          <w:color w:val="000000"/>
        </w:rPr>
        <w:t>3条  甲方配合内容</w:t>
      </w:r>
    </w:p>
    <w:p>
      <w:pPr>
        <w:pStyle w:val="null3"/>
        <w:ind w:firstLine="495"/>
        <w:jc w:val="both"/>
      </w:pPr>
      <w:r>
        <w:rPr>
          <w:sz w:val="21"/>
          <w:color w:val="000000"/>
        </w:rPr>
        <w:t>3</w:t>
      </w:r>
      <w:r>
        <w:rPr>
          <w:sz w:val="21"/>
          <w:color w:val="000000"/>
        </w:rPr>
        <w:t>.</w:t>
      </w:r>
      <w:r>
        <w:rPr>
          <w:sz w:val="21"/>
          <w:color w:val="000000"/>
        </w:rPr>
        <w:t>1系统后台的维护必须由符合要求的技术人员，遵照日常维护记录制度和系统管理规范进行。</w:t>
      </w:r>
    </w:p>
    <w:p>
      <w:pPr>
        <w:pStyle w:val="null3"/>
        <w:ind w:firstLine="495"/>
        <w:jc w:val="both"/>
      </w:pPr>
      <w:r>
        <w:rPr>
          <w:sz w:val="21"/>
          <w:color w:val="000000"/>
        </w:rPr>
        <w:t>3</w:t>
      </w:r>
      <w:r>
        <w:rPr>
          <w:sz w:val="21"/>
          <w:color w:val="000000"/>
        </w:rPr>
        <w:t>.</w:t>
      </w:r>
      <w:r>
        <w:rPr>
          <w:sz w:val="21"/>
          <w:color w:val="000000"/>
        </w:rPr>
        <w:t>2甲方对专用服务器的可用状态进行日常维护。</w:t>
      </w:r>
    </w:p>
    <w:p>
      <w:pPr>
        <w:pStyle w:val="null3"/>
        <w:ind w:firstLine="495"/>
        <w:jc w:val="both"/>
      </w:pPr>
      <w:r>
        <w:rPr>
          <w:sz w:val="21"/>
          <w:color w:val="000000"/>
        </w:rPr>
        <w:t>3</w:t>
      </w:r>
      <w:r>
        <w:rPr>
          <w:sz w:val="21"/>
          <w:color w:val="000000"/>
        </w:rPr>
        <w:t>.</w:t>
      </w:r>
      <w:r>
        <w:rPr>
          <w:sz w:val="21"/>
          <w:color w:val="000000"/>
        </w:rPr>
        <w:t>3甲方为乙方工程技术人员提供现场服务配合，如：到业务科室的联络协调，提供工作场所和计算机设备，需加班时，有关科室应予合作等。</w:t>
      </w:r>
    </w:p>
    <w:p>
      <w:pPr>
        <w:pStyle w:val="null3"/>
        <w:ind w:firstLine="495"/>
        <w:jc w:val="both"/>
      </w:pPr>
      <w:r>
        <w:rPr>
          <w:sz w:val="21"/>
          <w:color w:val="000000"/>
        </w:rPr>
        <w:t>3</w:t>
      </w:r>
      <w:r>
        <w:rPr>
          <w:sz w:val="21"/>
          <w:color w:val="000000"/>
        </w:rPr>
        <w:t>.</w:t>
      </w:r>
      <w:r>
        <w:rPr>
          <w:sz w:val="21"/>
          <w:color w:val="000000"/>
        </w:rPr>
        <w:t>4甲方应在院内为乙方实施人员安排相对固定的办公场所。</w:t>
      </w:r>
    </w:p>
    <w:p>
      <w:pPr>
        <w:pStyle w:val="null3"/>
        <w:jc w:val="both"/>
      </w:pPr>
      <w:r>
        <w:rPr>
          <w:sz w:val="21"/>
          <w:b/>
          <w:color w:val="000000"/>
        </w:rPr>
        <w:t>第</w:t>
      </w:r>
      <w:r>
        <w:rPr>
          <w:sz w:val="21"/>
          <w:b/>
          <w:color w:val="000000"/>
        </w:rPr>
        <w:t>4条  合同价格和付款方式</w:t>
      </w:r>
    </w:p>
    <w:p>
      <w:pPr>
        <w:pStyle w:val="null3"/>
        <w:ind w:firstLine="495"/>
        <w:jc w:val="both"/>
      </w:pPr>
      <w:r>
        <w:rPr>
          <w:sz w:val="21"/>
        </w:rPr>
        <w:t>4.1 合同总价格为人民币（大写：¥XXXX元整/二年）(¥xxxx元/二年)（含税）。</w:t>
      </w:r>
    </w:p>
    <w:p>
      <w:pPr>
        <w:pStyle w:val="null3"/>
        <w:ind w:firstLine="495"/>
        <w:jc w:val="both"/>
      </w:pPr>
      <w:r>
        <w:rPr>
          <w:sz w:val="21"/>
        </w:rPr>
        <w:t>4.2 合同价款的支付</w:t>
      </w:r>
    </w:p>
    <w:p>
      <w:pPr>
        <w:pStyle w:val="null3"/>
        <w:ind w:firstLine="495"/>
        <w:jc w:val="both"/>
      </w:pPr>
      <w:r>
        <w:rPr>
          <w:sz w:val="21"/>
        </w:rPr>
        <w:t>4</w:t>
      </w:r>
      <w:r>
        <w:rPr>
          <w:sz w:val="21"/>
        </w:rPr>
        <w:t>.2.1</w:t>
      </w:r>
      <w:r>
        <w:rPr>
          <w:sz w:val="21"/>
        </w:rPr>
        <w:t xml:space="preserve"> </w:t>
      </w:r>
      <w:r>
        <w:rPr>
          <w:sz w:val="21"/>
        </w:rPr>
        <w:t>支付方式：</w:t>
      </w:r>
      <w:r>
        <w:rPr>
          <w:sz w:val="21"/>
        </w:rPr>
        <w:t>【注释：付款时间自行协商】</w:t>
      </w:r>
    </w:p>
    <w:p>
      <w:pPr>
        <w:pStyle w:val="null3"/>
        <w:ind w:firstLine="495"/>
        <w:jc w:val="both"/>
      </w:pPr>
      <w:r>
        <w:rPr>
          <w:sz w:val="21"/>
          <w:color w:val="000000"/>
        </w:rPr>
        <w:t>甲方在乙方提供等额发票后的</w:t>
      </w:r>
      <w:r>
        <w:rPr>
          <w:sz w:val="21"/>
        </w:rPr>
        <w:t>3</w:t>
      </w:r>
      <w:r>
        <w:rPr>
          <w:sz w:val="21"/>
        </w:rPr>
        <w:t>个月</w:t>
      </w:r>
      <w:r>
        <w:rPr>
          <w:sz w:val="21"/>
        </w:rPr>
        <w:t>内</w:t>
      </w:r>
      <w:r>
        <w:rPr>
          <w:sz w:val="21"/>
        </w:rPr>
        <w:t>（</w:t>
      </w:r>
      <w:r>
        <w:rPr>
          <w:sz w:val="21"/>
        </w:rPr>
        <w:t>如</w:t>
      </w:r>
      <w:r>
        <w:rPr>
          <w:sz w:val="21"/>
        </w:rPr>
        <w:t>乙方</w:t>
      </w:r>
      <w:r>
        <w:rPr>
          <w:sz w:val="21"/>
        </w:rPr>
        <w:t>为中小企业则按照相关法规支付款项</w:t>
      </w:r>
      <w:r>
        <w:rPr>
          <w:sz w:val="21"/>
        </w:rPr>
        <w:t>）</w:t>
      </w:r>
      <w:r>
        <w:rPr>
          <w:sz w:val="21"/>
          <w:color w:val="000000"/>
        </w:rPr>
        <w:t>，以转账的方式向乙方支付合同价款。如因乙方提供发票有误或迟延的，甲方可顺延付款时间，不承担逾期付款责任。</w:t>
      </w:r>
    </w:p>
    <w:p>
      <w:pPr>
        <w:pStyle w:val="null3"/>
        <w:ind w:firstLine="495"/>
        <w:jc w:val="both"/>
      </w:pPr>
      <w:r>
        <w:rPr>
          <w:sz w:val="21"/>
          <w:color w:val="000000"/>
        </w:rPr>
        <w:t>4.2.2 付款安排：</w:t>
      </w:r>
    </w:p>
    <w:p>
      <w:pPr>
        <w:pStyle w:val="null3"/>
        <w:ind w:firstLine="495"/>
        <w:jc w:val="both"/>
      </w:pPr>
      <w:r>
        <w:rPr>
          <w:sz w:val="21"/>
          <w:color w:val="000000"/>
        </w:rPr>
        <w:t>每年维保费：</w:t>
      </w:r>
      <w:r>
        <w:rPr>
          <w:sz w:val="21"/>
          <w:color w:val="000000"/>
        </w:rPr>
        <w:t>¥XXXX元（大写：XXXX元整）</w:t>
      </w:r>
    </w:p>
    <w:p>
      <w:pPr>
        <w:pStyle w:val="null3"/>
        <w:ind w:firstLine="495"/>
        <w:jc w:val="both"/>
      </w:pPr>
      <w:r>
        <w:rPr>
          <w:sz w:val="21"/>
          <w:color w:val="000000"/>
        </w:rPr>
        <w:t>（</w:t>
      </w:r>
      <w:r>
        <w:rPr>
          <w:sz w:val="21"/>
          <w:color w:val="000000"/>
        </w:rPr>
        <w:t>1）首期款：合同签署生效后，甲方支付乙方首年维保费的50%。</w:t>
      </w:r>
    </w:p>
    <w:p>
      <w:pPr>
        <w:pStyle w:val="null3"/>
        <w:ind w:firstLine="495"/>
        <w:jc w:val="both"/>
      </w:pPr>
      <w:r>
        <w:rPr>
          <w:sz w:val="21"/>
          <w:color w:val="000000"/>
        </w:rPr>
        <w:t>（</w:t>
      </w:r>
      <w:r>
        <w:rPr>
          <w:sz w:val="21"/>
          <w:color w:val="000000"/>
        </w:rPr>
        <w:t>2）第二期款：第一年服务期满，且乙方通过甲方组织的年度运维服务考核后支付首年维保费剩余50%（如有考核扣罚，则相应扣除），以及第二年维保费的50%预付款。</w:t>
      </w:r>
    </w:p>
    <w:p>
      <w:pPr>
        <w:pStyle w:val="null3"/>
        <w:ind w:firstLine="495"/>
        <w:jc w:val="both"/>
      </w:pPr>
      <w:r>
        <w:rPr>
          <w:sz w:val="21"/>
          <w:color w:val="000000"/>
        </w:rPr>
        <w:t>（</w:t>
      </w:r>
      <w:r>
        <w:rPr>
          <w:sz w:val="21"/>
          <w:color w:val="000000"/>
        </w:rPr>
        <w:t>3）尾款：第二年服务期满且乙方通过甲方组织的年度运维服务考核后支付第二年维保费剩余50%（如有考核扣罚，则相应扣除）。</w:t>
      </w:r>
    </w:p>
    <w:p>
      <w:pPr>
        <w:pStyle w:val="null3"/>
        <w:ind w:firstLine="525"/>
        <w:jc w:val="both"/>
      </w:pPr>
      <w:r>
        <w:rPr>
          <w:sz w:val="21"/>
        </w:rPr>
        <w:t>4.2.3乙方收款信息：</w:t>
      </w:r>
    </w:p>
    <w:p>
      <w:pPr>
        <w:pStyle w:val="null3"/>
        <w:ind w:firstLine="840"/>
        <w:jc w:val="both"/>
      </w:pPr>
      <w:r>
        <w:rPr>
          <w:sz w:val="21"/>
        </w:rPr>
        <w:t>公司名称：</w:t>
      </w:r>
    </w:p>
    <w:p>
      <w:pPr>
        <w:pStyle w:val="null3"/>
        <w:ind w:firstLine="840"/>
        <w:jc w:val="both"/>
      </w:pPr>
      <w:r>
        <w:rPr>
          <w:sz w:val="21"/>
        </w:rPr>
        <w:t>纳税人识别号：</w:t>
      </w:r>
    </w:p>
    <w:p>
      <w:pPr>
        <w:pStyle w:val="null3"/>
        <w:ind w:firstLine="840"/>
        <w:jc w:val="both"/>
      </w:pPr>
      <w:r>
        <w:rPr>
          <w:sz w:val="21"/>
        </w:rPr>
        <w:t>开户银行：</w:t>
      </w:r>
    </w:p>
    <w:p>
      <w:pPr>
        <w:pStyle w:val="null3"/>
        <w:ind w:firstLine="840"/>
        <w:jc w:val="both"/>
      </w:pPr>
      <w:r>
        <w:rPr>
          <w:sz w:val="21"/>
        </w:rPr>
        <w:t>银行账号：</w:t>
      </w:r>
    </w:p>
    <w:p>
      <w:pPr>
        <w:pStyle w:val="null3"/>
        <w:ind w:firstLine="840"/>
        <w:jc w:val="both"/>
      </w:pPr>
      <w:r>
        <w:rPr>
          <w:sz w:val="21"/>
        </w:rPr>
        <w:t>地址：</w:t>
      </w:r>
    </w:p>
    <w:p>
      <w:pPr>
        <w:pStyle w:val="null3"/>
        <w:ind w:firstLine="840"/>
        <w:jc w:val="both"/>
      </w:pPr>
      <w:r>
        <w:rPr>
          <w:sz w:val="21"/>
        </w:rPr>
        <w:t>联系电话：</w:t>
      </w:r>
    </w:p>
    <w:p>
      <w:pPr>
        <w:pStyle w:val="null3"/>
        <w:jc w:val="both"/>
      </w:pPr>
      <w:r>
        <w:rPr>
          <w:sz w:val="21"/>
          <w:b/>
          <w:color w:val="000000"/>
        </w:rPr>
        <w:t>第</w:t>
      </w:r>
      <w:r>
        <w:rPr>
          <w:sz w:val="21"/>
          <w:b/>
          <w:color w:val="000000"/>
        </w:rPr>
        <w:t>5条  服务期限澄清</w:t>
      </w:r>
    </w:p>
    <w:p>
      <w:pPr>
        <w:pStyle w:val="null3"/>
        <w:ind w:firstLine="840"/>
        <w:jc w:val="left"/>
      </w:pPr>
      <w:r>
        <w:rPr>
          <w:sz w:val="21"/>
          <w:color w:val="000000"/>
        </w:rPr>
        <w:t>双方确认，服务自起始日期</w:t>
      </w:r>
      <w:r>
        <w:rPr>
          <w:sz w:val="21"/>
          <w:color w:val="000000"/>
        </w:rPr>
        <w:t>“___年___月___日”起，连续两年至结束日期“___年___月___日”止。</w:t>
      </w:r>
    </w:p>
    <w:p>
      <w:pPr>
        <w:pStyle w:val="null3"/>
        <w:jc w:val="both"/>
      </w:pPr>
      <w:r>
        <w:rPr>
          <w:sz w:val="21"/>
          <w:b/>
          <w:color w:val="000000"/>
        </w:rPr>
        <w:t>第</w:t>
      </w:r>
      <w:r>
        <w:rPr>
          <w:sz w:val="21"/>
          <w:b/>
          <w:color w:val="000000"/>
        </w:rPr>
        <w:t>6条  项目实施与项目考核</w:t>
      </w:r>
    </w:p>
    <w:p>
      <w:pPr>
        <w:pStyle w:val="null3"/>
        <w:ind w:firstLine="495"/>
        <w:jc w:val="both"/>
      </w:pPr>
      <w:r>
        <w:rPr>
          <w:sz w:val="21"/>
          <w:color w:val="000000"/>
        </w:rPr>
        <w:t>6</w:t>
      </w:r>
      <w:r>
        <w:rPr>
          <w:sz w:val="21"/>
          <w:color w:val="000000"/>
        </w:rPr>
        <w:t>.</w:t>
      </w:r>
      <w:r>
        <w:rPr>
          <w:sz w:val="21"/>
          <w:color w:val="000000"/>
        </w:rPr>
        <w:t>1</w:t>
      </w:r>
      <w:r>
        <w:rPr>
          <w:sz w:val="21"/>
          <w:color w:val="000000"/>
        </w:rPr>
        <w:t>甲、乙双方按附件二《维护服务考核方案》组织本维护服务项目的年度考核；</w:t>
      </w:r>
    </w:p>
    <w:p>
      <w:pPr>
        <w:pStyle w:val="null3"/>
        <w:ind w:firstLine="495"/>
        <w:jc w:val="both"/>
      </w:pPr>
      <w:r>
        <w:rPr>
          <w:sz w:val="21"/>
          <w:color w:val="000000"/>
        </w:rPr>
        <w:t>6</w:t>
      </w:r>
      <w:r>
        <w:rPr>
          <w:sz w:val="21"/>
          <w:color w:val="000000"/>
        </w:rPr>
        <w:t>.</w:t>
      </w:r>
      <w:r>
        <w:rPr>
          <w:sz w:val="21"/>
          <w:color w:val="000000"/>
        </w:rPr>
        <w:t>2</w:t>
      </w:r>
      <w:r>
        <w:rPr>
          <w:sz w:val="21"/>
          <w:color w:val="000000"/>
        </w:rPr>
        <w:t>甲、乙任何一方因故推迟年度考核时间，须提前通知另一方。</w:t>
      </w:r>
    </w:p>
    <w:p>
      <w:pPr>
        <w:pStyle w:val="null3"/>
        <w:jc w:val="both"/>
      </w:pPr>
      <w:r>
        <w:rPr>
          <w:sz w:val="21"/>
          <w:b/>
          <w:color w:val="000000"/>
        </w:rPr>
        <w:t>第</w:t>
      </w:r>
      <w:r>
        <w:rPr>
          <w:sz w:val="21"/>
          <w:b/>
          <w:color w:val="000000"/>
        </w:rPr>
        <w:t>7条  软件产权及相关责任</w:t>
      </w:r>
    </w:p>
    <w:p>
      <w:pPr>
        <w:pStyle w:val="null3"/>
        <w:ind w:firstLine="495"/>
        <w:jc w:val="both"/>
      </w:pPr>
      <w:r>
        <w:rPr>
          <w:sz w:val="21"/>
          <w:color w:val="000000"/>
        </w:rPr>
        <w:t>乙方保证在提供维保服务过程中不侵害第三方知识产权等合法权益，否则，由此引起的争议，后果概由乙方自行解决、承担，并赔偿因此给甲方带来的经济损失（包括但不限于直接经济损失，且以实际遭受损失为限）。</w:t>
      </w:r>
    </w:p>
    <w:p>
      <w:pPr>
        <w:pStyle w:val="null3"/>
        <w:jc w:val="both"/>
      </w:pPr>
      <w:r>
        <w:rPr>
          <w:sz w:val="21"/>
          <w:b/>
          <w:color w:val="000000"/>
        </w:rPr>
        <w:t>第</w:t>
      </w:r>
      <w:r>
        <w:rPr>
          <w:sz w:val="21"/>
          <w:b/>
          <w:color w:val="000000"/>
        </w:rPr>
        <w:t>8条  保密</w:t>
      </w:r>
    </w:p>
    <w:p>
      <w:pPr>
        <w:pStyle w:val="null3"/>
        <w:ind w:firstLine="495"/>
        <w:jc w:val="both"/>
      </w:pPr>
      <w:r>
        <w:rPr>
          <w:sz w:val="21"/>
          <w:color w:val="000000"/>
        </w:rPr>
        <w:t>8.1乙方应对在履行本合同过程中获悉的甲方的有关数据机密、文档资料、商业秘密及甲方要求保密的其他信息，如患者隐私（以下简称“保密信息”）严格保密，并采取相应的保密措施。乙方应承担的保密义务包括但不限于：</w:t>
      </w:r>
    </w:p>
    <w:p>
      <w:pPr>
        <w:pStyle w:val="null3"/>
        <w:ind w:firstLine="495"/>
        <w:jc w:val="both"/>
      </w:pPr>
      <w:r>
        <w:rPr>
          <w:sz w:val="21"/>
          <w:color w:val="000000"/>
        </w:rPr>
        <w:t>8.1.1 未经甲方书面同意，不得将上述保密信息披露给任何第三人；</w:t>
      </w:r>
    </w:p>
    <w:p>
      <w:pPr>
        <w:pStyle w:val="null3"/>
        <w:ind w:firstLine="495"/>
        <w:jc w:val="both"/>
      </w:pPr>
      <w:r>
        <w:rPr>
          <w:sz w:val="21"/>
          <w:color w:val="000000"/>
        </w:rPr>
        <w:t>8.1.2 不得将上述保密信息用于本合同以外的其他目的；</w:t>
      </w:r>
    </w:p>
    <w:p>
      <w:pPr>
        <w:pStyle w:val="null3"/>
        <w:ind w:firstLine="495"/>
        <w:jc w:val="both"/>
      </w:pPr>
      <w:r>
        <w:rPr>
          <w:sz w:val="21"/>
          <w:color w:val="000000"/>
        </w:rPr>
        <w:t>8.1.3 在本合同终止或解除后或甲方要求时，及时将上述保密信息返还甲方或按甲方要求作适当处理。</w:t>
      </w:r>
    </w:p>
    <w:p>
      <w:pPr>
        <w:pStyle w:val="null3"/>
        <w:ind w:firstLine="495"/>
        <w:jc w:val="both"/>
      </w:pPr>
      <w:r>
        <w:rPr>
          <w:sz w:val="21"/>
          <w:color w:val="000000"/>
        </w:rPr>
        <w:t>8.2上述保密义务的期限至保密信息正式向社会公开之日或甲方书面解除乙方本合同项下保密义务之日止。</w:t>
      </w:r>
    </w:p>
    <w:p>
      <w:pPr>
        <w:pStyle w:val="null3"/>
        <w:jc w:val="both"/>
      </w:pPr>
      <w:r>
        <w:rPr>
          <w:sz w:val="21"/>
          <w:b/>
          <w:color w:val="000000"/>
        </w:rPr>
        <w:t>第</w:t>
      </w:r>
      <w:r>
        <w:rPr>
          <w:sz w:val="21"/>
          <w:b/>
          <w:color w:val="000000"/>
        </w:rPr>
        <w:t>9条  维护服务考核</w:t>
      </w:r>
    </w:p>
    <w:p>
      <w:pPr>
        <w:pStyle w:val="null3"/>
        <w:ind w:firstLine="630"/>
        <w:jc w:val="both"/>
      </w:pPr>
      <w:r>
        <w:rPr>
          <w:sz w:val="21"/>
          <w:color w:val="000000"/>
        </w:rPr>
        <w:t>甲方依据附件二《维护服务考核方案》对乙方实施年度考核，采取扣分机制。乙方年度考核扣分不超过</w:t>
      </w:r>
      <w:r>
        <w:rPr>
          <w:sz w:val="21"/>
          <w:color w:val="000000"/>
        </w:rPr>
        <w:t>10分（含）免扣费；超出则每扣1分扣除合同总金额的0.5%；超20分视为考核不通过，甲方有权解除合同。</w:t>
      </w:r>
    </w:p>
    <w:p>
      <w:pPr>
        <w:pStyle w:val="null3"/>
        <w:jc w:val="both"/>
      </w:pPr>
      <w:r>
        <w:rPr>
          <w:sz w:val="21"/>
          <w:b/>
          <w:color w:val="000000"/>
        </w:rPr>
        <w:t>第</w:t>
      </w:r>
      <w:r>
        <w:rPr>
          <w:sz w:val="21"/>
          <w:b/>
          <w:color w:val="000000"/>
        </w:rPr>
        <w:t>10条  违约责任</w:t>
      </w:r>
    </w:p>
    <w:p>
      <w:pPr>
        <w:pStyle w:val="null3"/>
        <w:ind w:firstLine="495"/>
        <w:jc w:val="both"/>
      </w:pPr>
      <w:r>
        <w:rPr>
          <w:sz w:val="21"/>
          <w:color w:val="000000"/>
        </w:rPr>
        <w:t>本合同签订即具有法律效力，双方必须严格遵守，如有一方违约，其必须承担违约责任并赔偿对方因此而遭受的损失。</w:t>
      </w:r>
    </w:p>
    <w:p>
      <w:pPr>
        <w:pStyle w:val="null3"/>
        <w:ind w:firstLine="495"/>
        <w:jc w:val="both"/>
      </w:pPr>
      <w:r>
        <w:rPr>
          <w:sz w:val="21"/>
          <w:color w:val="000000"/>
        </w:rPr>
        <w:t>10</w:t>
      </w:r>
      <w:r>
        <w:rPr>
          <w:sz w:val="21"/>
          <w:color w:val="000000"/>
        </w:rPr>
        <w:t xml:space="preserve">.1 </w:t>
      </w:r>
      <w:r>
        <w:rPr>
          <w:sz w:val="21"/>
          <w:color w:val="000000"/>
        </w:rPr>
        <w:t>如出现乙方违约，或无履行合同能力，甲方有权解除合同，并要求乙方承担有关责任。</w:t>
      </w:r>
    </w:p>
    <w:p>
      <w:pPr>
        <w:pStyle w:val="null3"/>
        <w:ind w:firstLine="495"/>
        <w:jc w:val="both"/>
      </w:pPr>
      <w:r>
        <w:rPr>
          <w:sz w:val="21"/>
          <w:color w:val="000000"/>
        </w:rPr>
        <w:t>10</w:t>
      </w:r>
      <w:r>
        <w:rPr>
          <w:sz w:val="21"/>
          <w:color w:val="000000"/>
        </w:rPr>
        <w:t xml:space="preserve">.2 </w:t>
      </w:r>
      <w:r>
        <w:rPr>
          <w:sz w:val="21"/>
          <w:color w:val="000000"/>
        </w:rPr>
        <w:t>如出现甲方未能按合同规定时间付款，乙方应书面催告甲方限期付款，催告期满仍未支付的，乙方有权解除合同。</w:t>
      </w:r>
    </w:p>
    <w:p>
      <w:pPr>
        <w:pStyle w:val="null3"/>
        <w:ind w:firstLine="495"/>
        <w:jc w:val="both"/>
      </w:pPr>
      <w:r>
        <w:rPr>
          <w:sz w:val="21"/>
          <w:color w:val="000000"/>
        </w:rPr>
        <w:t>10.3 未经甲方书面同意，乙方不得转包或分包本合同约定服务内容，否则甲方有权解除合同，并要求乙方承担有关责任。</w:t>
      </w:r>
    </w:p>
    <w:p>
      <w:pPr>
        <w:pStyle w:val="null3"/>
        <w:jc w:val="both"/>
      </w:pPr>
      <w:r>
        <w:rPr>
          <w:sz w:val="21"/>
          <w:b/>
          <w:color w:val="000000"/>
        </w:rPr>
        <w:t>第</w:t>
      </w:r>
      <w:r>
        <w:rPr>
          <w:sz w:val="21"/>
          <w:b/>
          <w:color w:val="000000"/>
        </w:rPr>
        <w:t>11条  不可抗力</w:t>
      </w:r>
    </w:p>
    <w:p>
      <w:pPr>
        <w:pStyle w:val="null3"/>
        <w:ind w:firstLine="495"/>
        <w:jc w:val="both"/>
      </w:pPr>
      <w:r>
        <w:rPr>
          <w:sz w:val="21"/>
          <w:color w:val="000000"/>
        </w:rPr>
        <w:t>11.1 不可抗力是指不能预见、不能避免并不能克服的客观情况。</w:t>
      </w:r>
    </w:p>
    <w:p>
      <w:pPr>
        <w:pStyle w:val="null3"/>
        <w:ind w:firstLine="495"/>
        <w:jc w:val="both"/>
      </w:pPr>
      <w:r>
        <w:rPr>
          <w:sz w:val="21"/>
          <w:color w:val="000000"/>
        </w:rPr>
        <w:t>11.2 任何一方由于不可抗力而影响合同义务履行时，可根据不可抗力的影响程度和范围延迟或免除履行部分或全部合同义务。但是受不可抗力影响的一方应尽量减小不可抗力引起的延误或其他不利影响，并在不可抗力影响消除后，立即通知对方。任何一方不得因不可抗力造成的延迟而要求调整合同价格。</w:t>
      </w:r>
    </w:p>
    <w:p>
      <w:pPr>
        <w:pStyle w:val="null3"/>
        <w:jc w:val="both"/>
      </w:pPr>
      <w:r>
        <w:rPr>
          <w:sz w:val="21"/>
          <w:b/>
          <w:color w:val="000000"/>
        </w:rPr>
        <w:t>第</w:t>
      </w:r>
      <w:r>
        <w:rPr>
          <w:sz w:val="21"/>
          <w:b/>
          <w:color w:val="000000"/>
        </w:rPr>
        <w:t>12条  适用法律</w:t>
      </w:r>
    </w:p>
    <w:p>
      <w:pPr>
        <w:pStyle w:val="null3"/>
        <w:ind w:firstLine="495"/>
        <w:jc w:val="both"/>
      </w:pPr>
      <w:r>
        <w:rPr>
          <w:sz w:val="21"/>
          <w:color w:val="000000"/>
        </w:rPr>
        <w:t>本合同的订立、解释、履行及争议解决，均适用中华人民共和国法律。</w:t>
      </w:r>
    </w:p>
    <w:p>
      <w:pPr>
        <w:pStyle w:val="null3"/>
        <w:jc w:val="both"/>
      </w:pPr>
      <w:r>
        <w:rPr>
          <w:sz w:val="21"/>
          <w:b/>
          <w:color w:val="000000"/>
        </w:rPr>
        <w:t>第</w:t>
      </w:r>
      <w:r>
        <w:rPr>
          <w:sz w:val="21"/>
          <w:b/>
          <w:color w:val="000000"/>
        </w:rPr>
        <w:t>13条  争议解决</w:t>
      </w:r>
    </w:p>
    <w:p>
      <w:pPr>
        <w:pStyle w:val="null3"/>
        <w:ind w:firstLine="495"/>
        <w:jc w:val="both"/>
      </w:pPr>
      <w:r>
        <w:rPr>
          <w:sz w:val="21"/>
          <w:color w:val="000000"/>
        </w:rPr>
        <w:t>13.1 双方发生争议时，应本着诚实信用原则，通过友好协商解决。</w:t>
      </w:r>
    </w:p>
    <w:p>
      <w:pPr>
        <w:pStyle w:val="null3"/>
        <w:ind w:firstLine="495"/>
        <w:jc w:val="both"/>
      </w:pPr>
      <w:r>
        <w:rPr>
          <w:sz w:val="21"/>
          <w:color w:val="000000"/>
        </w:rPr>
        <w:t>13.2 若争议经协商仍无法解决的，任何一方可向</w:t>
      </w:r>
      <w:r>
        <w:rPr>
          <w:sz w:val="21"/>
          <w:b/>
          <w:color w:val="000000"/>
          <w:u w:val="single"/>
        </w:rPr>
        <w:t>甲方</w:t>
      </w:r>
      <w:r>
        <w:rPr>
          <w:sz w:val="21"/>
          <w:color w:val="000000"/>
        </w:rPr>
        <w:t>所在地人民法院提起诉讼。</w:t>
      </w:r>
    </w:p>
    <w:p>
      <w:pPr>
        <w:pStyle w:val="null3"/>
        <w:ind w:firstLine="495"/>
        <w:jc w:val="both"/>
      </w:pPr>
      <w:r>
        <w:rPr>
          <w:sz w:val="21"/>
          <w:color w:val="000000"/>
        </w:rPr>
        <w:t>13.3 在争议解决期间，合同中未涉及争议部分的条款仍须履行。</w:t>
      </w:r>
    </w:p>
    <w:p>
      <w:pPr>
        <w:pStyle w:val="null3"/>
        <w:jc w:val="both"/>
      </w:pPr>
      <w:r>
        <w:rPr>
          <w:sz w:val="21"/>
          <w:b/>
          <w:color w:val="000000"/>
        </w:rPr>
        <w:t>第</w:t>
      </w:r>
      <w:r>
        <w:rPr>
          <w:sz w:val="21"/>
          <w:b/>
          <w:color w:val="000000"/>
        </w:rPr>
        <w:t>14条  通知送达</w:t>
      </w:r>
    </w:p>
    <w:p>
      <w:pPr>
        <w:pStyle w:val="null3"/>
        <w:ind w:firstLine="420"/>
        <w:jc w:val="both"/>
      </w:pPr>
      <w:r>
        <w:rPr>
          <w:sz w:val="21"/>
          <w:color w:val="000000"/>
        </w:rPr>
        <w:t>14.1甲乙双方确认以下送达方</w:t>
      </w:r>
      <w:r>
        <w:rPr>
          <w:sz w:val="21"/>
        </w:rPr>
        <w:t>式：【注释：联系方式仅保留有内容部分，不能有空缺】</w:t>
      </w:r>
    </w:p>
    <w:p>
      <w:pPr>
        <w:pStyle w:val="null3"/>
        <w:ind w:firstLine="420"/>
        <w:jc w:val="both"/>
      </w:pPr>
      <w:r>
        <w:rPr>
          <w:sz w:val="21"/>
        </w:rPr>
        <w:t xml:space="preserve">  </w:t>
      </w:r>
      <w:r>
        <w:rPr>
          <w:sz w:val="21"/>
        </w:rPr>
        <w:t>14.1.1 甲方地址：广州市机场路16号广州中医药大学第一附属医院（网络数据信息科）</w:t>
      </w:r>
    </w:p>
    <w:p>
      <w:pPr>
        <w:pStyle w:val="null3"/>
        <w:ind w:firstLine="420"/>
        <w:jc w:val="both"/>
      </w:pPr>
      <w:r>
        <w:rPr>
          <w:sz w:val="21"/>
        </w:rPr>
        <w:t xml:space="preserve">  </w:t>
      </w:r>
      <w:r>
        <w:rPr>
          <w:sz w:val="21"/>
        </w:rPr>
        <w:t>联系人：</w:t>
      </w:r>
    </w:p>
    <w:p>
      <w:pPr>
        <w:pStyle w:val="null3"/>
        <w:ind w:firstLine="420"/>
        <w:jc w:val="both"/>
      </w:pPr>
      <w:r>
        <w:rPr>
          <w:sz w:val="21"/>
        </w:rPr>
        <w:t xml:space="preserve">  </w:t>
      </w:r>
      <w:r>
        <w:rPr>
          <w:sz w:val="21"/>
        </w:rPr>
        <w:t>联系方式：</w:t>
      </w:r>
      <w:r>
        <w:rPr>
          <w:sz w:val="21"/>
        </w:rPr>
        <w:t>020-36591289或020-36591854</w:t>
      </w:r>
    </w:p>
    <w:p>
      <w:pPr>
        <w:pStyle w:val="null3"/>
        <w:ind w:firstLine="420"/>
        <w:jc w:val="both"/>
      </w:pPr>
      <w:r>
        <w:rPr>
          <w:sz w:val="21"/>
        </w:rPr>
        <w:t xml:space="preserve">  </w:t>
      </w:r>
      <w:r>
        <w:rPr>
          <w:sz w:val="21"/>
        </w:rPr>
        <w:t>微信：</w:t>
      </w:r>
    </w:p>
    <w:p>
      <w:pPr>
        <w:pStyle w:val="null3"/>
        <w:ind w:firstLine="420"/>
        <w:jc w:val="both"/>
      </w:pPr>
      <w:r>
        <w:rPr>
          <w:sz w:val="21"/>
        </w:rPr>
        <w:t xml:space="preserve">  </w:t>
      </w:r>
      <w:r>
        <w:rPr>
          <w:sz w:val="21"/>
        </w:rPr>
        <w:t>QQ：</w:t>
      </w:r>
    </w:p>
    <w:p>
      <w:pPr>
        <w:pStyle w:val="null3"/>
        <w:ind w:firstLine="420"/>
        <w:jc w:val="both"/>
      </w:pPr>
      <w:r>
        <w:rPr>
          <w:sz w:val="21"/>
        </w:rPr>
        <w:t xml:space="preserve">  </w:t>
      </w:r>
      <w:r>
        <w:rPr>
          <w:sz w:val="21"/>
        </w:rPr>
        <w:t>邮箱地址：</w:t>
      </w:r>
    </w:p>
    <w:p>
      <w:pPr>
        <w:pStyle w:val="null3"/>
        <w:ind w:firstLine="420"/>
        <w:jc w:val="both"/>
      </w:pPr>
      <w:r>
        <w:rPr>
          <w:sz w:val="21"/>
        </w:rPr>
        <w:t xml:space="preserve">  </w:t>
      </w:r>
      <w:r>
        <w:rPr>
          <w:sz w:val="21"/>
        </w:rPr>
        <w:t>14.1.2 乙方地址：</w:t>
      </w:r>
    </w:p>
    <w:p>
      <w:pPr>
        <w:pStyle w:val="null3"/>
        <w:ind w:firstLine="420"/>
        <w:jc w:val="both"/>
      </w:pPr>
      <w:r>
        <w:rPr>
          <w:sz w:val="21"/>
        </w:rPr>
        <w:t xml:space="preserve">  </w:t>
      </w:r>
      <w:r>
        <w:rPr>
          <w:sz w:val="21"/>
        </w:rPr>
        <w:t>联系人：</w:t>
      </w:r>
    </w:p>
    <w:p>
      <w:pPr>
        <w:pStyle w:val="null3"/>
        <w:ind w:firstLine="420"/>
        <w:jc w:val="both"/>
      </w:pPr>
      <w:r>
        <w:rPr>
          <w:sz w:val="21"/>
        </w:rPr>
        <w:t xml:space="preserve">  </w:t>
      </w:r>
      <w:r>
        <w:rPr>
          <w:sz w:val="21"/>
        </w:rPr>
        <w:t>联系方式：</w:t>
      </w:r>
    </w:p>
    <w:p>
      <w:pPr>
        <w:pStyle w:val="null3"/>
        <w:ind w:firstLine="420"/>
        <w:jc w:val="both"/>
      </w:pPr>
      <w:r>
        <w:rPr>
          <w:sz w:val="21"/>
        </w:rPr>
        <w:t xml:space="preserve">  </w:t>
      </w:r>
      <w:r>
        <w:rPr>
          <w:sz w:val="21"/>
        </w:rPr>
        <w:t>微信：</w:t>
      </w:r>
    </w:p>
    <w:p>
      <w:pPr>
        <w:pStyle w:val="null3"/>
        <w:ind w:firstLine="420"/>
        <w:jc w:val="both"/>
      </w:pPr>
      <w:r>
        <w:rPr>
          <w:sz w:val="21"/>
        </w:rPr>
        <w:t xml:space="preserve">  </w:t>
      </w:r>
      <w:r>
        <w:rPr>
          <w:sz w:val="21"/>
        </w:rPr>
        <w:t>QQ：</w:t>
      </w:r>
    </w:p>
    <w:p>
      <w:pPr>
        <w:pStyle w:val="null3"/>
        <w:ind w:firstLine="420"/>
        <w:jc w:val="both"/>
      </w:pPr>
      <w:r>
        <w:rPr>
          <w:sz w:val="21"/>
        </w:rPr>
        <w:t xml:space="preserve">  </w:t>
      </w:r>
      <w:r>
        <w:rPr>
          <w:sz w:val="21"/>
        </w:rPr>
        <w:t>邮箱地址：</w:t>
      </w:r>
    </w:p>
    <w:p>
      <w:pPr>
        <w:pStyle w:val="null3"/>
        <w:ind w:firstLine="420"/>
        <w:jc w:val="both"/>
      </w:pPr>
      <w:r>
        <w:rPr>
          <w:sz w:val="21"/>
          <w:color w:val="000000"/>
        </w:rPr>
        <w:t xml:space="preserve">  </w:t>
      </w:r>
      <w:r>
        <w:rPr>
          <w:sz w:val="21"/>
          <w:color w:val="000000"/>
        </w:rPr>
        <w:t>甲乙双方确认，上述送达方式真实有效。任何一方向对方发出的有关本合同的通知，均应以上述约定送达方式为准，否则无效。</w:t>
      </w:r>
    </w:p>
    <w:p>
      <w:pPr>
        <w:pStyle w:val="null3"/>
        <w:ind w:firstLine="420"/>
        <w:jc w:val="both"/>
      </w:pPr>
      <w:r>
        <w:rPr>
          <w:sz w:val="21"/>
          <w:color w:val="000000"/>
        </w:rPr>
        <w:t>14.2 任何一方上述任一送达方式发生变更的，变更方应提前3个工作日通过EMS特快专递的方式按本合同中约定的送达地址书面通知对方。否则，由此造成的损失一律由变更方承担。收到变更通知一方应就变更已发生至收到变更通知书期间发生的送达，根据变更后的送达信息再进行一次送达，保证合同履行的效果。</w:t>
      </w:r>
    </w:p>
    <w:p>
      <w:pPr>
        <w:pStyle w:val="null3"/>
        <w:ind w:firstLine="420"/>
        <w:jc w:val="both"/>
      </w:pPr>
      <w:r>
        <w:rPr>
          <w:sz w:val="21"/>
          <w:color w:val="000000"/>
        </w:rPr>
        <w:t>14.3 甲乙双方确认前述送达方式亦为双方解决争议时接收法院、仲裁机构的诉讼、仲裁等法律文书之送达地址。人民法院按照上述送达信息和送达方式进行送达的，即使送达不成，亦具有推定送达的法律后果。</w:t>
      </w:r>
    </w:p>
    <w:p>
      <w:pPr>
        <w:pStyle w:val="null3"/>
        <w:ind w:firstLine="420"/>
        <w:jc w:val="both"/>
      </w:pPr>
      <w:r>
        <w:rPr>
          <w:sz w:val="21"/>
          <w:color w:val="000000"/>
        </w:rPr>
        <w:t>14.4 本条款具有独立法律效力，不因合同其他条款的无效而无效。</w:t>
      </w:r>
    </w:p>
    <w:p>
      <w:pPr>
        <w:pStyle w:val="null3"/>
        <w:jc w:val="both"/>
      </w:pPr>
      <w:r>
        <w:rPr>
          <w:sz w:val="21"/>
          <w:b/>
          <w:color w:val="000000"/>
        </w:rPr>
        <w:t>第</w:t>
      </w:r>
      <w:r>
        <w:rPr>
          <w:sz w:val="21"/>
          <w:b/>
          <w:color w:val="000000"/>
        </w:rPr>
        <w:t>15条  合同生效</w:t>
      </w:r>
    </w:p>
    <w:p>
      <w:pPr>
        <w:pStyle w:val="null3"/>
        <w:ind w:firstLine="495"/>
        <w:jc w:val="both"/>
      </w:pPr>
      <w:r>
        <w:rPr>
          <w:sz w:val="21"/>
          <w:color w:val="000000"/>
        </w:rPr>
        <w:t>本合同自双方法定代表人（负责人）或其授权代表签署并加盖双方公章或合同专用章，</w:t>
      </w:r>
      <w:r>
        <w:rPr>
          <w:sz w:val="21"/>
          <w:color w:val="000000"/>
        </w:rPr>
        <w:t>合同自最后一方签字盖章之日起即时生效</w:t>
      </w:r>
      <w:r>
        <w:rPr>
          <w:sz w:val="21"/>
          <w:color w:val="000000"/>
        </w:rPr>
        <w:t>。</w:t>
      </w:r>
    </w:p>
    <w:p>
      <w:pPr>
        <w:pStyle w:val="null3"/>
        <w:jc w:val="both"/>
      </w:pPr>
      <w:r>
        <w:rPr>
          <w:sz w:val="21"/>
          <w:b/>
          <w:color w:val="000000"/>
        </w:rPr>
        <w:t>第</w:t>
      </w:r>
      <w:r>
        <w:rPr>
          <w:sz w:val="21"/>
          <w:b/>
          <w:color w:val="000000"/>
        </w:rPr>
        <w:t>1</w:t>
      </w:r>
      <w:r>
        <w:rPr>
          <w:sz w:val="21"/>
          <w:b/>
          <w:color w:val="000000"/>
        </w:rPr>
        <w:t>6条 合同解除</w:t>
      </w:r>
    </w:p>
    <w:p>
      <w:pPr>
        <w:pStyle w:val="null3"/>
        <w:ind w:firstLine="495"/>
        <w:jc w:val="both"/>
      </w:pPr>
      <w:r>
        <w:rPr>
          <w:sz w:val="21"/>
          <w:color w:val="000000"/>
        </w:rPr>
        <w:t>如一方严重违反合同，另一方决定解除合同的</w:t>
      </w:r>
      <w:r>
        <w:rPr>
          <w:sz w:val="21"/>
          <w:color w:val="000000"/>
        </w:rPr>
        <w:t>，</w:t>
      </w:r>
      <w:r>
        <w:rPr>
          <w:sz w:val="21"/>
          <w:color w:val="000000"/>
        </w:rPr>
        <w:t>合同自另一方按合同约定的联系地址寄出解除通知之日起解除。</w:t>
      </w:r>
    </w:p>
    <w:p>
      <w:pPr>
        <w:pStyle w:val="null3"/>
        <w:jc w:val="both"/>
      </w:pPr>
      <w:r>
        <w:rPr>
          <w:sz w:val="21"/>
          <w:b/>
          <w:color w:val="000000"/>
        </w:rPr>
        <w:t>第</w:t>
      </w:r>
      <w:r>
        <w:rPr>
          <w:sz w:val="21"/>
          <w:b/>
          <w:color w:val="000000"/>
        </w:rPr>
        <w:t>1</w:t>
      </w:r>
      <w:r>
        <w:rPr>
          <w:sz w:val="21"/>
          <w:b/>
          <w:color w:val="000000"/>
        </w:rPr>
        <w:t>7条  其他约定事项</w:t>
      </w:r>
    </w:p>
    <w:p>
      <w:pPr>
        <w:pStyle w:val="null3"/>
        <w:ind w:firstLine="495"/>
        <w:jc w:val="both"/>
      </w:pPr>
      <w:r>
        <w:rPr>
          <w:sz w:val="21"/>
          <w:color w:val="000000"/>
        </w:rPr>
        <w:t>本合同一式伍份，甲方持肆份、乙方持壹份，</w:t>
      </w:r>
      <w:r>
        <w:rPr>
          <w:sz w:val="21"/>
          <w:color w:val="000000"/>
        </w:rPr>
        <w:t>具有同等法律效力</w:t>
      </w:r>
      <w:r>
        <w:rPr>
          <w:sz w:val="21"/>
          <w:color w:val="000000"/>
        </w:rPr>
        <w:t>。</w:t>
      </w:r>
    </w:p>
    <w:p>
      <w:pPr>
        <w:pStyle w:val="null3"/>
        <w:jc w:val="both"/>
      </w:pPr>
      <w:r>
        <w:rPr>
          <w:sz w:val="21"/>
          <w:b/>
          <w:color w:val="000000"/>
        </w:rPr>
        <w:t>第</w:t>
      </w:r>
      <w:r>
        <w:rPr>
          <w:sz w:val="21"/>
          <w:b/>
          <w:color w:val="000000"/>
        </w:rPr>
        <w:t>1</w:t>
      </w:r>
      <w:r>
        <w:rPr>
          <w:sz w:val="21"/>
          <w:b/>
          <w:color w:val="000000"/>
        </w:rPr>
        <w:t>8条 附件</w:t>
      </w:r>
    </w:p>
    <w:p>
      <w:pPr>
        <w:pStyle w:val="null3"/>
        <w:ind w:firstLine="495"/>
        <w:jc w:val="both"/>
      </w:pPr>
      <w:r>
        <w:rPr>
          <w:sz w:val="21"/>
          <w:color w:val="000000"/>
        </w:rPr>
        <w:t>有关补充文件作为合同附件，经双方确认后与本合同具有同等法律效力。</w:t>
      </w:r>
      <w:r>
        <w:rPr>
          <w:sz w:val="21"/>
          <w:color w:val="000000"/>
        </w:rPr>
        <w:t>附件名称：</w:t>
      </w:r>
    </w:p>
    <w:p>
      <w:pPr>
        <w:pStyle w:val="null3"/>
        <w:ind w:firstLine="495"/>
        <w:jc w:val="both"/>
      </w:pPr>
      <w:r>
        <w:rPr>
          <w:sz w:val="21"/>
          <w:color w:val="000000"/>
        </w:rPr>
        <w:t>附件一</w:t>
      </w:r>
      <w:r>
        <w:rPr>
          <w:sz w:val="21"/>
          <w:color w:val="000000"/>
        </w:rPr>
        <w:t>:《</w:t>
      </w:r>
      <w:r>
        <w:rPr>
          <w:sz w:val="21"/>
        </w:rPr>
        <w:t>广州中医药大学第一附属医院信息系统及集成平台运维服务</w:t>
      </w:r>
      <w:r>
        <w:rPr>
          <w:sz w:val="21"/>
          <w:color w:val="000000"/>
        </w:rPr>
        <w:t>项目服务范围及内容》</w:t>
      </w:r>
    </w:p>
    <w:p>
      <w:pPr>
        <w:pStyle w:val="null3"/>
        <w:ind w:firstLine="495"/>
        <w:jc w:val="both"/>
      </w:pPr>
      <w:r>
        <w:rPr>
          <w:sz w:val="21"/>
          <w:color w:val="000000"/>
        </w:rPr>
        <w:t>附件二</w:t>
      </w:r>
      <w:r>
        <w:rPr>
          <w:sz w:val="21"/>
          <w:color w:val="000000"/>
        </w:rPr>
        <w:t>:《维护服务考核方案》</w:t>
      </w:r>
    </w:p>
    <w:p>
      <w:pPr>
        <w:pStyle w:val="null3"/>
        <w:ind w:left="4935"/>
        <w:jc w:val="both"/>
      </w:pPr>
      <w:r>
        <w:rPr>
          <w:sz w:val="21"/>
          <w:color w:val="000000"/>
        </w:rPr>
        <w:t>（以下无正文</w:t>
      </w:r>
      <w:r>
        <w:rPr>
          <w:sz w:val="21"/>
          <w:color w:val="000000"/>
        </w:rPr>
        <w:t>,为合同之签</w:t>
      </w:r>
      <w:r>
        <w:rPr>
          <w:sz w:val="21"/>
        </w:rPr>
        <w:t>章页）【注意：签章页内容不要被分隔到不同的两页显示】</w:t>
      </w:r>
    </w:p>
    <w:p>
      <w:pPr>
        <w:pStyle w:val="null3"/>
        <w:jc w:val="left"/>
      </w:pPr>
      <w:r>
        <w:rPr/>
        <w:t xml:space="preserve"> </w:t>
      </w:r>
    </w:p>
    <w:p>
      <w:pPr>
        <w:pStyle w:val="null3"/>
        <w:jc w:val="both"/>
      </w:pPr>
      <w:r>
        <w:rPr/>
        <w:t xml:space="preserve"> </w:t>
      </w:r>
    </w:p>
    <w:p>
      <w:pPr>
        <w:pStyle w:val="null3"/>
        <w:jc w:val="both"/>
      </w:pPr>
      <w:r>
        <w:rPr>
          <w:sz w:val="24"/>
          <w:b/>
        </w:rPr>
        <w:t>甲方：广州中医药大学第一附属医院</w:t>
      </w:r>
      <w:r>
        <w:rPr>
          <w:sz w:val="21"/>
          <w:b/>
        </w:rPr>
        <w:t xml:space="preserve">         </w:t>
      </w:r>
      <w:r>
        <w:rPr>
          <w:sz w:val="24"/>
          <w:b/>
        </w:rPr>
        <w:t>乙方：</w:t>
      </w:r>
      <w:r>
        <w:rPr>
          <w:sz w:val="24"/>
          <w:b/>
        </w:rPr>
        <w:t>XXXXXXXXXX公司</w:t>
      </w:r>
    </w:p>
    <w:p>
      <w:pPr>
        <w:pStyle w:val="null3"/>
        <w:jc w:val="both"/>
      </w:pPr>
      <w:r>
        <w:rPr>
          <w:sz w:val="24"/>
          <w:b/>
        </w:rPr>
        <w:t>法定代表人或授权代表人：</w:t>
      </w:r>
      <w:r>
        <w:rPr>
          <w:sz w:val="24"/>
          <w:b/>
        </w:rPr>
        <w:t xml:space="preserve">                 </w:t>
      </w:r>
      <w:r>
        <w:rPr>
          <w:sz w:val="24"/>
          <w:b/>
        </w:rPr>
        <w:t>法定代表人或授权代表人：</w:t>
      </w:r>
      <w:r>
        <w:rPr>
          <w:sz w:val="24"/>
          <w:b/>
        </w:rPr>
        <w:t xml:space="preserve">                         </w:t>
      </w:r>
    </w:p>
    <w:p>
      <w:pPr>
        <w:pStyle w:val="null3"/>
        <w:jc w:val="both"/>
      </w:pPr>
      <w:r>
        <w:rPr>
          <w:sz w:val="24"/>
          <w:b/>
        </w:rPr>
        <w:t>日期：日期：</w:t>
      </w:r>
    </w:p>
    <w:p>
      <w:pPr>
        <w:pStyle w:val="null3"/>
        <w:ind w:left="6030"/>
        <w:jc w:val="both"/>
      </w:pPr>
      <w:r>
        <w:rPr>
          <w:sz w:val="24"/>
          <w:b/>
        </w:rPr>
        <w:t>纳税人识别码：</w:t>
      </w:r>
      <w:r>
        <w:rPr>
          <w:sz w:val="24"/>
          <w:b/>
        </w:rPr>
        <w:t>12440000455860170T地址：</w:t>
      </w:r>
    </w:p>
    <w:p>
      <w:pPr>
        <w:pStyle w:val="null3"/>
        <w:jc w:val="both"/>
      </w:pPr>
      <w:r>
        <w:rPr>
          <w:sz w:val="24"/>
          <w:b/>
        </w:rPr>
        <w:t>地</w:t>
      </w:r>
      <w:r>
        <w:rPr>
          <w:sz w:val="24"/>
          <w:b/>
        </w:rPr>
        <w:t xml:space="preserve">  </w:t>
      </w:r>
      <w:r>
        <w:rPr>
          <w:sz w:val="24"/>
          <w:b/>
        </w:rPr>
        <w:t>址：广州市机场路</w:t>
      </w:r>
      <w:r>
        <w:rPr>
          <w:sz w:val="24"/>
          <w:b/>
        </w:rPr>
        <w:t>16号          电话：</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1"/>
          <w:b/>
          <w:color w:val="000000"/>
        </w:rPr>
        <w:t>附件一：《</w:t>
      </w:r>
      <w:r>
        <w:rPr>
          <w:sz w:val="21"/>
          <w:b/>
        </w:rPr>
        <w:t>广州中医药大学第一附属医院信息系统及集成平台运维服务</w:t>
      </w:r>
      <w:r>
        <w:rPr>
          <w:sz w:val="21"/>
          <w:b/>
          <w:color w:val="000000"/>
        </w:rPr>
        <w:t>项目</w:t>
      </w:r>
      <w:r>
        <w:rPr>
          <w:sz w:val="21"/>
          <w:b/>
          <w:color w:val="000000"/>
        </w:rPr>
        <w:t>服务范围及内容</w:t>
      </w:r>
      <w:r>
        <w:rPr>
          <w:sz w:val="21"/>
          <w:b/>
          <w:color w:val="000000"/>
        </w:rPr>
        <w:t>》</w:t>
      </w:r>
    </w:p>
    <w:p>
      <w:pPr>
        <w:pStyle w:val="null3"/>
        <w:jc w:val="both"/>
      </w:pPr>
      <w:r>
        <w:rPr>
          <w:sz w:val="21"/>
          <w:b/>
          <w:color w:val="000000"/>
        </w:rPr>
        <w:t>涵盖内容：甲方所使用的</w:t>
      </w:r>
      <w:r>
        <w:rPr>
          <w:sz w:val="21"/>
          <w:b/>
          <w:color w:val="000000"/>
        </w:rPr>
        <w:t>XXXXXXXX系统，包括但不限于电脑端全部功能模块（含与第三方系统的对接部分）的维护与服务。</w:t>
      </w:r>
    </w:p>
    <w:p>
      <w:pPr>
        <w:pStyle w:val="null3"/>
        <w:jc w:val="both"/>
      </w:pPr>
      <w:r>
        <w:rPr>
          <w:sz w:val="21"/>
          <w:b/>
          <w:color w:val="000000"/>
        </w:rPr>
        <w:t>注：</w:t>
      </w:r>
      <w:r>
        <w:rPr>
          <w:sz w:val="22"/>
          <w:b/>
          <w:color w:val="000000"/>
          <w:u w:val="single"/>
          <w:shd w:fill="FDFDFE" w:val="clear"/>
        </w:rPr>
        <w:t>涉及数据库、程序、系统版本等更新时</w:t>
      </w:r>
      <w:r>
        <w:rPr>
          <w:sz w:val="22"/>
          <w:b/>
          <w:color w:val="000000"/>
          <w:shd w:fill="FDFDFE" w:val="clear"/>
        </w:rPr>
        <w:t>，原则上，乙方必须派遣专业人员至甲方</w:t>
      </w:r>
      <w:r>
        <w:rPr>
          <w:sz w:val="22"/>
          <w:b/>
          <w:color w:val="000000"/>
          <w:u w:val="single"/>
          <w:shd w:fill="FDFDFE" w:val="clear"/>
        </w:rPr>
        <w:t>现场进行处理</w:t>
      </w:r>
      <w:r>
        <w:rPr>
          <w:sz w:val="22"/>
          <w:b/>
          <w:color w:val="000000"/>
          <w:shd w:fill="FDFDFE" w:val="clear"/>
        </w:rPr>
        <w:t>，确保更新操作的安全性与准确性。在</w:t>
      </w:r>
      <w:r>
        <w:rPr>
          <w:sz w:val="22"/>
          <w:b/>
          <w:color w:val="000000"/>
          <w:u w:val="single"/>
          <w:shd w:fill="FDFDFE" w:val="clear"/>
        </w:rPr>
        <w:t>紧急情况下</w:t>
      </w:r>
      <w:r>
        <w:rPr>
          <w:sz w:val="22"/>
          <w:b/>
          <w:color w:val="000000"/>
          <w:shd w:fill="FDFDFE" w:val="clear"/>
        </w:rPr>
        <w:t>，乙方除需迅速响应外，还应主动向甲方</w:t>
      </w:r>
      <w:r>
        <w:rPr>
          <w:sz w:val="22"/>
          <w:b/>
          <w:color w:val="000000"/>
          <w:u w:val="single"/>
          <w:shd w:fill="FDFDFE" w:val="clear"/>
        </w:rPr>
        <w:t>提交申请以获取必要的远程开通权限</w:t>
      </w:r>
      <w:r>
        <w:rPr>
          <w:sz w:val="22"/>
          <w:b/>
          <w:color w:val="000000"/>
          <w:shd w:fill="FDFDFE" w:val="clear"/>
        </w:rPr>
        <w:t>，并即刻安排专业人员前往现场或采取其他必要措施以解决问题。</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616"/>
        <w:gridCol w:w="3397"/>
        <w:gridCol w:w="913"/>
        <w:gridCol w:w="883"/>
        <w:gridCol w:w="943"/>
        <w:gridCol w:w="554"/>
      </w:tblGrid>
      <w:tr>
        <w:tc>
          <w:tcPr>
            <w:tcW w:type="dxa" w:w="161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服务项目</w:t>
            </w:r>
          </w:p>
        </w:tc>
        <w:tc>
          <w:tcPr>
            <w:tcW w:type="dxa" w:w="339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服务内容</w:t>
            </w:r>
          </w:p>
        </w:tc>
        <w:tc>
          <w:tcPr>
            <w:tcW w:type="dxa" w:w="3293"/>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服务方式（</w:t>
            </w:r>
            <w:r>
              <w:rPr>
                <w:sz w:val="21"/>
                <w:color w:val="000000"/>
              </w:rPr>
              <w:t>“×”表示原则上，不得以该方式提供）</w:t>
            </w:r>
          </w:p>
        </w:tc>
      </w:tr>
      <w:tr>
        <w:tc>
          <w:tcPr>
            <w:tcW w:type="dxa" w:w="1616"/>
            <w:vMerge/>
            <w:tcBorders>
              <w:top w:val="single" w:color="000000" w:sz="4"/>
              <w:left w:val="single" w:color="000000" w:sz="4"/>
              <w:bottom w:val="single" w:color="000000" w:sz="4"/>
              <w:right w:val="single" w:color="000000" w:sz="4"/>
            </w:tcBorders>
          </w:tcPr>
          <w:p/>
        </w:tc>
        <w:tc>
          <w:tcPr>
            <w:tcW w:type="dxa" w:w="3397"/>
            <w:vMerge/>
            <w:tcBorders>
              <w:top w:val="single" w:color="000000" w:sz="4"/>
              <w:left w:val="single" w:color="000000" w:sz="4"/>
              <w:bottom w:val="single" w:color="000000" w:sz="4"/>
              <w:right w:val="single" w:color="000000" w:sz="4"/>
            </w:tcBorders>
          </w:tcP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电话</w:t>
            </w:r>
            <w:r>
              <w:rPr>
                <w:sz w:val="21"/>
                <w:color w:val="000000"/>
              </w:rPr>
              <w:t>/在线服务</w:t>
            </w:r>
          </w:p>
        </w:tc>
        <w:tc>
          <w:tcPr>
            <w:tcW w:type="dxa" w:w="8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远程服务</w:t>
            </w:r>
          </w:p>
        </w:tc>
        <w:tc>
          <w:tcPr>
            <w:tcW w:type="dxa" w:w="9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现场服务</w:t>
            </w:r>
          </w:p>
        </w:tc>
        <w:tc>
          <w:tcPr>
            <w:tcW w:type="dxa" w:w="5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备注</w:t>
            </w:r>
          </w:p>
        </w:tc>
      </w:tr>
      <w:tr>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在线支持</w:t>
            </w:r>
          </w:p>
        </w:tc>
        <w:tc>
          <w:tcPr>
            <w:tcW w:type="dxa" w:w="3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在线</w:t>
            </w:r>
            <w:r>
              <w:rPr>
                <w:sz w:val="21"/>
                <w:color w:val="000000"/>
              </w:rPr>
              <w:t>QQ，微信，邮件技术支持</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p>
        </w:tc>
        <w:tc>
          <w:tcPr>
            <w:tcW w:type="dxa" w:w="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远程维护</w:t>
            </w:r>
          </w:p>
        </w:tc>
        <w:tc>
          <w:tcPr>
            <w:tcW w:type="dxa" w:w="3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在线远程技术维护</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p>
        </w:tc>
        <w:tc>
          <w:tcPr>
            <w:tcW w:type="dxa" w:w="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电话支持</w:t>
            </w:r>
          </w:p>
        </w:tc>
        <w:tc>
          <w:tcPr>
            <w:tcW w:type="dxa" w:w="3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电话支持</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月度电话回访</w:t>
            </w:r>
          </w:p>
        </w:tc>
        <w:tc>
          <w:tcPr>
            <w:tcW w:type="dxa" w:w="3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每月对用户使用情况进行回访</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p>
        </w:tc>
        <w:tc>
          <w:tcPr>
            <w:tcW w:type="dxa" w:w="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现场服务</w:t>
            </w:r>
          </w:p>
        </w:tc>
        <w:tc>
          <w:tcPr>
            <w:tcW w:type="dxa" w:w="3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应客户要求，上门提供服务</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软件功能修改</w:t>
            </w:r>
          </w:p>
        </w:tc>
        <w:tc>
          <w:tcPr>
            <w:tcW w:type="dxa" w:w="3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应甲方要求，对新的使用场景或跟其它系统对接等需求，满足对系统现有功能的修改或升级；甲方需新增或修改小的程序可经过友好协商给予配合，不另收取费用。</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p>
        </w:tc>
        <w:tc>
          <w:tcPr>
            <w:tcW w:type="dxa" w:w="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系统版本升级</w:t>
            </w:r>
          </w:p>
        </w:tc>
        <w:tc>
          <w:tcPr>
            <w:tcW w:type="dxa" w:w="3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升级使用的系统及开发版本</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p>
        </w:tc>
        <w:tc>
          <w:tcPr>
            <w:tcW w:type="dxa" w:w="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系统故障诊断</w:t>
            </w:r>
          </w:p>
        </w:tc>
        <w:tc>
          <w:tcPr>
            <w:tcW w:type="dxa" w:w="3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诊断系统故障原因，并提出排除故障措施，出具故障排查分析报告。</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p>
        </w:tc>
        <w:tc>
          <w:tcPr>
            <w:tcW w:type="dxa" w:w="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系统使用培训</w:t>
            </w:r>
          </w:p>
        </w:tc>
        <w:tc>
          <w:tcPr>
            <w:tcW w:type="dxa" w:w="3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指导临床用户使用系统，提高用户的系统应用能力和工作效率</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p>
        </w:tc>
        <w:tc>
          <w:tcPr>
            <w:tcW w:type="dxa" w:w="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系统维护培训</w:t>
            </w:r>
          </w:p>
        </w:tc>
        <w:tc>
          <w:tcPr>
            <w:tcW w:type="dxa" w:w="3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指导信息科进行系统日常维护</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p>
        </w:tc>
        <w:tc>
          <w:tcPr>
            <w:tcW w:type="dxa" w:w="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系统软件安装</w:t>
            </w:r>
          </w:p>
        </w:tc>
        <w:tc>
          <w:tcPr>
            <w:tcW w:type="dxa" w:w="3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为客户安装有效授权的客户端软件</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p>
        </w:tc>
        <w:tc>
          <w:tcPr>
            <w:tcW w:type="dxa" w:w="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数据修正</w:t>
            </w:r>
          </w:p>
        </w:tc>
        <w:tc>
          <w:tcPr>
            <w:tcW w:type="dxa" w:w="3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查找系统中出错的数据，并进行修正。数据的错误常见于操作失误，死机、断电等意外造成的数据错误。</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p>
        </w:tc>
        <w:tc>
          <w:tcPr>
            <w:tcW w:type="dxa" w:w="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数据备份</w:t>
            </w:r>
          </w:p>
        </w:tc>
        <w:tc>
          <w:tcPr>
            <w:tcW w:type="dxa" w:w="3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备份系统数据，确保系统数据安全有效。</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p>
        </w:tc>
        <w:tc>
          <w:tcPr>
            <w:tcW w:type="dxa" w:w="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数据恢复</w:t>
            </w:r>
          </w:p>
        </w:tc>
        <w:tc>
          <w:tcPr>
            <w:tcW w:type="dxa" w:w="3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恢复有效的备份系统数据。</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p>
        </w:tc>
        <w:tc>
          <w:tcPr>
            <w:tcW w:type="dxa" w:w="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系统接口优化</w:t>
            </w:r>
          </w:p>
        </w:tc>
        <w:tc>
          <w:tcPr>
            <w:tcW w:type="dxa" w:w="3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对系统接口进行检测，提出优化系统性能方案</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p>
        </w:tc>
        <w:tc>
          <w:tcPr>
            <w:tcW w:type="dxa" w:w="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定时巡检</w:t>
            </w:r>
          </w:p>
        </w:tc>
        <w:tc>
          <w:tcPr>
            <w:tcW w:type="dxa" w:w="3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经甲方许可，每季度进行一次定期现场巡检，对应用软件的软硬件环境进行检查，发现系统稳定运行的隐患因素并及时排除。向甲方出具系统巡检报告，内容包含巡检范围、结果及巡检建议。</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p>
        </w:tc>
        <w:tc>
          <w:tcPr>
            <w:tcW w:type="dxa" w:w="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both"/>
      </w:pPr>
      <w:r>
        <w:rPr/>
        <w:t xml:space="preserve"> </w:t>
      </w:r>
    </w:p>
    <w:p>
      <w:pPr>
        <w:pStyle w:val="null3"/>
        <w:jc w:val="both"/>
      </w:pPr>
      <w:r>
        <w:rPr/>
        <w:t xml:space="preserve"> </w:t>
      </w:r>
    </w:p>
    <w:p>
      <w:pPr>
        <w:pStyle w:val="null3"/>
        <w:jc w:val="both"/>
      </w:pPr>
      <w:r>
        <w:rPr>
          <w:sz w:val="22"/>
          <w:b/>
          <w:color w:val="000000"/>
        </w:rPr>
        <w:t>附件二：</w:t>
      </w:r>
      <w:r>
        <w:rPr>
          <w:sz w:val="22"/>
          <w:b/>
          <w:color w:val="000000"/>
        </w:rPr>
        <w:t>《维护服务考核方案》</w:t>
      </w:r>
    </w:p>
    <w:p>
      <w:pPr>
        <w:pStyle w:val="null3"/>
        <w:ind w:firstLine="440"/>
        <w:jc w:val="left"/>
      </w:pPr>
      <w:r>
        <w:rPr>
          <w:sz w:val="22"/>
          <w:color w:val="000000"/>
          <w:shd w:fill="FDFDFE" w:val="clear"/>
        </w:rPr>
        <w:t>甲方按年度指标考核乙方服务，方案概述如下：</w:t>
      </w:r>
    </w:p>
    <w:p>
      <w:pPr>
        <w:pStyle w:val="null3"/>
        <w:ind w:firstLine="442"/>
        <w:jc w:val="left"/>
      </w:pPr>
      <w:r>
        <w:rPr>
          <w:sz w:val="22"/>
          <w:b/>
          <w:color w:val="000000"/>
          <w:shd w:fill="FDFDFE" w:val="clear"/>
        </w:rPr>
        <w:t>一、考核概述</w:t>
      </w:r>
    </w:p>
    <w:p>
      <w:pPr>
        <w:pStyle w:val="null3"/>
        <w:ind w:firstLine="440"/>
        <w:jc w:val="left"/>
      </w:pPr>
      <w:r>
        <w:rPr>
          <w:sz w:val="22"/>
          <w:color w:val="000000"/>
          <w:shd w:fill="FDFDFE" w:val="clear"/>
        </w:rPr>
        <w:t>1.</w:t>
      </w:r>
      <w:r>
        <w:rPr>
          <w:sz w:val="22"/>
          <w:color w:val="000000"/>
          <w:shd w:fill="FDFDFE" w:val="clear"/>
        </w:rPr>
        <w:t>维护服务考核按年度进行。</w:t>
      </w:r>
    </w:p>
    <w:p>
      <w:pPr>
        <w:pStyle w:val="null3"/>
        <w:ind w:firstLine="440"/>
        <w:jc w:val="left"/>
      </w:pPr>
      <w:r>
        <w:rPr>
          <w:sz w:val="22"/>
          <w:color w:val="000000"/>
          <w:shd w:fill="FDFDFE" w:val="clear"/>
        </w:rPr>
        <w:t>2.</w:t>
      </w:r>
      <w:r>
        <w:rPr>
          <w:sz w:val="22"/>
          <w:color w:val="000000"/>
          <w:shd w:fill="FDFDFE" w:val="clear"/>
        </w:rPr>
        <w:t>维护年度结束后</w:t>
      </w:r>
      <w:r>
        <w:rPr>
          <w:sz w:val="22"/>
          <w:color w:val="000000"/>
          <w:shd w:fill="FDFDFE" w:val="clear"/>
        </w:rPr>
        <w:t>10</w:t>
      </w:r>
      <w:r>
        <w:rPr>
          <w:sz w:val="22"/>
          <w:color w:val="000000"/>
          <w:shd w:fill="FDFDFE" w:val="clear"/>
        </w:rPr>
        <w:t>个工作日内，乙方提供年度考核材料，甲方根据乙方的服务情况，结合实际调查和用户信息反馈，按照合同及各项服务要求，对服务管理各个流程的执行情况和成效、故障处理的完成时间、服务质量和成效进行考核。</w:t>
      </w:r>
    </w:p>
    <w:p>
      <w:pPr>
        <w:pStyle w:val="null3"/>
        <w:ind w:firstLine="442"/>
        <w:jc w:val="left"/>
      </w:pPr>
      <w:r>
        <w:rPr>
          <w:sz w:val="22"/>
          <w:b/>
          <w:color w:val="000000"/>
          <w:shd w:fill="FDFDFE" w:val="clear"/>
        </w:rPr>
        <w:t>二、考核依据</w:t>
      </w:r>
    </w:p>
    <w:p>
      <w:pPr>
        <w:pStyle w:val="null3"/>
        <w:ind w:firstLine="440"/>
        <w:jc w:val="left"/>
      </w:pPr>
      <w:r>
        <w:rPr>
          <w:sz w:val="22"/>
          <w:color w:val="000000"/>
          <w:shd w:fill="FDFDFE" w:val="clear"/>
        </w:rPr>
        <w:t>考核内容依据招标书、投标书、合同、相关承诺及相关补充文件（</w:t>
      </w:r>
      <w:r>
        <w:rPr>
          <w:sz w:val="22"/>
          <w:b/>
          <w:color w:val="000000"/>
          <w:shd w:fill="FDFDFE" w:val="clear"/>
        </w:rPr>
        <w:t>包括但不限于日常报修记录表、定期巡检报告、需求记录单、信息安全相关记录文件，及年度满意度调查表等</w:t>
      </w:r>
      <w:r>
        <w:rPr>
          <w:sz w:val="22"/>
          <w:color w:val="000000"/>
          <w:shd w:fill="FDFDFE" w:val="clear"/>
        </w:rPr>
        <w:t>）进行。</w:t>
      </w:r>
    </w:p>
    <w:p>
      <w:pPr>
        <w:pStyle w:val="null3"/>
        <w:ind w:firstLine="442"/>
        <w:jc w:val="left"/>
      </w:pPr>
      <w:r>
        <w:rPr>
          <w:sz w:val="22"/>
          <w:b/>
          <w:color w:val="000000"/>
          <w:shd w:fill="FDFDFE" w:val="clear"/>
        </w:rPr>
        <w:t>三、考核文件签署</w:t>
      </w:r>
    </w:p>
    <w:p>
      <w:pPr>
        <w:pStyle w:val="null3"/>
        <w:ind w:firstLine="440"/>
        <w:jc w:val="left"/>
      </w:pPr>
      <w:r>
        <w:rPr>
          <w:sz w:val="22"/>
          <w:color w:val="000000"/>
          <w:shd w:fill="FDFDFE" w:val="clear"/>
        </w:rPr>
        <w:t>每年服务期满后，乙方需撰写服务完成考核报告，由甲方委派的负责人在审核后签署。</w:t>
      </w:r>
    </w:p>
    <w:p>
      <w:pPr>
        <w:pStyle w:val="null3"/>
        <w:ind w:firstLine="442"/>
        <w:jc w:val="left"/>
      </w:pPr>
      <w:r>
        <w:rPr>
          <w:sz w:val="22"/>
          <w:b/>
          <w:color w:val="000000"/>
          <w:shd w:fill="FDFDFE" w:val="clear"/>
        </w:rPr>
        <w:t>四、具体服务考核指标</w:t>
      </w:r>
    </w:p>
    <w:p>
      <w:pPr>
        <w:pStyle w:val="null3"/>
        <w:ind w:firstLine="440"/>
        <w:jc w:val="left"/>
      </w:pPr>
      <w:r>
        <w:rPr>
          <w:sz w:val="22"/>
          <w:color w:val="000000"/>
          <w:shd w:fill="FDFDFE" w:val="clear"/>
        </w:rPr>
        <w:t>具体服务考核指标参见下表。考核采用扣分制，甲方信息部门根据被考核单位的工作情况及事件实时记录，年度考核时将扣分情况通报给乙方。</w:t>
      </w:r>
    </w:p>
    <w:p>
      <w:pPr>
        <w:pStyle w:val="null3"/>
        <w:ind w:firstLine="440"/>
        <w:jc w:val="left"/>
      </w:pPr>
      <w:r>
        <w:rPr>
          <w:sz w:val="22"/>
          <w:shd w:fill="FDFDFE" w:val="clear"/>
        </w:rPr>
        <w:t>【注释：响应具体时间可自行调整，分数占比非必要不作调整。】</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CCCCCC" w:sz="4"/>
              <w:left w:val="single" w:color="CCCCCC" w:sz="4"/>
              <w:bottom w:val="single" w:color="CCCCCC" w:sz="4"/>
              <w:right w:val="single" w:color="CCCCCC" w:sz="4"/>
            </w:tcBorders>
            <w:shd w:fill="F4F4F4"/>
            <w:tcMar>
              <w:top w:type="dxa" w:w="15"/>
              <w:left w:type="dxa" w:w="15"/>
              <w:bottom w:type="dxa" w:w="15"/>
              <w:right w:type="dxa" w:w="15"/>
            </w:tcMar>
            <w:vAlign w:val="top"/>
          </w:tcPr>
          <w:p>
            <w:pPr>
              <w:pStyle w:val="null3"/>
              <w:jc w:val="center"/>
            </w:pPr>
            <w:r>
              <w:rPr>
                <w:sz w:val="20"/>
              </w:rPr>
              <w:t>考核</w:t>
            </w:r>
          </w:p>
          <w:p>
            <w:pPr>
              <w:pStyle w:val="null3"/>
              <w:jc w:val="center"/>
            </w:pPr>
            <w:r>
              <w:rPr>
                <w:sz w:val="20"/>
              </w:rPr>
              <w:t>指标</w:t>
            </w:r>
          </w:p>
        </w:tc>
        <w:tc>
          <w:tcPr>
            <w:tcW w:type="dxa" w:w="2076"/>
            <w:tcBorders>
              <w:top w:val="single" w:color="CCCCCC" w:sz="4"/>
              <w:left w:val="none" w:color="000000" w:sz="4"/>
              <w:bottom w:val="single" w:color="CCCCCC" w:sz="4"/>
              <w:right w:val="single" w:color="CCCCCC" w:sz="4"/>
            </w:tcBorders>
            <w:shd w:fill="F4F4F4"/>
            <w:tcMar>
              <w:top w:type="dxa" w:w="15"/>
              <w:left w:type="dxa" w:w="15"/>
              <w:bottom w:type="dxa" w:w="15"/>
              <w:right w:type="dxa" w:w="15"/>
            </w:tcMar>
            <w:vAlign w:val="top"/>
          </w:tcPr>
          <w:p>
            <w:pPr>
              <w:pStyle w:val="null3"/>
              <w:jc w:val="center"/>
            </w:pPr>
            <w:r>
              <w:rPr>
                <w:sz w:val="20"/>
              </w:rPr>
              <w:t>具体要求</w:t>
            </w:r>
          </w:p>
        </w:tc>
        <w:tc>
          <w:tcPr>
            <w:tcW w:type="dxa" w:w="2076"/>
            <w:tcBorders>
              <w:top w:val="single" w:color="CCCCCC" w:sz="4"/>
              <w:left w:val="none" w:color="000000" w:sz="4"/>
              <w:bottom w:val="single" w:color="CCCCCC" w:sz="4"/>
              <w:right w:val="single" w:color="CCCCCC" w:sz="4"/>
            </w:tcBorders>
            <w:shd w:fill="F4F4F4"/>
            <w:tcMar>
              <w:top w:type="dxa" w:w="15"/>
              <w:left w:type="dxa" w:w="15"/>
              <w:bottom w:type="dxa" w:w="15"/>
              <w:right w:type="dxa" w:w="15"/>
            </w:tcMar>
            <w:vAlign w:val="top"/>
          </w:tcPr>
          <w:p>
            <w:pPr>
              <w:pStyle w:val="null3"/>
              <w:jc w:val="center"/>
            </w:pPr>
            <w:r>
              <w:rPr>
                <w:sz w:val="20"/>
              </w:rPr>
              <w:t>分数扣除说明</w:t>
            </w:r>
          </w:p>
        </w:tc>
        <w:tc>
          <w:tcPr>
            <w:tcW w:type="dxa" w:w="2076"/>
            <w:tcBorders>
              <w:top w:val="single" w:color="CCCCCC" w:sz="4"/>
              <w:left w:val="none" w:color="000000" w:sz="4"/>
              <w:bottom w:val="single" w:color="CCCCCC" w:sz="4"/>
              <w:right w:val="single" w:color="CCCCCC" w:sz="4"/>
            </w:tcBorders>
            <w:shd w:fill="F4F4F4"/>
            <w:tcMar>
              <w:top w:type="dxa" w:w="15"/>
              <w:left w:type="dxa" w:w="15"/>
              <w:bottom w:type="dxa" w:w="15"/>
              <w:right w:type="dxa" w:w="15"/>
            </w:tcMar>
            <w:vAlign w:val="top"/>
          </w:tcPr>
          <w:p>
            <w:pPr>
              <w:pStyle w:val="null3"/>
              <w:jc w:val="center"/>
            </w:pPr>
            <w:r>
              <w:rPr>
                <w:sz w:val="20"/>
              </w:rPr>
              <w:t>扣除</w:t>
            </w:r>
          </w:p>
          <w:p>
            <w:pPr>
              <w:pStyle w:val="null3"/>
              <w:jc w:val="center"/>
            </w:pPr>
            <w:r>
              <w:rPr>
                <w:sz w:val="20"/>
              </w:rPr>
              <w:t>依据</w:t>
            </w:r>
          </w:p>
        </w:tc>
      </w:tr>
      <w:tr>
        <w:tc>
          <w:tcPr>
            <w:tcW w:type="dxa" w:w="2076"/>
            <w:tcBorders>
              <w:top w:val="none" w:color="000000" w:sz="4"/>
              <w:left w:val="single" w:color="CCCCCC" w:sz="4"/>
              <w:bottom w:val="single" w:color="CCCCCC" w:sz="4"/>
              <w:right w:val="single" w:color="CCCCCC" w:sz="4"/>
            </w:tcBorders>
            <w:tcMar>
              <w:top w:type="dxa" w:w="15"/>
              <w:left w:type="dxa" w:w="15"/>
              <w:bottom w:type="dxa" w:w="15"/>
              <w:right w:type="dxa" w:w="15"/>
            </w:tcMar>
            <w:vAlign w:val="top"/>
          </w:tcPr>
          <w:p>
            <w:pPr>
              <w:pStyle w:val="null3"/>
              <w:jc w:val="left"/>
            </w:pPr>
            <w:r>
              <w:rPr>
                <w:sz w:val="20"/>
              </w:rPr>
              <w:t>一、紧急故障处理与响应</w:t>
            </w:r>
          </w:p>
        </w:tc>
        <w:tc>
          <w:tcPr>
            <w:tcW w:type="dxa" w:w="2076"/>
            <w:tcBorders>
              <w:top w:val="none" w:color="000000" w:sz="4"/>
              <w:left w:val="none" w:color="000000" w:sz="4"/>
              <w:bottom w:val="single" w:color="CCCCCC" w:sz="4"/>
              <w:right w:val="single" w:color="CCCCCC" w:sz="4"/>
            </w:tcBorders>
            <w:tcMar>
              <w:top w:type="dxa" w:w="15"/>
              <w:left w:type="dxa" w:w="15"/>
              <w:bottom w:type="dxa" w:w="15"/>
              <w:right w:type="dxa" w:w="15"/>
            </w:tcMar>
            <w:vAlign w:val="top"/>
          </w:tcPr>
          <w:p>
            <w:pPr>
              <w:pStyle w:val="null3"/>
              <w:jc w:val="left"/>
            </w:pPr>
            <w:r>
              <w:rPr>
                <w:sz w:val="20"/>
              </w:rPr>
              <w:t>要求</w:t>
            </w:r>
            <w:r>
              <w:rPr>
                <w:sz w:val="20"/>
              </w:rPr>
              <w:t>15分钟内响应，1小时到达现场，2小时内恢复系统正常运行（针对影响临床业务的情况）。</w:t>
            </w:r>
          </w:p>
        </w:tc>
        <w:tc>
          <w:tcPr>
            <w:tcW w:type="dxa" w:w="2076"/>
            <w:tcBorders>
              <w:top w:val="none" w:color="000000" w:sz="4"/>
              <w:left w:val="none" w:color="000000" w:sz="4"/>
              <w:bottom w:val="single" w:color="CCCCCC" w:sz="4"/>
              <w:right w:val="single" w:color="CCCCCC" w:sz="4"/>
            </w:tcBorders>
            <w:tcMar>
              <w:top w:type="dxa" w:w="15"/>
              <w:left w:type="dxa" w:w="15"/>
              <w:bottom w:type="dxa" w:w="15"/>
              <w:right w:type="dxa" w:w="15"/>
            </w:tcMar>
            <w:vAlign w:val="top"/>
          </w:tcPr>
          <w:p>
            <w:pPr>
              <w:pStyle w:val="null3"/>
              <w:jc w:val="left"/>
            </w:pPr>
            <w:r>
              <w:rPr>
                <w:sz w:val="20"/>
              </w:rPr>
              <w:t>响应超时扣</w:t>
            </w:r>
            <w:r>
              <w:rPr>
                <w:sz w:val="20"/>
              </w:rPr>
              <w:t>1分/次，到达现场超时扣1分/次，恢复系统超时扣2分/次。</w:t>
            </w:r>
          </w:p>
        </w:tc>
        <w:tc>
          <w:tcPr>
            <w:tcW w:type="dxa" w:w="2076"/>
            <w:tcBorders>
              <w:top w:val="none" w:color="000000" w:sz="4"/>
              <w:left w:val="none" w:color="000000" w:sz="4"/>
              <w:bottom w:val="single" w:color="CCCCCC" w:sz="4"/>
              <w:right w:val="single" w:color="CCCCCC" w:sz="4"/>
            </w:tcBorders>
            <w:tcMar>
              <w:top w:type="dxa" w:w="15"/>
              <w:left w:type="dxa" w:w="15"/>
              <w:bottom w:type="dxa" w:w="15"/>
              <w:right w:type="dxa" w:w="15"/>
            </w:tcMar>
            <w:vAlign w:val="top"/>
          </w:tcPr>
          <w:p>
            <w:pPr>
              <w:pStyle w:val="null3"/>
              <w:jc w:val="left"/>
            </w:pPr>
            <w:r>
              <w:rPr>
                <w:sz w:val="20"/>
              </w:rPr>
              <w:t>日常报修记录表</w:t>
            </w:r>
          </w:p>
          <w:p>
            <w:pPr>
              <w:pStyle w:val="null3"/>
              <w:jc w:val="left"/>
            </w:pPr>
          </w:p>
        </w:tc>
      </w:tr>
      <w:tr>
        <w:tc>
          <w:tcPr>
            <w:tcW w:type="dxa" w:w="2076"/>
            <w:tcBorders>
              <w:top w:val="none" w:color="000000" w:sz="4"/>
              <w:left w:val="single" w:color="CCCCCC" w:sz="4"/>
              <w:bottom w:val="single" w:color="CCCCCC" w:sz="4"/>
              <w:right w:val="single" w:color="CCCCCC" w:sz="4"/>
            </w:tcBorders>
            <w:tcMar>
              <w:top w:type="dxa" w:w="15"/>
              <w:left w:type="dxa" w:w="15"/>
              <w:bottom w:type="dxa" w:w="15"/>
              <w:right w:type="dxa" w:w="15"/>
            </w:tcMar>
            <w:vAlign w:val="top"/>
          </w:tcPr>
          <w:p>
            <w:pPr>
              <w:pStyle w:val="null3"/>
              <w:jc w:val="left"/>
            </w:pPr>
            <w:r>
              <w:rPr>
                <w:sz w:val="20"/>
                <w:color w:val="000000"/>
              </w:rPr>
              <w:t>二、远程技术支持与服务质量</w:t>
            </w:r>
          </w:p>
        </w:tc>
        <w:tc>
          <w:tcPr>
            <w:tcW w:type="dxa" w:w="2076"/>
            <w:tcBorders>
              <w:top w:val="none" w:color="000000" w:sz="4"/>
              <w:left w:val="none" w:color="000000" w:sz="4"/>
              <w:bottom w:val="single" w:color="CCCCCC" w:sz="4"/>
              <w:right w:val="single" w:color="CCCCCC" w:sz="4"/>
            </w:tcBorders>
            <w:tcMar>
              <w:top w:type="dxa" w:w="15"/>
              <w:left w:type="dxa" w:w="15"/>
              <w:bottom w:type="dxa" w:w="15"/>
              <w:right w:type="dxa" w:w="15"/>
            </w:tcMar>
            <w:vAlign w:val="top"/>
          </w:tcPr>
          <w:p>
            <w:pPr>
              <w:pStyle w:val="null3"/>
              <w:jc w:val="left"/>
            </w:pPr>
            <w:r>
              <w:rPr>
                <w:sz w:val="20"/>
                <w:color w:val="000000"/>
              </w:rPr>
              <w:t>提供</w:t>
            </w:r>
            <w:r>
              <w:rPr>
                <w:sz w:val="20"/>
                <w:color w:val="000000"/>
              </w:rPr>
              <w:t>7*24小时远程技术支持（电话、手机、微信等），及时响应并处理报障问题，服务态度热情、专业，准确解答用户问题并提供有效解决方案；如实记录在日常报修记录表中。</w:t>
            </w:r>
          </w:p>
        </w:tc>
        <w:tc>
          <w:tcPr>
            <w:tcW w:type="dxa" w:w="2076"/>
            <w:tcBorders>
              <w:top w:val="none" w:color="000000" w:sz="4"/>
              <w:left w:val="none" w:color="000000" w:sz="4"/>
              <w:bottom w:val="single" w:color="CCCCCC" w:sz="4"/>
              <w:right w:val="single" w:color="CCCCCC" w:sz="4"/>
            </w:tcBorders>
            <w:tcMar>
              <w:top w:type="dxa" w:w="15"/>
              <w:left w:type="dxa" w:w="15"/>
              <w:bottom w:type="dxa" w:w="15"/>
              <w:right w:type="dxa" w:w="15"/>
            </w:tcMar>
            <w:vAlign w:val="top"/>
          </w:tcPr>
          <w:p>
            <w:pPr>
              <w:pStyle w:val="null3"/>
              <w:jc w:val="left"/>
            </w:pPr>
            <w:r>
              <w:rPr>
                <w:sz w:val="20"/>
                <w:color w:val="000000"/>
              </w:rPr>
              <w:t>未响应扣</w:t>
            </w:r>
            <w:r>
              <w:rPr>
                <w:sz w:val="20"/>
                <w:color w:val="000000"/>
              </w:rPr>
              <w:t>1分/次，记录不完整扣1分/次，服务态度不佳或专业能力不足扣1分/次。</w:t>
            </w:r>
          </w:p>
        </w:tc>
        <w:tc>
          <w:tcPr>
            <w:tcW w:type="dxa" w:w="2076"/>
            <w:tcBorders>
              <w:top w:val="none" w:color="000000" w:sz="4"/>
              <w:left w:val="none" w:color="000000" w:sz="4"/>
              <w:bottom w:val="single" w:color="CCCCCC" w:sz="4"/>
              <w:right w:val="single" w:color="CCCCCC" w:sz="4"/>
            </w:tcBorders>
            <w:tcMar>
              <w:top w:type="dxa" w:w="15"/>
              <w:left w:type="dxa" w:w="15"/>
              <w:bottom w:type="dxa" w:w="15"/>
              <w:right w:type="dxa" w:w="15"/>
            </w:tcMar>
            <w:vAlign w:val="top"/>
          </w:tcPr>
          <w:p>
            <w:pPr>
              <w:pStyle w:val="null3"/>
              <w:jc w:val="left"/>
            </w:pPr>
            <w:r>
              <w:rPr>
                <w:sz w:val="20"/>
                <w:color w:val="000000"/>
              </w:rPr>
              <w:t>日常报修记录表</w:t>
            </w:r>
          </w:p>
        </w:tc>
      </w:tr>
      <w:tr>
        <w:tc>
          <w:tcPr>
            <w:tcW w:type="dxa" w:w="2076"/>
            <w:tcBorders>
              <w:top w:val="none" w:color="000000" w:sz="4"/>
              <w:left w:val="single" w:color="CCCCCC" w:sz="4"/>
              <w:bottom w:val="single" w:color="CCCCCC" w:sz="4"/>
              <w:right w:val="single" w:color="CCCCCC" w:sz="4"/>
            </w:tcBorders>
            <w:tcMar>
              <w:top w:type="dxa" w:w="15"/>
              <w:left w:type="dxa" w:w="15"/>
              <w:bottom w:type="dxa" w:w="15"/>
              <w:right w:type="dxa" w:w="15"/>
            </w:tcMar>
            <w:vAlign w:val="top"/>
          </w:tcPr>
          <w:p>
            <w:pPr>
              <w:pStyle w:val="null3"/>
              <w:jc w:val="left"/>
            </w:pPr>
            <w:r>
              <w:rPr>
                <w:sz w:val="20"/>
                <w:color w:val="000000"/>
              </w:rPr>
              <w:t>三、数据安全、隐私保护与信息管理</w:t>
            </w:r>
          </w:p>
        </w:tc>
        <w:tc>
          <w:tcPr>
            <w:tcW w:type="dxa" w:w="2076"/>
            <w:tcBorders>
              <w:top w:val="none" w:color="000000" w:sz="4"/>
              <w:left w:val="none" w:color="000000" w:sz="4"/>
              <w:bottom w:val="single" w:color="CCCCCC" w:sz="4"/>
              <w:right w:val="single" w:color="CCCCCC" w:sz="4"/>
            </w:tcBorders>
            <w:tcMar>
              <w:top w:type="dxa" w:w="15"/>
              <w:left w:type="dxa" w:w="15"/>
              <w:bottom w:type="dxa" w:w="15"/>
              <w:right w:type="dxa" w:w="15"/>
            </w:tcMar>
            <w:vAlign w:val="top"/>
          </w:tcPr>
          <w:p>
            <w:pPr>
              <w:pStyle w:val="null3"/>
              <w:jc w:val="left"/>
            </w:pPr>
            <w:r>
              <w:rPr>
                <w:sz w:val="20"/>
                <w:color w:val="000000"/>
              </w:rPr>
              <w:t>遵守国家信息安全等级保护制度及信息安全管理规范，确保系统建设达到相应等级的安全保护要求；及时修复安全漏洞扫描和风险评估发现的安全漏洞；采用</w:t>
            </w:r>
            <w:r>
              <w:rPr>
                <w:sz w:val="20"/>
                <w:color w:val="000000"/>
              </w:rPr>
              <w:t>VPN和堡垒机方式进行控制访问，确保访问安全；定期进行数据备份，并确保备份数据的完整性和可恢复性；保护患者隐私，未经授权不得泄露患者信息。注：“重大”违规事件指导致系统瘫痪、数据丢失或泄露、VPN或堡垒机账户信息泄露导致入侵攻击等对医院运营和患者信息安全造成严重影响的事件。</w:t>
            </w:r>
          </w:p>
        </w:tc>
        <w:tc>
          <w:tcPr>
            <w:tcW w:type="dxa" w:w="2076"/>
            <w:tcBorders>
              <w:top w:val="none" w:color="000000" w:sz="4"/>
              <w:left w:val="none" w:color="000000" w:sz="4"/>
              <w:bottom w:val="single" w:color="CCCCCC" w:sz="4"/>
              <w:right w:val="single" w:color="CCCCCC" w:sz="4"/>
            </w:tcBorders>
            <w:tcMar>
              <w:top w:type="dxa" w:w="15"/>
              <w:left w:type="dxa" w:w="15"/>
              <w:bottom w:type="dxa" w:w="15"/>
              <w:right w:type="dxa" w:w="15"/>
            </w:tcMar>
            <w:vAlign w:val="top"/>
          </w:tcPr>
          <w:p>
            <w:pPr>
              <w:pStyle w:val="null3"/>
              <w:jc w:val="left"/>
            </w:pPr>
            <w:r>
              <w:rPr>
                <w:sz w:val="20"/>
                <w:color w:val="000000"/>
              </w:rPr>
              <w:t>未遵守等保要求或信息安全管理规范扣</w:t>
            </w:r>
            <w:r>
              <w:rPr>
                <w:sz w:val="20"/>
                <w:color w:val="000000"/>
              </w:rPr>
              <w:t>5分/次，未及时修复安全漏洞扣5分/次，远程访问方式不当扣5分/次，未按时备份数据扣2分/次，泄露患者隐私或发生“重大”违规事件扣10分/次，并视情况终止合同。</w:t>
            </w:r>
          </w:p>
        </w:tc>
        <w:tc>
          <w:tcPr>
            <w:tcW w:type="dxa" w:w="2076"/>
            <w:tcBorders>
              <w:top w:val="none" w:color="000000" w:sz="4"/>
              <w:left w:val="none" w:color="000000" w:sz="4"/>
              <w:bottom w:val="single" w:color="CCCCCC" w:sz="4"/>
              <w:right w:val="single" w:color="CCCCCC" w:sz="4"/>
            </w:tcBorders>
            <w:tcMar>
              <w:top w:type="dxa" w:w="15"/>
              <w:left w:type="dxa" w:w="15"/>
              <w:bottom w:type="dxa" w:w="15"/>
              <w:right w:type="dxa" w:w="15"/>
            </w:tcMar>
            <w:vAlign w:val="top"/>
          </w:tcPr>
          <w:p>
            <w:pPr>
              <w:pStyle w:val="null3"/>
              <w:jc w:val="left"/>
            </w:pPr>
            <w:r>
              <w:rPr>
                <w:sz w:val="20"/>
                <w:color w:val="000000"/>
              </w:rPr>
              <w:t>安全漏洞修复报告等相关安全记录文件</w:t>
            </w:r>
          </w:p>
        </w:tc>
      </w:tr>
      <w:tr>
        <w:tc>
          <w:tcPr>
            <w:tcW w:type="dxa" w:w="2076"/>
            <w:tcBorders>
              <w:top w:val="none" w:color="000000" w:sz="4"/>
              <w:left w:val="single" w:color="CCCCCC" w:sz="4"/>
              <w:bottom w:val="single" w:color="CCCCCC" w:sz="4"/>
              <w:right w:val="single" w:color="CCCCCC" w:sz="4"/>
            </w:tcBorders>
            <w:tcMar>
              <w:top w:type="dxa" w:w="15"/>
              <w:left w:type="dxa" w:w="15"/>
              <w:bottom w:type="dxa" w:w="15"/>
              <w:right w:type="dxa" w:w="15"/>
            </w:tcMar>
            <w:vAlign w:val="top"/>
          </w:tcPr>
          <w:p>
            <w:pPr>
              <w:pStyle w:val="null3"/>
              <w:jc w:val="left"/>
            </w:pPr>
            <w:r>
              <w:rPr>
                <w:sz w:val="20"/>
                <w:color w:val="000000"/>
              </w:rPr>
              <w:t>四、定期巡检与功能完善</w:t>
            </w:r>
          </w:p>
        </w:tc>
        <w:tc>
          <w:tcPr>
            <w:tcW w:type="dxa" w:w="2076"/>
            <w:tcBorders>
              <w:top w:val="none" w:color="000000" w:sz="4"/>
              <w:left w:val="none" w:color="000000" w:sz="4"/>
              <w:bottom w:val="single" w:color="CCCCCC" w:sz="4"/>
              <w:right w:val="single" w:color="CCCCCC" w:sz="4"/>
            </w:tcBorders>
            <w:tcMar>
              <w:top w:type="dxa" w:w="15"/>
              <w:left w:type="dxa" w:w="15"/>
              <w:bottom w:type="dxa" w:w="15"/>
              <w:right w:type="dxa" w:w="15"/>
            </w:tcMar>
            <w:vAlign w:val="top"/>
          </w:tcPr>
          <w:p>
            <w:pPr>
              <w:pStyle w:val="null3"/>
              <w:jc w:val="left"/>
            </w:pPr>
            <w:r>
              <w:rPr>
                <w:sz w:val="20"/>
                <w:color w:val="000000"/>
              </w:rPr>
              <w:t>每季度进行定期现场巡检，检查软硬件环境，记录巡检结果；根据医院需求或政策性需求按协商工期要求及时完善系统功能，并记录功能变更情况。</w:t>
            </w:r>
          </w:p>
        </w:tc>
        <w:tc>
          <w:tcPr>
            <w:tcW w:type="dxa" w:w="2076"/>
            <w:tcBorders>
              <w:top w:val="none" w:color="000000" w:sz="4"/>
              <w:left w:val="none" w:color="000000" w:sz="4"/>
              <w:bottom w:val="single" w:color="CCCCCC" w:sz="4"/>
              <w:right w:val="single" w:color="CCCCCC" w:sz="4"/>
            </w:tcBorders>
            <w:tcMar>
              <w:top w:type="dxa" w:w="15"/>
              <w:left w:type="dxa" w:w="15"/>
              <w:bottom w:type="dxa" w:w="15"/>
              <w:right w:type="dxa" w:w="15"/>
            </w:tcMar>
            <w:vAlign w:val="top"/>
          </w:tcPr>
          <w:p>
            <w:pPr>
              <w:pStyle w:val="null3"/>
              <w:jc w:val="left"/>
            </w:pPr>
            <w:r>
              <w:rPr>
                <w:sz w:val="20"/>
                <w:color w:val="000000"/>
              </w:rPr>
              <w:t>未按时巡检扣</w:t>
            </w:r>
            <w:r>
              <w:rPr>
                <w:sz w:val="20"/>
                <w:color w:val="000000"/>
              </w:rPr>
              <w:t>2分/次，未及时完善功能扣3分/次。</w:t>
            </w:r>
          </w:p>
          <w:p>
            <w:pPr>
              <w:pStyle w:val="null3"/>
              <w:jc w:val="left"/>
            </w:pPr>
          </w:p>
        </w:tc>
        <w:tc>
          <w:tcPr>
            <w:tcW w:type="dxa" w:w="2076"/>
            <w:tcBorders>
              <w:top w:val="none" w:color="000000" w:sz="4"/>
              <w:left w:val="none" w:color="000000" w:sz="4"/>
              <w:bottom w:val="single" w:color="CCCCCC" w:sz="4"/>
              <w:right w:val="single" w:color="CCCCCC" w:sz="4"/>
            </w:tcBorders>
            <w:tcMar>
              <w:top w:type="dxa" w:w="15"/>
              <w:left w:type="dxa" w:w="15"/>
              <w:bottom w:type="dxa" w:w="15"/>
              <w:right w:type="dxa" w:w="15"/>
            </w:tcMar>
            <w:vAlign w:val="top"/>
          </w:tcPr>
          <w:p>
            <w:pPr>
              <w:pStyle w:val="null3"/>
              <w:jc w:val="left"/>
            </w:pPr>
            <w:r>
              <w:rPr>
                <w:sz w:val="20"/>
                <w:color w:val="000000"/>
              </w:rPr>
              <w:t>定期巡检报告、需求记录单</w:t>
            </w:r>
          </w:p>
        </w:tc>
      </w:tr>
      <w:tr>
        <w:tc>
          <w:tcPr>
            <w:tcW w:type="dxa" w:w="2076"/>
            <w:tcBorders>
              <w:top w:val="none" w:color="000000" w:sz="4"/>
              <w:left w:val="single" w:color="CCCCCC" w:sz="4"/>
              <w:bottom w:val="single" w:color="CCCCCC" w:sz="4"/>
              <w:right w:val="single" w:color="CCCCCC" w:sz="4"/>
            </w:tcBorders>
            <w:tcMar>
              <w:top w:type="dxa" w:w="15"/>
              <w:left w:type="dxa" w:w="15"/>
              <w:bottom w:type="dxa" w:w="15"/>
              <w:right w:type="dxa" w:w="15"/>
            </w:tcMar>
            <w:vAlign w:val="top"/>
          </w:tcPr>
          <w:p>
            <w:pPr>
              <w:pStyle w:val="null3"/>
              <w:jc w:val="left"/>
            </w:pPr>
            <w:r>
              <w:rPr>
                <w:sz w:val="20"/>
                <w:color w:val="000000"/>
              </w:rPr>
              <w:t>五、年度满意度调查</w:t>
            </w:r>
          </w:p>
        </w:tc>
        <w:tc>
          <w:tcPr>
            <w:tcW w:type="dxa" w:w="2076"/>
            <w:tcBorders>
              <w:top w:val="none" w:color="000000" w:sz="4"/>
              <w:left w:val="none" w:color="000000" w:sz="4"/>
              <w:bottom w:val="single" w:color="CCCCCC" w:sz="4"/>
              <w:right w:val="single" w:color="CCCCCC" w:sz="4"/>
            </w:tcBorders>
            <w:tcMar>
              <w:top w:type="dxa" w:w="15"/>
              <w:left w:type="dxa" w:w="15"/>
              <w:bottom w:type="dxa" w:w="15"/>
              <w:right w:type="dxa" w:w="15"/>
            </w:tcMar>
            <w:vAlign w:val="top"/>
          </w:tcPr>
          <w:p>
            <w:pPr>
              <w:pStyle w:val="null3"/>
              <w:jc w:val="left"/>
            </w:pPr>
            <w:r>
              <w:rPr>
                <w:sz w:val="20"/>
                <w:color w:val="000000"/>
              </w:rPr>
              <w:t>满意度调查在年度考核时填写，不细化到每次故障处理响应中。旨在用户评估乙方服务整体质量。</w:t>
            </w:r>
          </w:p>
        </w:tc>
        <w:tc>
          <w:tcPr>
            <w:tcW w:type="dxa" w:w="2076"/>
            <w:tcBorders>
              <w:top w:val="none" w:color="000000" w:sz="4"/>
              <w:left w:val="none" w:color="000000" w:sz="4"/>
              <w:bottom w:val="single" w:color="CCCCCC" w:sz="4"/>
              <w:right w:val="single" w:color="CCCCCC" w:sz="4"/>
            </w:tcBorders>
            <w:tcMar>
              <w:top w:type="dxa" w:w="15"/>
              <w:left w:type="dxa" w:w="15"/>
              <w:bottom w:type="dxa" w:w="15"/>
              <w:right w:type="dxa" w:w="15"/>
            </w:tcMar>
            <w:vAlign w:val="top"/>
          </w:tcPr>
          <w:p>
            <w:pPr>
              <w:pStyle w:val="null3"/>
              <w:jc w:val="left"/>
            </w:pPr>
            <w:r>
              <w:rPr>
                <w:sz w:val="20"/>
                <w:color w:val="000000"/>
              </w:rPr>
              <w:t>根据满意等级扣分。非常满意、满意不扣分、基本满意扣</w:t>
            </w:r>
            <w:r>
              <w:rPr>
                <w:sz w:val="20"/>
                <w:color w:val="000000"/>
              </w:rPr>
              <w:t>2分、不满意扣5分、非常不满意扣10分。</w:t>
            </w:r>
          </w:p>
        </w:tc>
        <w:tc>
          <w:tcPr>
            <w:tcW w:type="dxa" w:w="2076"/>
            <w:tcBorders>
              <w:top w:val="none" w:color="000000" w:sz="4"/>
              <w:left w:val="none" w:color="000000" w:sz="4"/>
              <w:bottom w:val="single" w:color="CCCCCC" w:sz="4"/>
              <w:right w:val="single" w:color="CCCCCC" w:sz="4"/>
            </w:tcBorders>
            <w:tcMar>
              <w:top w:type="dxa" w:w="15"/>
              <w:left w:type="dxa" w:w="15"/>
              <w:bottom w:type="dxa" w:w="15"/>
              <w:right w:type="dxa" w:w="15"/>
            </w:tcMar>
            <w:vAlign w:val="top"/>
          </w:tcPr>
          <w:p>
            <w:pPr>
              <w:pStyle w:val="null3"/>
              <w:jc w:val="left"/>
            </w:pPr>
            <w:r>
              <w:rPr>
                <w:sz w:val="20"/>
                <w:color w:val="000000"/>
              </w:rPr>
              <w:t>年度满意度调查表</w:t>
            </w:r>
          </w:p>
        </w:tc>
      </w:tr>
    </w:tbl>
    <w:p>
      <w:pPr>
        <w:pStyle w:val="null3"/>
        <w:jc w:val="left"/>
      </w:pPr>
      <w:r>
        <w:rPr>
          <w:sz w:val="22"/>
          <w:b/>
          <w:color w:val="000000"/>
          <w:shd w:fill="FDFDFE" w:val="clear"/>
        </w:rPr>
        <w:t>五、</w:t>
      </w:r>
      <w:r>
        <w:rPr>
          <w:sz w:val="22"/>
          <w:b/>
          <w:color w:val="000000"/>
          <w:shd w:fill="FDFDFE" w:val="clear"/>
        </w:rPr>
        <w:t>考核结果与费用扣除</w:t>
      </w:r>
    </w:p>
    <w:p>
      <w:pPr>
        <w:pStyle w:val="null3"/>
        <w:ind w:firstLine="440"/>
        <w:jc w:val="left"/>
      </w:pPr>
      <w:r>
        <w:rPr>
          <w:sz w:val="22"/>
          <w:color w:val="000000"/>
          <w:shd w:fill="FDFDFE" w:val="clear"/>
        </w:rPr>
        <w:t>考核采用扣分制。甲方信息部门依据乙方工作情况及事件实时记录，于每年度</w:t>
      </w:r>
      <w:r>
        <w:rPr>
          <w:sz w:val="22"/>
          <w:color w:val="000000"/>
          <w:shd w:fill="FDFDFE" w:val="clear"/>
        </w:rPr>
        <w:t>服务期满</w:t>
      </w:r>
      <w:r>
        <w:rPr>
          <w:sz w:val="22"/>
          <w:color w:val="000000"/>
          <w:shd w:fill="FDFDFE" w:val="clear"/>
        </w:rPr>
        <w:t>向乙方通报扣分详情。</w:t>
      </w:r>
    </w:p>
    <w:p>
      <w:pPr>
        <w:pStyle w:val="null3"/>
        <w:ind w:firstLine="440"/>
        <w:jc w:val="left"/>
      </w:pPr>
      <w:r>
        <w:rPr>
          <w:sz w:val="22"/>
          <w:color w:val="000000"/>
          <w:shd w:fill="FDFDFE" w:val="clear"/>
        </w:rPr>
        <w:t>1</w:t>
      </w:r>
      <w:r>
        <w:rPr>
          <w:sz w:val="22"/>
          <w:color w:val="000000"/>
          <w:shd w:fill="FDFDFE" w:val="clear"/>
        </w:rPr>
        <w:t>）</w:t>
      </w:r>
      <w:r>
        <w:rPr>
          <w:sz w:val="22"/>
          <w:color w:val="000000"/>
          <w:shd w:fill="FDFDFE" w:val="clear"/>
        </w:rPr>
        <w:t>若乙方年度考核总扣分不超过</w:t>
      </w:r>
      <w:r>
        <w:rPr>
          <w:sz w:val="22"/>
          <w:color w:val="000000"/>
          <w:shd w:fill="FDFDFE" w:val="clear"/>
        </w:rPr>
        <w:t>10</w:t>
      </w:r>
      <w:r>
        <w:rPr>
          <w:sz w:val="22"/>
          <w:color w:val="000000"/>
          <w:shd w:fill="FDFDFE" w:val="clear"/>
        </w:rPr>
        <w:t>分（含</w:t>
      </w:r>
      <w:r>
        <w:rPr>
          <w:sz w:val="22"/>
          <w:color w:val="000000"/>
          <w:shd w:fill="FDFDFE" w:val="clear"/>
        </w:rPr>
        <w:t>10</w:t>
      </w:r>
      <w:r>
        <w:rPr>
          <w:sz w:val="22"/>
          <w:color w:val="000000"/>
          <w:shd w:fill="FDFDFE" w:val="clear"/>
        </w:rPr>
        <w:t>分），则视为服务优秀，甲方不扣减乙方服务费用。</w:t>
      </w:r>
    </w:p>
    <w:p>
      <w:pPr>
        <w:pStyle w:val="null3"/>
        <w:ind w:firstLine="440"/>
        <w:jc w:val="left"/>
      </w:pPr>
      <w:r>
        <w:rPr>
          <w:sz w:val="22"/>
          <w:color w:val="000000"/>
          <w:shd w:fill="FDFDFE" w:val="clear"/>
        </w:rPr>
        <w:t>2</w:t>
      </w:r>
      <w:r>
        <w:rPr>
          <w:sz w:val="22"/>
          <w:color w:val="000000"/>
          <w:shd w:fill="FDFDFE" w:val="clear"/>
        </w:rPr>
        <w:t>）</w:t>
      </w:r>
      <w:r>
        <w:rPr>
          <w:sz w:val="22"/>
          <w:color w:val="000000"/>
          <w:shd w:fill="FDFDFE" w:val="clear"/>
        </w:rPr>
        <w:t>若乙方年度考核总扣分超过</w:t>
      </w:r>
      <w:r>
        <w:rPr>
          <w:sz w:val="22"/>
          <w:color w:val="000000"/>
          <w:shd w:fill="FDFDFE" w:val="clear"/>
        </w:rPr>
        <w:t>10</w:t>
      </w:r>
      <w:r>
        <w:rPr>
          <w:sz w:val="22"/>
          <w:color w:val="000000"/>
          <w:shd w:fill="FDFDFE" w:val="clear"/>
        </w:rPr>
        <w:t>分，则每</w:t>
      </w:r>
      <w:r>
        <w:rPr>
          <w:sz w:val="22"/>
          <w:color w:val="000000"/>
          <w:shd w:fill="FDFDFE" w:val="clear"/>
        </w:rPr>
        <w:t>扣</w:t>
      </w:r>
      <w:r>
        <w:rPr>
          <w:sz w:val="22"/>
          <w:color w:val="000000"/>
          <w:shd w:fill="FDFDFE" w:val="clear"/>
        </w:rPr>
        <w:t>1</w:t>
      </w:r>
      <w:r>
        <w:rPr>
          <w:sz w:val="22"/>
          <w:color w:val="000000"/>
          <w:shd w:fill="FDFDFE" w:val="clear"/>
        </w:rPr>
        <w:t>分，甲方将扣减乙方合同</w:t>
      </w:r>
      <w:r>
        <w:rPr>
          <w:sz w:val="22"/>
          <w:color w:val="000000"/>
          <w:shd w:fill="FDFDFE" w:val="clear"/>
        </w:rPr>
        <w:t>总</w:t>
      </w:r>
      <w:r>
        <w:rPr>
          <w:sz w:val="22"/>
          <w:color w:val="000000"/>
          <w:shd w:fill="FDFDFE" w:val="clear"/>
        </w:rPr>
        <w:t>金额的</w:t>
      </w:r>
      <w:r>
        <w:rPr>
          <w:sz w:val="22"/>
          <w:color w:val="000000"/>
          <w:shd w:fill="FDFDFE" w:val="clear"/>
        </w:rPr>
        <w:t>0.5</w:t>
      </w:r>
      <w:r>
        <w:rPr>
          <w:sz w:val="22"/>
          <w:color w:val="000000"/>
          <w:shd w:fill="FDFDFE" w:val="clear"/>
        </w:rPr>
        <w:t>%</w:t>
      </w:r>
      <w:r>
        <w:rPr>
          <w:sz w:val="22"/>
          <w:color w:val="000000"/>
          <w:shd w:fill="FDFDFE" w:val="clear"/>
        </w:rPr>
        <w:t>。</w:t>
      </w:r>
    </w:p>
    <w:p>
      <w:pPr>
        <w:pStyle w:val="null3"/>
        <w:ind w:firstLine="440"/>
        <w:jc w:val="left"/>
      </w:pPr>
      <w:r>
        <w:rPr>
          <w:sz w:val="22"/>
          <w:color w:val="000000"/>
          <w:shd w:fill="FDFDFE" w:val="clear"/>
        </w:rPr>
        <w:t>3</w:t>
      </w:r>
      <w:r>
        <w:rPr>
          <w:sz w:val="22"/>
          <w:color w:val="000000"/>
          <w:shd w:fill="FDFDFE" w:val="clear"/>
        </w:rPr>
        <w:t>）</w:t>
      </w:r>
      <w:r>
        <w:rPr>
          <w:sz w:val="22"/>
          <w:color w:val="000000"/>
          <w:shd w:fill="FDFDFE" w:val="clear"/>
        </w:rPr>
        <w:t>若乙方年度考核总扣分超过</w:t>
      </w:r>
      <w:r>
        <w:rPr>
          <w:sz w:val="22"/>
          <w:color w:val="000000"/>
          <w:shd w:fill="FDFDFE" w:val="clear"/>
        </w:rPr>
        <w:t>20</w:t>
      </w:r>
      <w:r>
        <w:rPr>
          <w:sz w:val="22"/>
          <w:color w:val="000000"/>
          <w:shd w:fill="FDFDFE" w:val="clear"/>
        </w:rPr>
        <w:t>分，则视为乙方不具备相应运维服务能力，考核判定为</w:t>
      </w:r>
      <w:r>
        <w:rPr>
          <w:sz w:val="22"/>
          <w:b/>
          <w:color w:val="000000"/>
          <w:shd w:fill="FDFDFE" w:val="clear"/>
        </w:rPr>
        <w:t>不通过</w:t>
      </w:r>
      <w:r>
        <w:rPr>
          <w:sz w:val="22"/>
          <w:color w:val="000000"/>
          <w:shd w:fill="FDFDFE" w:val="clear"/>
        </w:rPr>
        <w:t>。在此情形下，甲方有权单方面终止合同，并要求乙方承担相应违约责任。</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440001-2025-24561</w:t>
      </w:r>
    </w:p>
    <w:p>
      <w:pPr>
        <w:pStyle w:val="null3"/>
        <w:jc w:val="center"/>
        <w:outlineLvl w:val="3"/>
      </w:pPr>
      <w:r>
        <w:rPr>
          <w:sz w:val="24"/>
          <w:b/>
        </w:rPr>
        <w:t>采购项目编号：</w:t>
      </w:r>
      <w:r>
        <w:rPr>
          <w:sz w:val="24"/>
          <w:b/>
        </w:rPr>
        <w:t>0877-25GZTP1ZC0356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广东广招招标采购有限公司</w:t>
      </w:r>
    </w:p>
    <w:p>
      <w:pPr>
        <w:pStyle w:val="null3"/>
        <w:ind w:firstLine="480"/>
      </w:pPr>
      <w:r>
        <w:rPr/>
        <w:t xml:space="preserve"> 你方组织的</w:t>
      </w:r>
      <w:r>
        <w:rPr>
          <w:u w:val="single"/>
        </w:rPr>
        <w:t>“</w:t>
      </w:r>
      <w:r>
        <w:rPr>
          <w:u w:val="single"/>
        </w:rPr>
        <w:t>广州中医药大学第一附属医院信息系统及集成平台运维服务项目</w:t>
      </w:r>
      <w:r>
        <w:rPr>
          <w:u w:val="single"/>
        </w:rPr>
        <w:t>”</w:t>
      </w:r>
      <w:r>
        <w:rPr/>
        <w:t>项目的招标[采购项目编号为：</w:t>
      </w:r>
      <w:r>
        <w:rPr>
          <w:u w:val="single"/>
        </w:rPr>
        <w:t>0877-25GZTP1ZC0356</w:t>
      </w:r>
      <w:r>
        <w:rPr/>
        <w:t>]，我方愿参与投标。</w:t>
      </w:r>
    </w:p>
    <w:p>
      <w:pPr>
        <w:pStyle w:val="null3"/>
        <w:ind w:firstLine="480"/>
      </w:pPr>
      <w:r>
        <w:rPr/>
        <w:t>我方确认收到贵方提供的</w:t>
      </w:r>
      <w:r>
        <w:rPr>
          <w:u w:val="single"/>
        </w:rPr>
        <w:t>“</w:t>
      </w:r>
      <w:r>
        <w:rPr>
          <w:u w:val="single"/>
        </w:rPr>
        <w:t>广州中医药大学第一附属医院信息系统及集成平台运维服务项目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广东广招招标采购有限公司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广州中医药大学第一附属医院信息系统及集成平台运维服务项目</w:t>
      </w:r>
      <w:r>
        <w:rPr/>
        <w:t>”项目采购[采购项目编号为</w:t>
      </w:r>
      <w:r>
        <w:rPr/>
        <w:t>0877-25GZTP1ZC0356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广州中医药大学第一附属医院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广东广招招标采购有限公司</w:t>
      </w:r>
    </w:p>
    <w:p>
      <w:pPr>
        <w:pStyle w:val="null3"/>
        <w:ind w:firstLine="480"/>
      </w:pPr>
      <w:r>
        <w:rPr/>
        <w:t xml:space="preserve"> 如果我方在贵采购代理机构组织的</w:t>
      </w:r>
      <w:r>
        <w:rPr/>
        <w:t>广州中医药大学第一附属医院信息系统及集成平台运维服务项目</w:t>
      </w:r>
      <w:r>
        <w:rPr/>
        <w:t>招标中获中标（采购项目编号：</w:t>
      </w:r>
      <w:r>
        <w:rPr/>
        <w:t>0877-25GZTP1ZC0356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广东广招招标采购有限公司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广东广招招标采购有限公司</w:t>
      </w:r>
    </w:p>
    <w:p>
      <w:pPr>
        <w:pStyle w:val="null3"/>
        <w:ind w:firstLine="480"/>
      </w:pPr>
      <w:r>
        <w:rPr/>
        <w:t>我单位已登记并准备参与“</w:t>
      </w:r>
      <w:r>
        <w:rPr/>
        <w:t>广州中医药大学第一附属医院信息系统及集成平台运维服务项目</w:t>
      </w:r>
      <w:r>
        <w:rPr/>
        <w:t>”项目（采购项目编号：</w:t>
      </w:r>
      <w:r>
        <w:rPr/>
        <w:t>0877-25GZTP1ZC0356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