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F4B3BF">
      <w:pPr>
        <w:tabs>
          <w:tab w:val="left" w:pos="2730"/>
        </w:tabs>
        <w:jc w:val="center"/>
        <w:outlineLvl w:val="0"/>
        <w:rPr>
          <w:rFonts w:cs="宋体" w:asciiTheme="minorEastAsia" w:hAnsiTheme="minorEastAsia" w:eastAsiaTheme="minorEastAsia"/>
          <w:b/>
          <w:bCs/>
          <w:sz w:val="28"/>
          <w:szCs w:val="28"/>
        </w:rPr>
      </w:pPr>
      <w:r>
        <w:rPr>
          <w:rFonts w:cs="宋体" w:asciiTheme="minorEastAsia" w:hAnsiTheme="minorEastAsia" w:eastAsiaTheme="minorEastAsia"/>
          <w:b/>
          <w:bCs/>
          <w:spacing w:val="1"/>
          <w:sz w:val="28"/>
          <w:szCs w:val="28"/>
        </w:rPr>
        <w:t>第二章</w:t>
      </w:r>
      <w:r>
        <w:rPr>
          <w:rFonts w:cs="宋体" w:asciiTheme="minorEastAsia" w:hAnsiTheme="minorEastAsia" w:eastAsiaTheme="minorEastAsia"/>
          <w:b/>
          <w:bCs/>
          <w:spacing w:val="-11"/>
          <w:sz w:val="28"/>
          <w:szCs w:val="28"/>
        </w:rPr>
        <w:t xml:space="preserve"> </w:t>
      </w:r>
      <w:r>
        <w:rPr>
          <w:rFonts w:cs="宋体" w:asciiTheme="minorEastAsia" w:hAnsiTheme="minorEastAsia" w:eastAsiaTheme="minorEastAsia"/>
          <w:b/>
          <w:bCs/>
          <w:spacing w:val="1"/>
          <w:sz w:val="28"/>
          <w:szCs w:val="28"/>
        </w:rPr>
        <w:t>采购需求</w:t>
      </w:r>
    </w:p>
    <w:p w14:paraId="09EADEB7">
      <w:pPr>
        <w:outlineLvl w:val="1"/>
        <w:rPr>
          <w:rFonts w:cs="宋体" w:asciiTheme="minorEastAsia" w:hAnsiTheme="minorEastAsia" w:eastAsiaTheme="minorEastAsia"/>
          <w:spacing w:val="10"/>
          <w:sz w:val="24"/>
          <w:szCs w:val="24"/>
        </w:rPr>
      </w:pPr>
      <w:r>
        <w:rPr>
          <w:rFonts w:hint="eastAsia" w:cs="宋体" w:asciiTheme="minorEastAsia" w:hAnsiTheme="minorEastAsia" w:eastAsiaTheme="minorEastAsia"/>
          <w:spacing w:val="10"/>
          <w:sz w:val="24"/>
          <w:szCs w:val="24"/>
        </w:rPr>
        <w:t>项目概况</w:t>
      </w:r>
    </w:p>
    <w:p w14:paraId="5B41CDCD">
      <w:pPr>
        <w:numPr>
          <w:ilvl w:val="0"/>
          <w:numId w:val="1"/>
        </w:numPr>
        <w:ind w:right="48" w:firstLine="0"/>
        <w:rPr>
          <w:rFonts w:asciiTheme="minorEastAsia" w:hAnsiTheme="minorEastAsia" w:eastAsiaTheme="minorEastAsia"/>
          <w:b/>
          <w:bCs/>
          <w:color w:val="FF0000"/>
          <w:sz w:val="24"/>
        </w:rPr>
      </w:pPr>
      <w:r>
        <w:rPr>
          <w:rFonts w:hint="eastAsia" w:ascii="宋体" w:hAnsi="宋体" w:eastAsia="宋体" w:cs="宋体"/>
          <w:b/>
          <w:sz w:val="24"/>
          <w:szCs w:val="24"/>
        </w:rPr>
        <w:t>《新鲜分割肉采购清单》</w:t>
      </w:r>
    </w:p>
    <w:tbl>
      <w:tblPr>
        <w:tblStyle w:val="11"/>
        <w:tblW w:w="8647" w:type="dxa"/>
        <w:tblInd w:w="817" w:type="dxa"/>
        <w:tblLayout w:type="autofit"/>
        <w:tblCellMar>
          <w:top w:w="0" w:type="dxa"/>
          <w:left w:w="108" w:type="dxa"/>
          <w:bottom w:w="0" w:type="dxa"/>
          <w:right w:w="108" w:type="dxa"/>
        </w:tblCellMar>
      </w:tblPr>
      <w:tblGrid>
        <w:gridCol w:w="992"/>
        <w:gridCol w:w="3402"/>
        <w:gridCol w:w="4253"/>
      </w:tblGrid>
      <w:tr w14:paraId="0AEFA710">
        <w:tblPrEx>
          <w:tblCellMar>
            <w:top w:w="0" w:type="dxa"/>
            <w:left w:w="108" w:type="dxa"/>
            <w:bottom w:w="0" w:type="dxa"/>
            <w:right w:w="108" w:type="dxa"/>
          </w:tblCellMar>
        </w:tblPrEx>
        <w:trPr>
          <w:trHeight w:val="799" w:hRule="atLeast"/>
        </w:trPr>
        <w:tc>
          <w:tcPr>
            <w:tcW w:w="992" w:type="dxa"/>
            <w:tcBorders>
              <w:top w:val="single" w:color="auto" w:sz="8" w:space="0"/>
              <w:left w:val="single" w:color="auto" w:sz="8" w:space="0"/>
              <w:bottom w:val="single" w:color="auto" w:sz="8" w:space="0"/>
              <w:right w:val="single" w:color="auto" w:sz="8" w:space="0"/>
            </w:tcBorders>
            <w:shd w:val="clear" w:color="auto" w:fill="auto"/>
            <w:vAlign w:val="center"/>
          </w:tcPr>
          <w:p w14:paraId="18579F4A">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序号</w:t>
            </w:r>
          </w:p>
        </w:tc>
        <w:tc>
          <w:tcPr>
            <w:tcW w:w="3402" w:type="dxa"/>
            <w:tcBorders>
              <w:top w:val="single" w:color="auto" w:sz="8" w:space="0"/>
              <w:left w:val="nil"/>
              <w:bottom w:val="single" w:color="auto" w:sz="8" w:space="0"/>
              <w:right w:val="single" w:color="auto" w:sz="8" w:space="0"/>
            </w:tcBorders>
            <w:shd w:val="clear" w:color="auto" w:fill="auto"/>
            <w:vAlign w:val="center"/>
          </w:tcPr>
          <w:p w14:paraId="1D030EEA">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采购内容（采购标的）</w:t>
            </w:r>
          </w:p>
        </w:tc>
        <w:tc>
          <w:tcPr>
            <w:tcW w:w="4253" w:type="dxa"/>
            <w:tcBorders>
              <w:top w:val="single" w:color="auto" w:sz="8" w:space="0"/>
              <w:left w:val="nil"/>
              <w:bottom w:val="single" w:color="auto" w:sz="8" w:space="0"/>
              <w:right w:val="single" w:color="auto" w:sz="8" w:space="0"/>
            </w:tcBorders>
            <w:shd w:val="clear" w:color="auto" w:fill="auto"/>
            <w:vAlign w:val="center"/>
          </w:tcPr>
          <w:p w14:paraId="6BD4D19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采购总金额</w:t>
            </w:r>
          </w:p>
        </w:tc>
      </w:tr>
      <w:tr w14:paraId="3A5AA226">
        <w:tblPrEx>
          <w:tblCellMar>
            <w:top w:w="0" w:type="dxa"/>
            <w:left w:w="108" w:type="dxa"/>
            <w:bottom w:w="0" w:type="dxa"/>
            <w:right w:w="108" w:type="dxa"/>
          </w:tblCellMar>
        </w:tblPrEx>
        <w:trPr>
          <w:trHeight w:val="379" w:hRule="atLeast"/>
        </w:trPr>
        <w:tc>
          <w:tcPr>
            <w:tcW w:w="9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665FBD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w:t>
            </w:r>
          </w:p>
        </w:tc>
        <w:tc>
          <w:tcPr>
            <w:tcW w:w="3402" w:type="dxa"/>
            <w:tcBorders>
              <w:top w:val="single" w:color="auto" w:sz="4" w:space="0"/>
              <w:left w:val="nil"/>
              <w:bottom w:val="single" w:color="auto" w:sz="4" w:space="0"/>
              <w:right w:val="single" w:color="auto" w:sz="4" w:space="0"/>
            </w:tcBorders>
            <w:shd w:val="clear" w:color="auto" w:fill="auto"/>
            <w:noWrap/>
            <w:vAlign w:val="center"/>
          </w:tcPr>
          <w:p w14:paraId="6159B69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精瘦肉</w:t>
            </w:r>
          </w:p>
        </w:tc>
        <w:tc>
          <w:tcPr>
            <w:tcW w:w="4253" w:type="dxa"/>
            <w:vMerge w:val="restart"/>
            <w:tcBorders>
              <w:top w:val="nil"/>
              <w:left w:val="single" w:color="auto" w:sz="4" w:space="0"/>
              <w:bottom w:val="single" w:color="000000" w:sz="4" w:space="0"/>
              <w:right w:val="single" w:color="auto" w:sz="4" w:space="0"/>
            </w:tcBorders>
            <w:shd w:val="clear" w:color="auto" w:fill="auto"/>
            <w:vAlign w:val="center"/>
          </w:tcPr>
          <w:p w14:paraId="6FE2148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采购预算为1000万元人民币/2年（按采购人管理部门确认的实际发生量结算）</w:t>
            </w:r>
          </w:p>
        </w:tc>
      </w:tr>
      <w:tr w14:paraId="58F22A7C">
        <w:tblPrEx>
          <w:tblCellMar>
            <w:top w:w="0" w:type="dxa"/>
            <w:left w:w="108" w:type="dxa"/>
            <w:bottom w:w="0" w:type="dxa"/>
            <w:right w:w="108" w:type="dxa"/>
          </w:tblCellMar>
        </w:tblPrEx>
        <w:trPr>
          <w:trHeight w:val="55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5078533D">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w:t>
            </w:r>
          </w:p>
        </w:tc>
        <w:tc>
          <w:tcPr>
            <w:tcW w:w="3402" w:type="dxa"/>
            <w:tcBorders>
              <w:top w:val="nil"/>
              <w:left w:val="nil"/>
              <w:bottom w:val="single" w:color="auto" w:sz="4" w:space="0"/>
              <w:right w:val="single" w:color="auto" w:sz="4" w:space="0"/>
            </w:tcBorders>
            <w:shd w:val="clear" w:color="auto" w:fill="auto"/>
            <w:noWrap/>
            <w:vAlign w:val="center"/>
          </w:tcPr>
          <w:p w14:paraId="2FF76868">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五花肉</w:t>
            </w:r>
          </w:p>
        </w:tc>
        <w:tc>
          <w:tcPr>
            <w:tcW w:w="4253" w:type="dxa"/>
            <w:vMerge w:val="continue"/>
            <w:tcBorders>
              <w:top w:val="nil"/>
              <w:left w:val="single" w:color="auto" w:sz="4" w:space="0"/>
              <w:bottom w:val="single" w:color="000000" w:sz="4" w:space="0"/>
              <w:right w:val="single" w:color="auto" w:sz="4" w:space="0"/>
            </w:tcBorders>
            <w:vAlign w:val="center"/>
          </w:tcPr>
          <w:p w14:paraId="3A333444">
            <w:pPr>
              <w:kinsoku/>
              <w:autoSpaceDE/>
              <w:autoSpaceDN/>
              <w:adjustRightInd/>
              <w:snapToGrid/>
              <w:textAlignment w:val="auto"/>
              <w:rPr>
                <w:rFonts w:ascii="宋体" w:hAnsi="宋体" w:eastAsia="宋体" w:cs="宋体"/>
                <w:snapToGrid/>
                <w:sz w:val="24"/>
                <w:szCs w:val="24"/>
              </w:rPr>
            </w:pPr>
          </w:p>
        </w:tc>
      </w:tr>
      <w:tr w14:paraId="7B047012">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09FFD90B">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3</w:t>
            </w:r>
          </w:p>
        </w:tc>
        <w:tc>
          <w:tcPr>
            <w:tcW w:w="3402" w:type="dxa"/>
            <w:tcBorders>
              <w:top w:val="nil"/>
              <w:left w:val="nil"/>
              <w:bottom w:val="single" w:color="auto" w:sz="4" w:space="0"/>
              <w:right w:val="single" w:color="auto" w:sz="4" w:space="0"/>
            </w:tcBorders>
            <w:shd w:val="clear" w:color="auto" w:fill="auto"/>
            <w:noWrap/>
            <w:vAlign w:val="center"/>
          </w:tcPr>
          <w:p w14:paraId="03B06290">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猪肋排</w:t>
            </w:r>
          </w:p>
        </w:tc>
        <w:tc>
          <w:tcPr>
            <w:tcW w:w="4253" w:type="dxa"/>
            <w:vMerge w:val="continue"/>
            <w:tcBorders>
              <w:top w:val="nil"/>
              <w:left w:val="single" w:color="auto" w:sz="4" w:space="0"/>
              <w:bottom w:val="single" w:color="000000" w:sz="4" w:space="0"/>
              <w:right w:val="single" w:color="auto" w:sz="4" w:space="0"/>
            </w:tcBorders>
            <w:vAlign w:val="center"/>
          </w:tcPr>
          <w:p w14:paraId="71792CA6">
            <w:pPr>
              <w:kinsoku/>
              <w:autoSpaceDE/>
              <w:autoSpaceDN/>
              <w:adjustRightInd/>
              <w:snapToGrid/>
              <w:textAlignment w:val="auto"/>
              <w:rPr>
                <w:rFonts w:ascii="宋体" w:hAnsi="宋体" w:eastAsia="宋体" w:cs="宋体"/>
                <w:snapToGrid/>
                <w:sz w:val="24"/>
                <w:szCs w:val="24"/>
              </w:rPr>
            </w:pPr>
          </w:p>
        </w:tc>
      </w:tr>
      <w:tr w14:paraId="6BCB3593">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3A076B1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4</w:t>
            </w:r>
          </w:p>
        </w:tc>
        <w:tc>
          <w:tcPr>
            <w:tcW w:w="3402" w:type="dxa"/>
            <w:tcBorders>
              <w:top w:val="nil"/>
              <w:left w:val="nil"/>
              <w:bottom w:val="single" w:color="auto" w:sz="4" w:space="0"/>
              <w:right w:val="single" w:color="auto" w:sz="4" w:space="0"/>
            </w:tcBorders>
            <w:shd w:val="clear" w:color="auto" w:fill="auto"/>
            <w:noWrap/>
            <w:vAlign w:val="center"/>
          </w:tcPr>
          <w:p w14:paraId="22010DDA">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无皮上肉</w:t>
            </w:r>
          </w:p>
        </w:tc>
        <w:tc>
          <w:tcPr>
            <w:tcW w:w="4253" w:type="dxa"/>
            <w:vMerge w:val="continue"/>
            <w:tcBorders>
              <w:top w:val="nil"/>
              <w:left w:val="single" w:color="auto" w:sz="4" w:space="0"/>
              <w:bottom w:val="single" w:color="000000" w:sz="4" w:space="0"/>
              <w:right w:val="single" w:color="auto" w:sz="4" w:space="0"/>
            </w:tcBorders>
            <w:vAlign w:val="center"/>
          </w:tcPr>
          <w:p w14:paraId="6737C029">
            <w:pPr>
              <w:kinsoku/>
              <w:autoSpaceDE/>
              <w:autoSpaceDN/>
              <w:adjustRightInd/>
              <w:snapToGrid/>
              <w:textAlignment w:val="auto"/>
              <w:rPr>
                <w:rFonts w:ascii="宋体" w:hAnsi="宋体" w:eastAsia="宋体" w:cs="宋体"/>
                <w:snapToGrid/>
                <w:sz w:val="24"/>
                <w:szCs w:val="24"/>
              </w:rPr>
            </w:pPr>
          </w:p>
        </w:tc>
      </w:tr>
      <w:tr w14:paraId="76532738">
        <w:tblPrEx>
          <w:tblCellMar>
            <w:top w:w="0" w:type="dxa"/>
            <w:left w:w="108" w:type="dxa"/>
            <w:bottom w:w="0" w:type="dxa"/>
            <w:right w:w="108" w:type="dxa"/>
          </w:tblCellMar>
        </w:tblPrEx>
        <w:trPr>
          <w:trHeight w:val="600"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4B3F1E65">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5</w:t>
            </w:r>
          </w:p>
        </w:tc>
        <w:tc>
          <w:tcPr>
            <w:tcW w:w="3402" w:type="dxa"/>
            <w:tcBorders>
              <w:top w:val="nil"/>
              <w:left w:val="nil"/>
              <w:bottom w:val="single" w:color="auto" w:sz="4" w:space="0"/>
              <w:right w:val="single" w:color="auto" w:sz="4" w:space="0"/>
            </w:tcBorders>
            <w:shd w:val="clear" w:color="auto" w:fill="auto"/>
            <w:noWrap/>
            <w:vAlign w:val="center"/>
          </w:tcPr>
          <w:p w14:paraId="1E49A1D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牛碎腩</w:t>
            </w:r>
          </w:p>
        </w:tc>
        <w:tc>
          <w:tcPr>
            <w:tcW w:w="4253" w:type="dxa"/>
            <w:vMerge w:val="continue"/>
            <w:tcBorders>
              <w:top w:val="nil"/>
              <w:left w:val="single" w:color="auto" w:sz="4" w:space="0"/>
              <w:bottom w:val="single" w:color="000000" w:sz="4" w:space="0"/>
              <w:right w:val="single" w:color="auto" w:sz="4" w:space="0"/>
            </w:tcBorders>
            <w:vAlign w:val="center"/>
          </w:tcPr>
          <w:p w14:paraId="5C3FF2D6">
            <w:pPr>
              <w:kinsoku/>
              <w:autoSpaceDE/>
              <w:autoSpaceDN/>
              <w:adjustRightInd/>
              <w:snapToGrid/>
              <w:textAlignment w:val="auto"/>
              <w:rPr>
                <w:rFonts w:ascii="宋体" w:hAnsi="宋体" w:eastAsia="宋体" w:cs="宋体"/>
                <w:snapToGrid/>
                <w:sz w:val="24"/>
                <w:szCs w:val="24"/>
              </w:rPr>
            </w:pPr>
          </w:p>
        </w:tc>
      </w:tr>
      <w:tr w14:paraId="549DE704">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45A67C5C">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6</w:t>
            </w:r>
          </w:p>
        </w:tc>
        <w:tc>
          <w:tcPr>
            <w:tcW w:w="3402" w:type="dxa"/>
            <w:tcBorders>
              <w:top w:val="nil"/>
              <w:left w:val="nil"/>
              <w:bottom w:val="single" w:color="auto" w:sz="4" w:space="0"/>
              <w:right w:val="single" w:color="auto" w:sz="4" w:space="0"/>
            </w:tcBorders>
            <w:shd w:val="clear" w:color="auto" w:fill="auto"/>
            <w:noWrap/>
            <w:vAlign w:val="center"/>
          </w:tcPr>
          <w:p w14:paraId="060D376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猪手</w:t>
            </w:r>
          </w:p>
        </w:tc>
        <w:tc>
          <w:tcPr>
            <w:tcW w:w="4253" w:type="dxa"/>
            <w:vMerge w:val="continue"/>
            <w:tcBorders>
              <w:top w:val="nil"/>
              <w:left w:val="single" w:color="auto" w:sz="4" w:space="0"/>
              <w:bottom w:val="single" w:color="000000" w:sz="4" w:space="0"/>
              <w:right w:val="single" w:color="auto" w:sz="4" w:space="0"/>
            </w:tcBorders>
            <w:vAlign w:val="center"/>
          </w:tcPr>
          <w:p w14:paraId="491E5E86">
            <w:pPr>
              <w:kinsoku/>
              <w:autoSpaceDE/>
              <w:autoSpaceDN/>
              <w:adjustRightInd/>
              <w:snapToGrid/>
              <w:textAlignment w:val="auto"/>
              <w:rPr>
                <w:rFonts w:ascii="宋体" w:hAnsi="宋体" w:eastAsia="宋体" w:cs="宋体"/>
                <w:snapToGrid/>
                <w:sz w:val="24"/>
                <w:szCs w:val="24"/>
              </w:rPr>
            </w:pPr>
          </w:p>
        </w:tc>
      </w:tr>
      <w:tr w14:paraId="7C15EF3A">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7A7E026C">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7</w:t>
            </w:r>
          </w:p>
        </w:tc>
        <w:tc>
          <w:tcPr>
            <w:tcW w:w="3402" w:type="dxa"/>
            <w:tcBorders>
              <w:top w:val="nil"/>
              <w:left w:val="nil"/>
              <w:bottom w:val="single" w:color="auto" w:sz="4" w:space="0"/>
              <w:right w:val="single" w:color="auto" w:sz="4" w:space="0"/>
            </w:tcBorders>
            <w:shd w:val="clear" w:color="auto" w:fill="auto"/>
            <w:noWrap/>
            <w:vAlign w:val="center"/>
          </w:tcPr>
          <w:p w14:paraId="01FF471E">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鲜牛肉</w:t>
            </w:r>
          </w:p>
        </w:tc>
        <w:tc>
          <w:tcPr>
            <w:tcW w:w="4253" w:type="dxa"/>
            <w:vMerge w:val="continue"/>
            <w:tcBorders>
              <w:top w:val="nil"/>
              <w:left w:val="single" w:color="auto" w:sz="4" w:space="0"/>
              <w:bottom w:val="single" w:color="000000" w:sz="4" w:space="0"/>
              <w:right w:val="single" w:color="auto" w:sz="4" w:space="0"/>
            </w:tcBorders>
            <w:vAlign w:val="center"/>
          </w:tcPr>
          <w:p w14:paraId="7DD26A3D">
            <w:pPr>
              <w:kinsoku/>
              <w:autoSpaceDE/>
              <w:autoSpaceDN/>
              <w:adjustRightInd/>
              <w:snapToGrid/>
              <w:textAlignment w:val="auto"/>
              <w:rPr>
                <w:rFonts w:ascii="宋体" w:hAnsi="宋体" w:eastAsia="宋体" w:cs="宋体"/>
                <w:snapToGrid/>
                <w:sz w:val="24"/>
                <w:szCs w:val="24"/>
              </w:rPr>
            </w:pPr>
          </w:p>
        </w:tc>
      </w:tr>
      <w:tr w14:paraId="756926B2">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21836740">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8</w:t>
            </w:r>
          </w:p>
        </w:tc>
        <w:tc>
          <w:tcPr>
            <w:tcW w:w="3402" w:type="dxa"/>
            <w:tcBorders>
              <w:top w:val="nil"/>
              <w:left w:val="nil"/>
              <w:bottom w:val="single" w:color="auto" w:sz="4" w:space="0"/>
              <w:right w:val="single" w:color="auto" w:sz="4" w:space="0"/>
            </w:tcBorders>
            <w:shd w:val="clear" w:color="auto" w:fill="auto"/>
            <w:noWrap/>
            <w:vAlign w:val="center"/>
          </w:tcPr>
          <w:p w14:paraId="54D63A9D">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排骨</w:t>
            </w:r>
          </w:p>
        </w:tc>
        <w:tc>
          <w:tcPr>
            <w:tcW w:w="4253" w:type="dxa"/>
            <w:vMerge w:val="continue"/>
            <w:tcBorders>
              <w:top w:val="nil"/>
              <w:left w:val="single" w:color="auto" w:sz="4" w:space="0"/>
              <w:bottom w:val="single" w:color="000000" w:sz="4" w:space="0"/>
              <w:right w:val="single" w:color="auto" w:sz="4" w:space="0"/>
            </w:tcBorders>
            <w:vAlign w:val="center"/>
          </w:tcPr>
          <w:p w14:paraId="581191EC">
            <w:pPr>
              <w:kinsoku/>
              <w:autoSpaceDE/>
              <w:autoSpaceDN/>
              <w:adjustRightInd/>
              <w:snapToGrid/>
              <w:textAlignment w:val="auto"/>
              <w:rPr>
                <w:rFonts w:ascii="宋体" w:hAnsi="宋体" w:eastAsia="宋体" w:cs="宋体"/>
                <w:snapToGrid/>
                <w:sz w:val="24"/>
                <w:szCs w:val="24"/>
              </w:rPr>
            </w:pPr>
          </w:p>
        </w:tc>
      </w:tr>
      <w:tr w14:paraId="2934392E">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24B765F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9</w:t>
            </w:r>
          </w:p>
        </w:tc>
        <w:tc>
          <w:tcPr>
            <w:tcW w:w="3402" w:type="dxa"/>
            <w:tcBorders>
              <w:top w:val="nil"/>
              <w:left w:val="nil"/>
              <w:bottom w:val="single" w:color="auto" w:sz="4" w:space="0"/>
              <w:right w:val="single" w:color="auto" w:sz="4" w:space="0"/>
            </w:tcBorders>
            <w:shd w:val="clear" w:color="auto" w:fill="auto"/>
            <w:noWrap/>
            <w:vAlign w:val="center"/>
          </w:tcPr>
          <w:p w14:paraId="0080E5C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三角龙骨</w:t>
            </w:r>
          </w:p>
        </w:tc>
        <w:tc>
          <w:tcPr>
            <w:tcW w:w="4253" w:type="dxa"/>
            <w:vMerge w:val="continue"/>
            <w:tcBorders>
              <w:top w:val="nil"/>
              <w:left w:val="single" w:color="auto" w:sz="4" w:space="0"/>
              <w:bottom w:val="single" w:color="000000" w:sz="4" w:space="0"/>
              <w:right w:val="single" w:color="auto" w:sz="4" w:space="0"/>
            </w:tcBorders>
            <w:vAlign w:val="center"/>
          </w:tcPr>
          <w:p w14:paraId="79B76AEC">
            <w:pPr>
              <w:kinsoku/>
              <w:autoSpaceDE/>
              <w:autoSpaceDN/>
              <w:adjustRightInd/>
              <w:snapToGrid/>
              <w:textAlignment w:val="auto"/>
              <w:rPr>
                <w:rFonts w:ascii="宋体" w:hAnsi="宋体" w:eastAsia="宋体" w:cs="宋体"/>
                <w:snapToGrid/>
                <w:sz w:val="24"/>
                <w:szCs w:val="24"/>
              </w:rPr>
            </w:pPr>
          </w:p>
        </w:tc>
      </w:tr>
      <w:tr w14:paraId="365B04BB">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4255980A">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10</w:t>
            </w:r>
          </w:p>
        </w:tc>
        <w:tc>
          <w:tcPr>
            <w:tcW w:w="3402" w:type="dxa"/>
            <w:tcBorders>
              <w:top w:val="nil"/>
              <w:left w:val="nil"/>
              <w:bottom w:val="single" w:color="auto" w:sz="4" w:space="0"/>
              <w:right w:val="single" w:color="auto" w:sz="4" w:space="0"/>
            </w:tcBorders>
            <w:shd w:val="clear" w:color="auto" w:fill="auto"/>
            <w:noWrap/>
            <w:vAlign w:val="center"/>
          </w:tcPr>
          <w:p w14:paraId="703B392D">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鲜牛腩</w:t>
            </w:r>
          </w:p>
        </w:tc>
        <w:tc>
          <w:tcPr>
            <w:tcW w:w="4253" w:type="dxa"/>
            <w:vMerge w:val="continue"/>
            <w:tcBorders>
              <w:top w:val="nil"/>
              <w:left w:val="single" w:color="auto" w:sz="4" w:space="0"/>
              <w:bottom w:val="single" w:color="000000" w:sz="4" w:space="0"/>
              <w:right w:val="single" w:color="auto" w:sz="4" w:space="0"/>
            </w:tcBorders>
            <w:vAlign w:val="center"/>
          </w:tcPr>
          <w:p w14:paraId="7A14FC11">
            <w:pPr>
              <w:kinsoku/>
              <w:autoSpaceDE/>
              <w:autoSpaceDN/>
              <w:adjustRightInd/>
              <w:snapToGrid/>
              <w:textAlignment w:val="auto"/>
              <w:rPr>
                <w:rFonts w:ascii="宋体" w:hAnsi="宋体" w:eastAsia="宋体" w:cs="宋体"/>
                <w:snapToGrid/>
                <w:sz w:val="24"/>
                <w:szCs w:val="24"/>
              </w:rPr>
            </w:pPr>
          </w:p>
        </w:tc>
      </w:tr>
      <w:tr w14:paraId="3E6738D3">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6542C23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11</w:t>
            </w:r>
          </w:p>
        </w:tc>
        <w:tc>
          <w:tcPr>
            <w:tcW w:w="3402" w:type="dxa"/>
            <w:tcBorders>
              <w:top w:val="nil"/>
              <w:left w:val="nil"/>
              <w:bottom w:val="single" w:color="auto" w:sz="4" w:space="0"/>
              <w:right w:val="single" w:color="auto" w:sz="4" w:space="0"/>
            </w:tcBorders>
            <w:shd w:val="clear" w:color="auto" w:fill="auto"/>
            <w:noWrap/>
            <w:vAlign w:val="center"/>
          </w:tcPr>
          <w:p w14:paraId="60C45995">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猪展肉</w:t>
            </w:r>
          </w:p>
        </w:tc>
        <w:tc>
          <w:tcPr>
            <w:tcW w:w="4253" w:type="dxa"/>
            <w:vMerge w:val="continue"/>
            <w:tcBorders>
              <w:top w:val="nil"/>
              <w:left w:val="single" w:color="auto" w:sz="4" w:space="0"/>
              <w:bottom w:val="single" w:color="000000" w:sz="4" w:space="0"/>
              <w:right w:val="single" w:color="auto" w:sz="4" w:space="0"/>
            </w:tcBorders>
            <w:vAlign w:val="center"/>
          </w:tcPr>
          <w:p w14:paraId="2E2AE4E7">
            <w:pPr>
              <w:kinsoku/>
              <w:autoSpaceDE/>
              <w:autoSpaceDN/>
              <w:adjustRightInd/>
              <w:snapToGrid/>
              <w:textAlignment w:val="auto"/>
              <w:rPr>
                <w:rFonts w:ascii="宋体" w:hAnsi="宋体" w:eastAsia="宋体" w:cs="宋体"/>
                <w:snapToGrid/>
                <w:sz w:val="24"/>
                <w:szCs w:val="24"/>
              </w:rPr>
            </w:pPr>
          </w:p>
        </w:tc>
      </w:tr>
      <w:tr w14:paraId="09B875A3">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590448C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12</w:t>
            </w:r>
          </w:p>
        </w:tc>
        <w:tc>
          <w:tcPr>
            <w:tcW w:w="3402" w:type="dxa"/>
            <w:tcBorders>
              <w:top w:val="nil"/>
              <w:left w:val="nil"/>
              <w:bottom w:val="single" w:color="auto" w:sz="4" w:space="0"/>
              <w:right w:val="single" w:color="auto" w:sz="4" w:space="0"/>
            </w:tcBorders>
            <w:shd w:val="clear" w:color="auto" w:fill="auto"/>
            <w:noWrap/>
            <w:vAlign w:val="center"/>
          </w:tcPr>
          <w:p w14:paraId="305F3548">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扇骨</w:t>
            </w:r>
          </w:p>
        </w:tc>
        <w:tc>
          <w:tcPr>
            <w:tcW w:w="4253" w:type="dxa"/>
            <w:vMerge w:val="continue"/>
            <w:tcBorders>
              <w:top w:val="nil"/>
              <w:left w:val="single" w:color="auto" w:sz="4" w:space="0"/>
              <w:bottom w:val="single" w:color="000000" w:sz="4" w:space="0"/>
              <w:right w:val="single" w:color="auto" w:sz="4" w:space="0"/>
            </w:tcBorders>
            <w:vAlign w:val="center"/>
          </w:tcPr>
          <w:p w14:paraId="39935573">
            <w:pPr>
              <w:kinsoku/>
              <w:autoSpaceDE/>
              <w:autoSpaceDN/>
              <w:adjustRightInd/>
              <w:snapToGrid/>
              <w:textAlignment w:val="auto"/>
              <w:rPr>
                <w:rFonts w:ascii="宋体" w:hAnsi="宋体" w:eastAsia="宋体" w:cs="宋体"/>
                <w:snapToGrid/>
                <w:sz w:val="24"/>
                <w:szCs w:val="24"/>
              </w:rPr>
            </w:pPr>
          </w:p>
        </w:tc>
      </w:tr>
      <w:tr w14:paraId="7903AEE8">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0A9AF24D">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13</w:t>
            </w:r>
          </w:p>
        </w:tc>
        <w:tc>
          <w:tcPr>
            <w:tcW w:w="3402" w:type="dxa"/>
            <w:tcBorders>
              <w:top w:val="nil"/>
              <w:left w:val="nil"/>
              <w:bottom w:val="single" w:color="auto" w:sz="4" w:space="0"/>
              <w:right w:val="single" w:color="auto" w:sz="4" w:space="0"/>
            </w:tcBorders>
            <w:shd w:val="clear" w:color="auto" w:fill="auto"/>
            <w:noWrap/>
            <w:vAlign w:val="center"/>
          </w:tcPr>
          <w:p w14:paraId="78FB37EE">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猪肝</w:t>
            </w:r>
          </w:p>
        </w:tc>
        <w:tc>
          <w:tcPr>
            <w:tcW w:w="4253" w:type="dxa"/>
            <w:vMerge w:val="continue"/>
            <w:tcBorders>
              <w:top w:val="nil"/>
              <w:left w:val="single" w:color="auto" w:sz="4" w:space="0"/>
              <w:bottom w:val="single" w:color="000000" w:sz="4" w:space="0"/>
              <w:right w:val="single" w:color="auto" w:sz="4" w:space="0"/>
            </w:tcBorders>
            <w:vAlign w:val="center"/>
          </w:tcPr>
          <w:p w14:paraId="5BBBFF12">
            <w:pPr>
              <w:kinsoku/>
              <w:autoSpaceDE/>
              <w:autoSpaceDN/>
              <w:adjustRightInd/>
              <w:snapToGrid/>
              <w:textAlignment w:val="auto"/>
              <w:rPr>
                <w:rFonts w:ascii="宋体" w:hAnsi="宋体" w:eastAsia="宋体" w:cs="宋体"/>
                <w:snapToGrid/>
                <w:sz w:val="24"/>
                <w:szCs w:val="24"/>
              </w:rPr>
            </w:pPr>
          </w:p>
        </w:tc>
      </w:tr>
      <w:tr w14:paraId="0B15B175">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135A5C20">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14</w:t>
            </w:r>
          </w:p>
        </w:tc>
        <w:tc>
          <w:tcPr>
            <w:tcW w:w="3402" w:type="dxa"/>
            <w:tcBorders>
              <w:top w:val="nil"/>
              <w:left w:val="nil"/>
              <w:bottom w:val="single" w:color="auto" w:sz="4" w:space="0"/>
              <w:right w:val="single" w:color="auto" w:sz="4" w:space="0"/>
            </w:tcBorders>
            <w:shd w:val="clear" w:color="auto" w:fill="auto"/>
            <w:noWrap/>
            <w:vAlign w:val="center"/>
          </w:tcPr>
          <w:p w14:paraId="5CAB53F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猪腰</w:t>
            </w:r>
          </w:p>
        </w:tc>
        <w:tc>
          <w:tcPr>
            <w:tcW w:w="4253" w:type="dxa"/>
            <w:vMerge w:val="continue"/>
            <w:tcBorders>
              <w:top w:val="nil"/>
              <w:left w:val="single" w:color="auto" w:sz="4" w:space="0"/>
              <w:bottom w:val="single" w:color="000000" w:sz="4" w:space="0"/>
              <w:right w:val="single" w:color="auto" w:sz="4" w:space="0"/>
            </w:tcBorders>
            <w:vAlign w:val="center"/>
          </w:tcPr>
          <w:p w14:paraId="4327B482">
            <w:pPr>
              <w:kinsoku/>
              <w:autoSpaceDE/>
              <w:autoSpaceDN/>
              <w:adjustRightInd/>
              <w:snapToGrid/>
              <w:textAlignment w:val="auto"/>
              <w:rPr>
                <w:rFonts w:ascii="宋体" w:hAnsi="宋体" w:eastAsia="宋体" w:cs="宋体"/>
                <w:snapToGrid/>
                <w:sz w:val="24"/>
                <w:szCs w:val="24"/>
              </w:rPr>
            </w:pPr>
          </w:p>
        </w:tc>
      </w:tr>
      <w:tr w14:paraId="7A228272">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05E32545">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15</w:t>
            </w:r>
          </w:p>
        </w:tc>
        <w:tc>
          <w:tcPr>
            <w:tcW w:w="3402" w:type="dxa"/>
            <w:tcBorders>
              <w:top w:val="nil"/>
              <w:left w:val="nil"/>
              <w:bottom w:val="single" w:color="auto" w:sz="4" w:space="0"/>
              <w:right w:val="single" w:color="auto" w:sz="4" w:space="0"/>
            </w:tcBorders>
            <w:shd w:val="clear" w:color="auto" w:fill="auto"/>
            <w:noWrap/>
            <w:vAlign w:val="center"/>
          </w:tcPr>
          <w:p w14:paraId="504DC008">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羊排</w:t>
            </w:r>
          </w:p>
        </w:tc>
        <w:tc>
          <w:tcPr>
            <w:tcW w:w="4253" w:type="dxa"/>
            <w:vMerge w:val="continue"/>
            <w:tcBorders>
              <w:top w:val="nil"/>
              <w:left w:val="single" w:color="auto" w:sz="4" w:space="0"/>
              <w:bottom w:val="single" w:color="000000" w:sz="4" w:space="0"/>
              <w:right w:val="single" w:color="auto" w:sz="4" w:space="0"/>
            </w:tcBorders>
            <w:vAlign w:val="center"/>
          </w:tcPr>
          <w:p w14:paraId="1E76CEA7">
            <w:pPr>
              <w:kinsoku/>
              <w:autoSpaceDE/>
              <w:autoSpaceDN/>
              <w:adjustRightInd/>
              <w:snapToGrid/>
              <w:textAlignment w:val="auto"/>
              <w:rPr>
                <w:rFonts w:ascii="宋体" w:hAnsi="宋体" w:eastAsia="宋体" w:cs="宋体"/>
                <w:snapToGrid/>
                <w:sz w:val="24"/>
                <w:szCs w:val="24"/>
              </w:rPr>
            </w:pPr>
          </w:p>
        </w:tc>
      </w:tr>
      <w:tr w14:paraId="73369254">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14352D7B">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16</w:t>
            </w:r>
          </w:p>
        </w:tc>
        <w:tc>
          <w:tcPr>
            <w:tcW w:w="3402" w:type="dxa"/>
            <w:tcBorders>
              <w:top w:val="nil"/>
              <w:left w:val="nil"/>
              <w:bottom w:val="single" w:color="auto" w:sz="4" w:space="0"/>
              <w:right w:val="single" w:color="auto" w:sz="4" w:space="0"/>
            </w:tcBorders>
            <w:shd w:val="clear" w:color="auto" w:fill="auto"/>
            <w:noWrap/>
            <w:vAlign w:val="center"/>
          </w:tcPr>
          <w:p w14:paraId="03813F55">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雪花牛肉</w:t>
            </w:r>
          </w:p>
        </w:tc>
        <w:tc>
          <w:tcPr>
            <w:tcW w:w="4253" w:type="dxa"/>
            <w:vMerge w:val="continue"/>
            <w:tcBorders>
              <w:top w:val="nil"/>
              <w:left w:val="single" w:color="auto" w:sz="4" w:space="0"/>
              <w:bottom w:val="single" w:color="000000" w:sz="4" w:space="0"/>
              <w:right w:val="single" w:color="auto" w:sz="4" w:space="0"/>
            </w:tcBorders>
            <w:vAlign w:val="center"/>
          </w:tcPr>
          <w:p w14:paraId="437475EE">
            <w:pPr>
              <w:kinsoku/>
              <w:autoSpaceDE/>
              <w:autoSpaceDN/>
              <w:adjustRightInd/>
              <w:snapToGrid/>
              <w:textAlignment w:val="auto"/>
              <w:rPr>
                <w:rFonts w:ascii="宋体" w:hAnsi="宋体" w:eastAsia="宋体" w:cs="宋体"/>
                <w:snapToGrid/>
                <w:sz w:val="24"/>
                <w:szCs w:val="24"/>
              </w:rPr>
            </w:pPr>
          </w:p>
        </w:tc>
      </w:tr>
      <w:tr w14:paraId="197586D9">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71883538">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17</w:t>
            </w:r>
          </w:p>
        </w:tc>
        <w:tc>
          <w:tcPr>
            <w:tcW w:w="3402" w:type="dxa"/>
            <w:tcBorders>
              <w:top w:val="nil"/>
              <w:left w:val="nil"/>
              <w:bottom w:val="single" w:color="auto" w:sz="4" w:space="0"/>
              <w:right w:val="single" w:color="auto" w:sz="4" w:space="0"/>
            </w:tcBorders>
            <w:shd w:val="clear" w:color="auto" w:fill="auto"/>
            <w:noWrap/>
            <w:vAlign w:val="center"/>
          </w:tcPr>
          <w:p w14:paraId="33FB3E1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猪颈肉</w:t>
            </w:r>
          </w:p>
        </w:tc>
        <w:tc>
          <w:tcPr>
            <w:tcW w:w="4253" w:type="dxa"/>
            <w:vMerge w:val="continue"/>
            <w:tcBorders>
              <w:top w:val="nil"/>
              <w:left w:val="single" w:color="auto" w:sz="4" w:space="0"/>
              <w:bottom w:val="single" w:color="000000" w:sz="4" w:space="0"/>
              <w:right w:val="single" w:color="auto" w:sz="4" w:space="0"/>
            </w:tcBorders>
            <w:vAlign w:val="center"/>
          </w:tcPr>
          <w:p w14:paraId="0B828555">
            <w:pPr>
              <w:kinsoku/>
              <w:autoSpaceDE/>
              <w:autoSpaceDN/>
              <w:adjustRightInd/>
              <w:snapToGrid/>
              <w:textAlignment w:val="auto"/>
              <w:rPr>
                <w:rFonts w:ascii="宋体" w:hAnsi="宋体" w:eastAsia="宋体" w:cs="宋体"/>
                <w:snapToGrid/>
                <w:sz w:val="24"/>
                <w:szCs w:val="24"/>
              </w:rPr>
            </w:pPr>
          </w:p>
        </w:tc>
      </w:tr>
      <w:tr w14:paraId="3B05C988">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71E09AA6">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18</w:t>
            </w:r>
          </w:p>
        </w:tc>
        <w:tc>
          <w:tcPr>
            <w:tcW w:w="3402" w:type="dxa"/>
            <w:tcBorders>
              <w:top w:val="nil"/>
              <w:left w:val="nil"/>
              <w:bottom w:val="single" w:color="auto" w:sz="4" w:space="0"/>
              <w:right w:val="single" w:color="auto" w:sz="4" w:space="0"/>
            </w:tcBorders>
            <w:shd w:val="clear" w:color="auto" w:fill="auto"/>
            <w:noWrap/>
            <w:vAlign w:val="center"/>
          </w:tcPr>
          <w:p w14:paraId="6356458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土猪肉</w:t>
            </w:r>
          </w:p>
        </w:tc>
        <w:tc>
          <w:tcPr>
            <w:tcW w:w="4253" w:type="dxa"/>
            <w:vMerge w:val="continue"/>
            <w:tcBorders>
              <w:top w:val="nil"/>
              <w:left w:val="single" w:color="auto" w:sz="4" w:space="0"/>
              <w:bottom w:val="single" w:color="000000" w:sz="4" w:space="0"/>
              <w:right w:val="single" w:color="auto" w:sz="4" w:space="0"/>
            </w:tcBorders>
            <w:vAlign w:val="center"/>
          </w:tcPr>
          <w:p w14:paraId="005591DD">
            <w:pPr>
              <w:kinsoku/>
              <w:autoSpaceDE/>
              <w:autoSpaceDN/>
              <w:adjustRightInd/>
              <w:snapToGrid/>
              <w:textAlignment w:val="auto"/>
              <w:rPr>
                <w:rFonts w:ascii="宋体" w:hAnsi="宋体" w:eastAsia="宋体" w:cs="宋体"/>
                <w:snapToGrid/>
                <w:sz w:val="24"/>
                <w:szCs w:val="24"/>
              </w:rPr>
            </w:pPr>
          </w:p>
        </w:tc>
      </w:tr>
      <w:tr w14:paraId="324EBF1C">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5C377DEB">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19</w:t>
            </w:r>
          </w:p>
        </w:tc>
        <w:tc>
          <w:tcPr>
            <w:tcW w:w="3402" w:type="dxa"/>
            <w:tcBorders>
              <w:top w:val="nil"/>
              <w:left w:val="nil"/>
              <w:bottom w:val="single" w:color="auto" w:sz="4" w:space="0"/>
              <w:right w:val="single" w:color="auto" w:sz="4" w:space="0"/>
            </w:tcBorders>
            <w:shd w:val="clear" w:color="auto" w:fill="auto"/>
            <w:noWrap/>
            <w:vAlign w:val="center"/>
          </w:tcPr>
          <w:p w14:paraId="5EA441A6">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猪肘</w:t>
            </w:r>
          </w:p>
        </w:tc>
        <w:tc>
          <w:tcPr>
            <w:tcW w:w="4253" w:type="dxa"/>
            <w:vMerge w:val="continue"/>
            <w:tcBorders>
              <w:top w:val="nil"/>
              <w:left w:val="single" w:color="auto" w:sz="4" w:space="0"/>
              <w:bottom w:val="single" w:color="000000" w:sz="4" w:space="0"/>
              <w:right w:val="single" w:color="auto" w:sz="4" w:space="0"/>
            </w:tcBorders>
            <w:vAlign w:val="center"/>
          </w:tcPr>
          <w:p w14:paraId="2B0B9B18">
            <w:pPr>
              <w:kinsoku/>
              <w:autoSpaceDE/>
              <w:autoSpaceDN/>
              <w:adjustRightInd/>
              <w:snapToGrid/>
              <w:textAlignment w:val="auto"/>
              <w:rPr>
                <w:rFonts w:ascii="宋体" w:hAnsi="宋体" w:eastAsia="宋体" w:cs="宋体"/>
                <w:snapToGrid/>
                <w:sz w:val="24"/>
                <w:szCs w:val="24"/>
              </w:rPr>
            </w:pPr>
          </w:p>
        </w:tc>
      </w:tr>
      <w:tr w14:paraId="63828F09">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0346029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20</w:t>
            </w:r>
          </w:p>
        </w:tc>
        <w:tc>
          <w:tcPr>
            <w:tcW w:w="3402" w:type="dxa"/>
            <w:tcBorders>
              <w:top w:val="nil"/>
              <w:left w:val="nil"/>
              <w:bottom w:val="single" w:color="auto" w:sz="4" w:space="0"/>
              <w:right w:val="single" w:color="auto" w:sz="4" w:space="0"/>
            </w:tcBorders>
            <w:shd w:val="clear" w:color="auto" w:fill="auto"/>
            <w:noWrap/>
            <w:vAlign w:val="center"/>
          </w:tcPr>
          <w:p w14:paraId="47450E18">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猪生肠</w:t>
            </w:r>
          </w:p>
        </w:tc>
        <w:tc>
          <w:tcPr>
            <w:tcW w:w="4253" w:type="dxa"/>
            <w:vMerge w:val="continue"/>
            <w:tcBorders>
              <w:top w:val="nil"/>
              <w:left w:val="single" w:color="auto" w:sz="4" w:space="0"/>
              <w:bottom w:val="single" w:color="000000" w:sz="4" w:space="0"/>
              <w:right w:val="single" w:color="auto" w:sz="4" w:space="0"/>
            </w:tcBorders>
            <w:vAlign w:val="center"/>
          </w:tcPr>
          <w:p w14:paraId="781A0B32">
            <w:pPr>
              <w:kinsoku/>
              <w:autoSpaceDE/>
              <w:autoSpaceDN/>
              <w:adjustRightInd/>
              <w:snapToGrid/>
              <w:textAlignment w:val="auto"/>
              <w:rPr>
                <w:rFonts w:ascii="宋体" w:hAnsi="宋体" w:eastAsia="宋体" w:cs="宋体"/>
                <w:snapToGrid/>
                <w:sz w:val="24"/>
                <w:szCs w:val="24"/>
              </w:rPr>
            </w:pPr>
          </w:p>
        </w:tc>
      </w:tr>
      <w:tr w14:paraId="03A5CDDE">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1927B5C5">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21</w:t>
            </w:r>
          </w:p>
        </w:tc>
        <w:tc>
          <w:tcPr>
            <w:tcW w:w="3402" w:type="dxa"/>
            <w:tcBorders>
              <w:top w:val="nil"/>
              <w:left w:val="nil"/>
              <w:bottom w:val="single" w:color="auto" w:sz="4" w:space="0"/>
              <w:right w:val="single" w:color="auto" w:sz="4" w:space="0"/>
            </w:tcBorders>
            <w:shd w:val="clear" w:color="auto" w:fill="auto"/>
            <w:noWrap/>
            <w:vAlign w:val="center"/>
          </w:tcPr>
          <w:p w14:paraId="7AA2F8E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猪俐（猪舌）</w:t>
            </w:r>
          </w:p>
        </w:tc>
        <w:tc>
          <w:tcPr>
            <w:tcW w:w="4253" w:type="dxa"/>
            <w:vMerge w:val="continue"/>
            <w:tcBorders>
              <w:top w:val="nil"/>
              <w:left w:val="single" w:color="auto" w:sz="4" w:space="0"/>
              <w:bottom w:val="single" w:color="000000" w:sz="4" w:space="0"/>
              <w:right w:val="single" w:color="auto" w:sz="4" w:space="0"/>
            </w:tcBorders>
            <w:vAlign w:val="center"/>
          </w:tcPr>
          <w:p w14:paraId="6E9829DC">
            <w:pPr>
              <w:kinsoku/>
              <w:autoSpaceDE/>
              <w:autoSpaceDN/>
              <w:adjustRightInd/>
              <w:snapToGrid/>
              <w:textAlignment w:val="auto"/>
              <w:rPr>
                <w:rFonts w:ascii="宋体" w:hAnsi="宋体" w:eastAsia="宋体" w:cs="宋体"/>
                <w:snapToGrid/>
                <w:sz w:val="24"/>
                <w:szCs w:val="24"/>
              </w:rPr>
            </w:pPr>
          </w:p>
        </w:tc>
      </w:tr>
      <w:tr w14:paraId="05783249">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451F981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22</w:t>
            </w:r>
          </w:p>
        </w:tc>
        <w:tc>
          <w:tcPr>
            <w:tcW w:w="3402" w:type="dxa"/>
            <w:tcBorders>
              <w:top w:val="nil"/>
              <w:left w:val="nil"/>
              <w:bottom w:val="single" w:color="auto" w:sz="4" w:space="0"/>
              <w:right w:val="single" w:color="auto" w:sz="4" w:space="0"/>
            </w:tcBorders>
            <w:shd w:val="clear" w:color="auto" w:fill="auto"/>
            <w:noWrap/>
            <w:vAlign w:val="center"/>
          </w:tcPr>
          <w:p w14:paraId="1D05228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鲜金钱肚</w:t>
            </w:r>
          </w:p>
        </w:tc>
        <w:tc>
          <w:tcPr>
            <w:tcW w:w="4253" w:type="dxa"/>
            <w:vMerge w:val="continue"/>
            <w:tcBorders>
              <w:top w:val="nil"/>
              <w:left w:val="single" w:color="auto" w:sz="4" w:space="0"/>
              <w:bottom w:val="single" w:color="000000" w:sz="4" w:space="0"/>
              <w:right w:val="single" w:color="auto" w:sz="4" w:space="0"/>
            </w:tcBorders>
            <w:vAlign w:val="center"/>
          </w:tcPr>
          <w:p w14:paraId="7BA47F2C">
            <w:pPr>
              <w:kinsoku/>
              <w:autoSpaceDE/>
              <w:autoSpaceDN/>
              <w:adjustRightInd/>
              <w:snapToGrid/>
              <w:textAlignment w:val="auto"/>
              <w:rPr>
                <w:rFonts w:ascii="宋体" w:hAnsi="宋体" w:eastAsia="宋体" w:cs="宋体"/>
                <w:snapToGrid/>
                <w:sz w:val="24"/>
                <w:szCs w:val="24"/>
              </w:rPr>
            </w:pPr>
          </w:p>
        </w:tc>
      </w:tr>
      <w:tr w14:paraId="08C73C77">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039A14F6">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23</w:t>
            </w:r>
          </w:p>
        </w:tc>
        <w:tc>
          <w:tcPr>
            <w:tcW w:w="3402" w:type="dxa"/>
            <w:tcBorders>
              <w:top w:val="nil"/>
              <w:left w:val="nil"/>
              <w:bottom w:val="single" w:color="auto" w:sz="4" w:space="0"/>
              <w:right w:val="single" w:color="auto" w:sz="4" w:space="0"/>
            </w:tcBorders>
            <w:shd w:val="clear" w:color="auto" w:fill="auto"/>
            <w:noWrap/>
            <w:vAlign w:val="center"/>
          </w:tcPr>
          <w:p w14:paraId="68A08356">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吊龙牛肉</w:t>
            </w:r>
          </w:p>
        </w:tc>
        <w:tc>
          <w:tcPr>
            <w:tcW w:w="4253" w:type="dxa"/>
            <w:vMerge w:val="continue"/>
            <w:tcBorders>
              <w:top w:val="nil"/>
              <w:left w:val="single" w:color="auto" w:sz="4" w:space="0"/>
              <w:bottom w:val="single" w:color="000000" w:sz="4" w:space="0"/>
              <w:right w:val="single" w:color="auto" w:sz="4" w:space="0"/>
            </w:tcBorders>
            <w:vAlign w:val="center"/>
          </w:tcPr>
          <w:p w14:paraId="70D4359A">
            <w:pPr>
              <w:kinsoku/>
              <w:autoSpaceDE/>
              <w:autoSpaceDN/>
              <w:adjustRightInd/>
              <w:snapToGrid/>
              <w:textAlignment w:val="auto"/>
              <w:rPr>
                <w:rFonts w:ascii="宋体" w:hAnsi="宋体" w:eastAsia="宋体" w:cs="宋体"/>
                <w:snapToGrid/>
                <w:sz w:val="24"/>
                <w:szCs w:val="24"/>
              </w:rPr>
            </w:pPr>
          </w:p>
        </w:tc>
      </w:tr>
      <w:tr w14:paraId="337E58B3">
        <w:tblPrEx>
          <w:tblCellMar>
            <w:top w:w="0" w:type="dxa"/>
            <w:left w:w="108" w:type="dxa"/>
            <w:bottom w:w="0" w:type="dxa"/>
            <w:right w:w="108" w:type="dxa"/>
          </w:tblCellMar>
        </w:tblPrEx>
        <w:trPr>
          <w:trHeight w:val="379" w:hRule="atLeast"/>
        </w:trPr>
        <w:tc>
          <w:tcPr>
            <w:tcW w:w="992" w:type="dxa"/>
            <w:tcBorders>
              <w:top w:val="nil"/>
              <w:left w:val="single" w:color="auto" w:sz="4" w:space="0"/>
              <w:bottom w:val="single" w:color="auto" w:sz="4" w:space="0"/>
              <w:right w:val="single" w:color="auto" w:sz="4" w:space="0"/>
            </w:tcBorders>
            <w:shd w:val="clear" w:color="auto" w:fill="auto"/>
            <w:noWrap/>
            <w:vAlign w:val="center"/>
          </w:tcPr>
          <w:p w14:paraId="2FD3532A">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24</w:t>
            </w:r>
          </w:p>
        </w:tc>
        <w:tc>
          <w:tcPr>
            <w:tcW w:w="3402" w:type="dxa"/>
            <w:tcBorders>
              <w:top w:val="nil"/>
              <w:left w:val="nil"/>
              <w:bottom w:val="single" w:color="auto" w:sz="4" w:space="0"/>
              <w:right w:val="single" w:color="auto" w:sz="4" w:space="0"/>
            </w:tcBorders>
            <w:shd w:val="clear" w:color="auto" w:fill="auto"/>
            <w:noWrap/>
            <w:vAlign w:val="center"/>
          </w:tcPr>
          <w:p w14:paraId="4943DD5D">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黄牛尾巴</w:t>
            </w:r>
          </w:p>
        </w:tc>
        <w:tc>
          <w:tcPr>
            <w:tcW w:w="4253" w:type="dxa"/>
            <w:vMerge w:val="continue"/>
            <w:tcBorders>
              <w:top w:val="nil"/>
              <w:left w:val="single" w:color="auto" w:sz="4" w:space="0"/>
              <w:bottom w:val="single" w:color="000000" w:sz="4" w:space="0"/>
              <w:right w:val="single" w:color="auto" w:sz="4" w:space="0"/>
            </w:tcBorders>
            <w:vAlign w:val="center"/>
          </w:tcPr>
          <w:p w14:paraId="31641E25">
            <w:pPr>
              <w:kinsoku/>
              <w:autoSpaceDE/>
              <w:autoSpaceDN/>
              <w:adjustRightInd/>
              <w:snapToGrid/>
              <w:textAlignment w:val="auto"/>
              <w:rPr>
                <w:rFonts w:ascii="宋体" w:hAnsi="宋体" w:eastAsia="宋体" w:cs="宋体"/>
                <w:snapToGrid/>
                <w:sz w:val="24"/>
                <w:szCs w:val="24"/>
              </w:rPr>
            </w:pPr>
          </w:p>
        </w:tc>
      </w:tr>
    </w:tbl>
    <w:p w14:paraId="1B3F88C7">
      <w:pPr>
        <w:ind w:right="48" w:firstLine="480"/>
        <w:rPr>
          <w:rFonts w:ascii="Times New Roman" w:hAnsi="Times New Roman" w:eastAsia="宋体" w:cs="Times New Roman"/>
          <w:snapToGrid/>
          <w:color w:val="auto"/>
          <w:sz w:val="20"/>
          <w:szCs w:val="20"/>
        </w:rPr>
      </w:pPr>
    </w:p>
    <w:p w14:paraId="542D4924">
      <w:pPr>
        <w:ind w:right="48" w:firstLine="480"/>
        <w:rPr>
          <w:rFonts w:ascii="宋体" w:hAnsi="宋体" w:eastAsia="宋体" w:cs="宋体"/>
          <w:color w:val="auto"/>
          <w:sz w:val="24"/>
          <w:szCs w:val="24"/>
        </w:rPr>
      </w:pPr>
      <w:r>
        <w:rPr>
          <w:rFonts w:hint="eastAsia" w:ascii="宋体" w:hAnsi="宋体" w:eastAsia="宋体"/>
          <w:sz w:val="24"/>
          <w:szCs w:val="24"/>
        </w:rPr>
        <w:t>合同期间，采购人可能会采购超出上述清单的分割肉品种，具体以采购人实际需求为准，供应商需按照采购人实际需求配合供应。</w:t>
      </w:r>
    </w:p>
    <w:p w14:paraId="1324F134">
      <w:pPr>
        <w:ind w:right="48" w:firstLine="480"/>
        <w:rPr>
          <w:rFonts w:ascii="宋体" w:hAnsi="宋体" w:eastAsia="宋体" w:cs="宋体"/>
          <w:color w:val="auto"/>
          <w:sz w:val="24"/>
          <w:szCs w:val="24"/>
        </w:rPr>
      </w:pPr>
      <w:r>
        <w:rPr>
          <w:rFonts w:hint="eastAsia" w:ascii="宋体" w:hAnsi="宋体" w:eastAsia="宋体" w:cs="宋体"/>
          <w:color w:val="auto"/>
          <w:sz w:val="24"/>
          <w:szCs w:val="24"/>
        </w:rPr>
        <w:t>备注：</w:t>
      </w:r>
    </w:p>
    <w:p w14:paraId="1AD22F4B">
      <w:pPr>
        <w:ind w:right="48" w:firstLine="480"/>
        <w:rPr>
          <w:rFonts w:ascii="宋体" w:hAnsi="宋体" w:eastAsia="宋体" w:cs="宋体"/>
          <w:color w:val="auto"/>
          <w:sz w:val="24"/>
          <w:szCs w:val="24"/>
        </w:rPr>
      </w:pPr>
      <w:r>
        <w:rPr>
          <w:rFonts w:ascii="宋体" w:hAnsi="宋体" w:eastAsia="宋体" w:cs="宋体"/>
          <w:color w:val="auto"/>
          <w:sz w:val="24"/>
          <w:szCs w:val="24"/>
        </w:rPr>
        <w:t>1.</w:t>
      </w:r>
      <w:r>
        <w:rPr>
          <w:rFonts w:ascii="宋体" w:hAnsi="宋体" w:eastAsia="宋体" w:cs="宋体"/>
          <w:color w:val="auto"/>
          <w:sz w:val="24"/>
          <w:szCs w:val="24"/>
        </w:rPr>
        <w:tab/>
      </w:r>
      <w:r>
        <w:rPr>
          <w:rFonts w:hint="eastAsia" w:ascii="宋体" w:hAnsi="宋体" w:eastAsia="宋体" w:cs="宋体"/>
          <w:color w:val="auto"/>
          <w:sz w:val="24"/>
          <w:szCs w:val="24"/>
        </w:rPr>
        <w:t>投标人投标时，采购的主要标的应在《货物说明一览表》中清晰列明“货物名称、规格”。</w:t>
      </w:r>
    </w:p>
    <w:p w14:paraId="55B08DA7">
      <w:pPr>
        <w:ind w:right="48" w:firstLine="480"/>
        <w:rPr>
          <w:rFonts w:ascii="宋体" w:hAnsi="宋体" w:eastAsia="宋体" w:cs="宋体"/>
          <w:color w:val="auto"/>
          <w:sz w:val="24"/>
          <w:szCs w:val="24"/>
        </w:rPr>
      </w:pPr>
      <w:r>
        <w:rPr>
          <w:rFonts w:ascii="宋体" w:hAnsi="宋体" w:eastAsia="宋体" w:cs="宋体"/>
          <w:color w:val="auto"/>
          <w:sz w:val="24"/>
          <w:szCs w:val="24"/>
        </w:rPr>
        <w:t>2.</w:t>
      </w:r>
      <w:r>
        <w:rPr>
          <w:rFonts w:ascii="宋体" w:hAnsi="宋体" w:eastAsia="宋体" w:cs="宋体"/>
          <w:color w:val="auto"/>
          <w:sz w:val="24"/>
          <w:szCs w:val="24"/>
        </w:rPr>
        <w:tab/>
      </w:r>
      <w:r>
        <w:rPr>
          <w:rFonts w:hint="eastAsia" w:ascii="宋体" w:hAnsi="宋体" w:eastAsia="宋体" w:cs="宋体"/>
          <w:color w:val="auto"/>
          <w:sz w:val="24"/>
          <w:szCs w:val="24"/>
        </w:rPr>
        <w:t>★投标人投标时，采购的核心产品应在《货物说明一览表》（格式详见第二章采购需求）中清晰列明“</w:t>
      </w:r>
      <w:r>
        <w:rPr>
          <w:rFonts w:hint="eastAsia" w:ascii="宋体" w:hAnsi="宋体" w:eastAsia="宋体" w:cs="宋体"/>
          <w:b/>
          <w:bCs/>
          <w:color w:val="auto"/>
          <w:sz w:val="24"/>
          <w:szCs w:val="24"/>
        </w:rPr>
        <w:t>货物名称、出厂的肉联厂</w:t>
      </w:r>
      <w:bookmarkStart w:id="0" w:name="_GoBack"/>
      <w:bookmarkEnd w:id="0"/>
      <w:r>
        <w:rPr>
          <w:rFonts w:hint="eastAsia" w:ascii="宋体" w:hAnsi="宋体" w:eastAsia="宋体" w:cs="宋体"/>
          <w:b/>
          <w:bCs/>
          <w:color w:val="auto"/>
          <w:sz w:val="24"/>
          <w:szCs w:val="24"/>
        </w:rPr>
        <w:t>”</w:t>
      </w:r>
      <w:r>
        <w:rPr>
          <w:rFonts w:hint="eastAsia" w:ascii="宋体" w:hAnsi="宋体" w:eastAsia="宋体" w:cs="宋体"/>
          <w:color w:val="auto"/>
          <w:sz w:val="24"/>
          <w:szCs w:val="24"/>
        </w:rPr>
        <w:t>，否则，视为无效投标。</w:t>
      </w:r>
    </w:p>
    <w:p w14:paraId="209F1620">
      <w:pPr>
        <w:outlineLvl w:val="1"/>
        <w:rPr>
          <w:rFonts w:cs="宋体" w:asciiTheme="minorEastAsia" w:hAnsiTheme="minorEastAsia" w:eastAsiaTheme="minorEastAsia"/>
          <w:spacing w:val="10"/>
          <w:sz w:val="24"/>
          <w:szCs w:val="24"/>
        </w:rPr>
      </w:pPr>
    </w:p>
    <w:p w14:paraId="508B215C">
      <w:pPr>
        <w:outlineLvl w:val="1"/>
        <w:rPr>
          <w:rFonts w:cs="宋体" w:asciiTheme="minorEastAsia" w:hAnsiTheme="minorEastAsia" w:eastAsiaTheme="minorEastAsia"/>
          <w:b/>
          <w:bCs/>
          <w:spacing w:val="10"/>
          <w:sz w:val="24"/>
          <w:szCs w:val="24"/>
        </w:rPr>
      </w:pPr>
      <w:r>
        <w:rPr>
          <w:rFonts w:hint="eastAsia" w:cs="宋体" w:asciiTheme="minorEastAsia" w:hAnsiTheme="minorEastAsia" w:eastAsiaTheme="minorEastAsia"/>
          <w:b/>
          <w:bCs/>
          <w:spacing w:val="10"/>
          <w:sz w:val="24"/>
          <w:szCs w:val="24"/>
        </w:rPr>
        <w:t>采购包1（新鲜分割肉）：</w:t>
      </w:r>
    </w:p>
    <w:p w14:paraId="6413A228">
      <w:pPr>
        <w:ind w:firstLine="16"/>
        <w:outlineLvl w:val="2"/>
        <w:rPr>
          <w:rFonts w:cs="宋体" w:asciiTheme="minorEastAsia" w:hAnsiTheme="minorEastAsia" w:eastAsiaTheme="minorEastAsia"/>
          <w:sz w:val="24"/>
          <w:szCs w:val="24"/>
        </w:rPr>
      </w:pPr>
      <w:r>
        <w:rPr>
          <w:rFonts w:hint="eastAsia" w:cs="宋体" w:asciiTheme="minorEastAsia" w:hAnsiTheme="minorEastAsia" w:eastAsiaTheme="minorEastAsia"/>
          <w:b/>
          <w:bCs/>
          <w:spacing w:val="5"/>
          <w:w w:val="102"/>
          <w:sz w:val="24"/>
          <w:szCs w:val="24"/>
        </w:rPr>
        <w:t>1</w:t>
      </w:r>
      <w:r>
        <w:rPr>
          <w:rFonts w:hint="eastAsia" w:cs="宋体" w:asciiTheme="minorEastAsia" w:hAnsiTheme="minorEastAsia" w:eastAsiaTheme="minorEastAsia"/>
          <w:spacing w:val="-28"/>
          <w:sz w:val="24"/>
          <w:szCs w:val="24"/>
        </w:rPr>
        <w:t xml:space="preserve"> </w:t>
      </w:r>
      <w:r>
        <w:rPr>
          <w:rFonts w:hint="eastAsia" w:cs="宋体" w:asciiTheme="minorEastAsia" w:hAnsiTheme="minorEastAsia" w:eastAsiaTheme="minorEastAsia"/>
          <w:b/>
          <w:bCs/>
          <w:spacing w:val="5"/>
          <w:w w:val="102"/>
          <w:sz w:val="24"/>
          <w:szCs w:val="24"/>
        </w:rPr>
        <w:t>.</w:t>
      </w:r>
      <w:r>
        <w:rPr>
          <w:rFonts w:hint="eastAsia" w:cs="宋体" w:asciiTheme="minorEastAsia" w:hAnsiTheme="minorEastAsia" w:eastAsiaTheme="minorEastAsia"/>
          <w:spacing w:val="5"/>
          <w:w w:val="102"/>
          <w:sz w:val="24"/>
          <w:szCs w:val="24"/>
        </w:rPr>
        <w:t>主要商务要求</w:t>
      </w:r>
    </w:p>
    <w:tbl>
      <w:tblPr>
        <w:tblStyle w:val="17"/>
        <w:tblW w:w="1038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13"/>
        <w:gridCol w:w="8475"/>
      </w:tblGrid>
      <w:tr w14:paraId="7B821B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jc w:val="center"/>
        </w:trPr>
        <w:tc>
          <w:tcPr>
            <w:tcW w:w="1913" w:type="dxa"/>
            <w:vAlign w:val="center"/>
          </w:tcPr>
          <w:p w14:paraId="612B7F69">
            <w:pPr>
              <w:jc w:val="center"/>
              <w:rPr>
                <w:rFonts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标的提供的时间</w:t>
            </w:r>
          </w:p>
        </w:tc>
        <w:tc>
          <w:tcPr>
            <w:tcW w:w="8475" w:type="dxa"/>
          </w:tcPr>
          <w:p w14:paraId="5DAC7B1C">
            <w:pPr>
              <w:rPr>
                <w:rFonts w:cs="宋体" w:asciiTheme="minorEastAsia" w:hAnsiTheme="minorEastAsia" w:eastAsiaTheme="minorEastAsia"/>
                <w:color w:val="000000" w:themeColor="text1"/>
                <w:sz w:val="24"/>
                <w:szCs w:val="24"/>
                <w14:textFill>
                  <w14:solidFill>
                    <w14:schemeClr w14:val="tx1"/>
                  </w14:solidFill>
                </w14:textFill>
              </w:rPr>
            </w:pPr>
            <w:r>
              <w:rPr>
                <w:rFonts w:hint="eastAsia" w:cs="宋体" w:asciiTheme="minorEastAsia" w:hAnsiTheme="minorEastAsia" w:eastAsiaTheme="minorEastAsia"/>
                <w:color w:val="000000" w:themeColor="text1"/>
                <w:sz w:val="24"/>
                <w:szCs w:val="24"/>
                <w14:textFill>
                  <w14:solidFill>
                    <w14:schemeClr w14:val="tx1"/>
                  </w14:solidFill>
                </w14:textFill>
              </w:rPr>
              <w:t>服务期采用“</w:t>
            </w:r>
            <w:r>
              <w:rPr>
                <w:rFonts w:cs="宋体" w:asciiTheme="minorEastAsia" w:hAnsiTheme="minorEastAsia" w:eastAsiaTheme="minorEastAsia"/>
                <w:color w:val="000000" w:themeColor="text1"/>
                <w:sz w:val="24"/>
                <w:szCs w:val="24"/>
                <w14:textFill>
                  <w14:solidFill>
                    <w14:schemeClr w14:val="tx1"/>
                  </w14:solidFill>
                </w14:textFill>
              </w:rPr>
              <w:t>1+1”</w:t>
            </w:r>
            <w:r>
              <w:rPr>
                <w:rFonts w:hint="eastAsia" w:cs="宋体" w:asciiTheme="minorEastAsia" w:hAnsiTheme="minorEastAsia" w:eastAsiaTheme="minorEastAsia"/>
                <w:color w:val="000000" w:themeColor="text1"/>
                <w:sz w:val="24"/>
                <w:szCs w:val="24"/>
                <w14:textFill>
                  <w14:solidFill>
                    <w14:schemeClr w14:val="tx1"/>
                  </w14:solidFill>
                </w14:textFill>
              </w:rPr>
              <w:t>模式，合同生效之日起至服务期满一年或累计结算金额达到单年度预算金额500万元后（以先到者为准），由医院对中标供应商进行考核，如考核结果达到优及以上，经医院同意后可与供应商续签一年，合同期满或两年度累计结算金额达到本项目预算金额1000万元止（以先到者为准）。</w:t>
            </w:r>
          </w:p>
        </w:tc>
      </w:tr>
      <w:tr w14:paraId="341169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jc w:val="center"/>
        </w:trPr>
        <w:tc>
          <w:tcPr>
            <w:tcW w:w="1913" w:type="dxa"/>
            <w:vAlign w:val="center"/>
          </w:tcPr>
          <w:p w14:paraId="1CAA0664">
            <w:pPr>
              <w:jc w:val="center"/>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标的提供的地点</w:t>
            </w:r>
          </w:p>
        </w:tc>
        <w:tc>
          <w:tcPr>
            <w:tcW w:w="8475" w:type="dxa"/>
          </w:tcPr>
          <w:p w14:paraId="3C642C14">
            <w:pPr>
              <w:ind w:firstLine="102"/>
              <w:jc w:val="both"/>
              <w:rPr>
                <w:rFonts w:cs="宋体" w:asciiTheme="minorEastAsia" w:hAnsiTheme="minorEastAsia" w:eastAsiaTheme="minorEastAsia"/>
                <w:color w:val="auto"/>
                <w:sz w:val="24"/>
                <w:szCs w:val="24"/>
              </w:rPr>
            </w:pPr>
            <w:r>
              <w:rPr>
                <w:rFonts w:hint="eastAsia" w:ascii="宋体" w:hAnsi="宋体" w:eastAsia="宋体" w:cs="宋体"/>
                <w:color w:val="auto"/>
                <w:sz w:val="24"/>
              </w:rPr>
              <w:t>广州中医药大学第一附属医院膳食管理科（广州市机场路</w:t>
            </w:r>
            <w:r>
              <w:rPr>
                <w:rFonts w:ascii="宋体" w:hAnsi="宋体" w:eastAsia="宋体" w:cs="宋体"/>
                <w:color w:val="auto"/>
                <w:sz w:val="24"/>
              </w:rPr>
              <w:t>16</w:t>
            </w:r>
            <w:r>
              <w:rPr>
                <w:rFonts w:hint="eastAsia" w:ascii="宋体" w:hAnsi="宋体" w:eastAsia="宋体" w:cs="宋体"/>
                <w:color w:val="auto"/>
                <w:sz w:val="24"/>
              </w:rPr>
              <w:t>号大院内）。</w:t>
            </w:r>
          </w:p>
        </w:tc>
      </w:tr>
      <w:tr w14:paraId="69B544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jc w:val="center"/>
        </w:trPr>
        <w:tc>
          <w:tcPr>
            <w:tcW w:w="1913" w:type="dxa"/>
            <w:vAlign w:val="center"/>
          </w:tcPr>
          <w:p w14:paraId="09141D21">
            <w:pPr>
              <w:jc w:val="center"/>
              <w:rPr>
                <w:rFonts w:cs="宋体" w:asciiTheme="minorEastAsia" w:hAnsiTheme="minorEastAsia" w:eastAsiaTheme="minorEastAsia"/>
                <w:sz w:val="24"/>
                <w:szCs w:val="24"/>
              </w:rPr>
            </w:pPr>
            <w:r>
              <w:rPr>
                <w:rFonts w:hint="eastAsia" w:cs="宋体" w:asciiTheme="minorEastAsia" w:hAnsiTheme="minorEastAsia" w:eastAsiaTheme="minorEastAsia"/>
                <w:spacing w:val="-1"/>
                <w:sz w:val="24"/>
                <w:szCs w:val="24"/>
              </w:rPr>
              <w:t>付款方式</w:t>
            </w:r>
          </w:p>
        </w:tc>
        <w:tc>
          <w:tcPr>
            <w:tcW w:w="8475" w:type="dxa"/>
          </w:tcPr>
          <w:p w14:paraId="6029B4CD">
            <w:pPr>
              <w:pStyle w:val="2"/>
              <w:rPr>
                <w:rFonts w:ascii="宋体" w:eastAsia="宋体" w:cs="宋体"/>
                <w:b w:val="0"/>
                <w:bCs w:val="0"/>
                <w:sz w:val="24"/>
                <w:szCs w:val="24"/>
              </w:rPr>
            </w:pPr>
            <w:r>
              <w:rPr>
                <w:rFonts w:hint="eastAsia" w:ascii="宋体" w:eastAsia="宋体" w:cs="宋体"/>
                <w:snapToGrid/>
                <w:sz w:val="24"/>
                <w:szCs w:val="24"/>
                <w:lang w:bidi="ar"/>
              </w:rPr>
              <w:t>1期：支付比</w:t>
            </w:r>
            <w:r>
              <w:rPr>
                <w:rFonts w:hint="eastAsia" w:ascii="宋体" w:eastAsia="宋体" w:cs="宋体"/>
                <w:snapToGrid/>
                <w:color w:val="auto"/>
                <w:sz w:val="24"/>
                <w:szCs w:val="24"/>
                <w:lang w:bidi="ar"/>
              </w:rPr>
              <w:t>例</w:t>
            </w:r>
            <w:r>
              <w:rPr>
                <w:rFonts w:hint="eastAsia" w:ascii="宋体" w:eastAsia="宋体" w:cs="宋体"/>
                <w:snapToGrid/>
                <w:color w:val="auto"/>
                <w:sz w:val="24"/>
                <w:szCs w:val="24"/>
                <w:u w:val="single"/>
                <w:lang w:bidi="ar"/>
              </w:rPr>
              <w:t>100</w:t>
            </w:r>
            <w:r>
              <w:rPr>
                <w:rFonts w:hint="eastAsia" w:ascii="宋体" w:eastAsia="宋体" w:cs="宋体"/>
                <w:snapToGrid/>
                <w:color w:val="auto"/>
                <w:sz w:val="24"/>
                <w:szCs w:val="24"/>
                <w:lang w:bidi="ar"/>
              </w:rPr>
              <w:t>%，</w:t>
            </w:r>
            <w:r>
              <w:rPr>
                <w:rFonts w:hint="eastAsia" w:ascii="宋体" w:eastAsia="宋体" w:cs="宋体"/>
                <w:b w:val="0"/>
                <w:bCs w:val="0"/>
                <w:color w:val="auto"/>
                <w:sz w:val="24"/>
              </w:rPr>
              <w:t>采购</w:t>
            </w:r>
            <w:r>
              <w:rPr>
                <w:rFonts w:hint="eastAsia" w:ascii="宋体" w:eastAsia="宋体" w:cs="宋体"/>
                <w:b w:val="0"/>
                <w:bCs w:val="0"/>
                <w:sz w:val="24"/>
              </w:rPr>
              <w:t>人对投标人的货款按月</w:t>
            </w:r>
            <w:r>
              <w:rPr>
                <w:rFonts w:hint="eastAsia" w:ascii="宋体" w:eastAsia="宋体" w:cs="宋体"/>
                <w:b w:val="0"/>
                <w:bCs w:val="0"/>
                <w:sz w:val="24"/>
                <w:lang w:val="en-US" w:eastAsia="zh-CN"/>
              </w:rPr>
              <w:t>核算</w:t>
            </w:r>
            <w:r>
              <w:rPr>
                <w:rFonts w:hint="eastAsia" w:ascii="宋体" w:eastAsia="宋体" w:cs="宋体"/>
                <w:b w:val="0"/>
                <w:bCs w:val="0"/>
                <w:sz w:val="24"/>
                <w:szCs w:val="24"/>
              </w:rPr>
              <w:t>，若中标人提供的货品未达到质量标准，采购人有权拒绝向中标人支付货款，直到解决争议为止。采购人在货物验收入库三个月后支付货款给中标人。</w:t>
            </w:r>
            <w:r>
              <w:rPr>
                <w:rFonts w:hint="eastAsia" w:ascii="宋体" w:eastAsia="宋体" w:cs="宋体"/>
                <w:color w:val="auto"/>
                <w:sz w:val="24"/>
                <w:szCs w:val="24"/>
              </w:rPr>
              <w:t>（如法规有相关规定的，从其规定）</w:t>
            </w:r>
          </w:p>
          <w:p w14:paraId="07ECA9E5">
            <w:pPr>
              <w:rPr>
                <w:rFonts w:eastAsiaTheme="minorEastAsia"/>
              </w:rPr>
            </w:pPr>
            <w:r>
              <w:rPr>
                <w:rFonts w:hint="eastAsia" w:ascii="宋体" w:hAnsi="宋体" w:eastAsia="宋体" w:cs="宋体"/>
                <w:sz w:val="24"/>
              </w:rPr>
              <w:t>采购人通过转账支票</w:t>
            </w:r>
            <w:r>
              <w:rPr>
                <w:rFonts w:ascii="宋体" w:hAnsi="宋体" w:eastAsia="宋体" w:cs="宋体"/>
                <w:sz w:val="24"/>
              </w:rPr>
              <w:t>/</w:t>
            </w:r>
            <w:r>
              <w:rPr>
                <w:rFonts w:hint="eastAsia" w:ascii="宋体" w:hAnsi="宋体" w:eastAsia="宋体" w:cs="宋体"/>
                <w:sz w:val="24"/>
              </w:rPr>
              <w:t>网银向中标人付款。采购人向中标人进行支票转账</w:t>
            </w:r>
            <w:r>
              <w:rPr>
                <w:rFonts w:ascii="宋体" w:hAnsi="宋体" w:eastAsia="宋体" w:cs="宋体"/>
                <w:sz w:val="24"/>
              </w:rPr>
              <w:t>/</w:t>
            </w:r>
            <w:r>
              <w:rPr>
                <w:rFonts w:hint="eastAsia" w:ascii="宋体" w:hAnsi="宋体" w:eastAsia="宋体" w:cs="宋体"/>
                <w:sz w:val="24"/>
              </w:rPr>
              <w:t>网银付款前，中标人必须出具广东省相关机构认可的统一正式发票，发票抬头“广州中医药大学第一附属医院”。发票必须加盖中标人财务专用章，支票</w:t>
            </w:r>
            <w:r>
              <w:rPr>
                <w:rFonts w:ascii="宋体" w:hAnsi="宋体" w:eastAsia="宋体" w:cs="宋体"/>
                <w:sz w:val="24"/>
              </w:rPr>
              <w:t>/</w:t>
            </w:r>
            <w:r>
              <w:rPr>
                <w:rFonts w:hint="eastAsia" w:ascii="宋体" w:hAnsi="宋体" w:eastAsia="宋体" w:cs="宋体"/>
                <w:sz w:val="24"/>
              </w:rPr>
              <w:t>网银转账时收款单位必须是中标人。因中标人原因，未能在次月</w:t>
            </w:r>
            <w:r>
              <w:rPr>
                <w:rFonts w:ascii="宋体" w:hAnsi="宋体" w:eastAsia="宋体" w:cs="宋体"/>
                <w:sz w:val="24"/>
              </w:rPr>
              <w:t>5</w:t>
            </w:r>
            <w:r>
              <w:rPr>
                <w:rFonts w:hint="eastAsia" w:ascii="宋体" w:hAnsi="宋体" w:eastAsia="宋体" w:cs="宋体"/>
                <w:sz w:val="24"/>
              </w:rPr>
              <w:t>号（节假日顺延）前完成上月货款核对工作，对采购人结账工作进度造成影响，采购人有权对中标人进行包括采取延后付款、扣除履约保证金等处罚。</w:t>
            </w:r>
          </w:p>
          <w:p w14:paraId="34D04A91">
            <w:pPr>
              <w:ind w:right="98"/>
              <w:textAlignment w:val="auto"/>
              <w:rPr>
                <w:rFonts w:ascii="宋体" w:hAnsi="宋体" w:eastAsia="宋体" w:cs="宋体"/>
                <w:b/>
                <w:bCs/>
                <w:color w:val="auto"/>
                <w:sz w:val="24"/>
                <w:szCs w:val="24"/>
              </w:rPr>
            </w:pPr>
            <w:r>
              <w:rPr>
                <w:rFonts w:hint="eastAsia" w:ascii="宋体" w:hAnsi="宋体" w:eastAsia="宋体" w:cs="宋体"/>
                <w:b/>
                <w:bCs/>
                <w:sz w:val="24"/>
              </w:rPr>
              <w:t>结算总价</w:t>
            </w:r>
            <w:r>
              <w:rPr>
                <w:rFonts w:ascii="宋体" w:hAnsi="宋体" w:eastAsia="宋体" w:cs="宋体"/>
                <w:b/>
                <w:bCs/>
                <w:sz w:val="24"/>
              </w:rPr>
              <w:t>=</w:t>
            </w:r>
            <w:r>
              <w:rPr>
                <w:rFonts w:hint="eastAsia" w:ascii="宋体" w:hAnsi="宋体" w:eastAsia="宋体" w:cs="宋体"/>
                <w:b/>
                <w:bCs/>
                <w:sz w:val="24"/>
              </w:rPr>
              <w:t>∑各类肉品的基准价格×投标人承诺折扣率×各类肉品的实际采购量</w:t>
            </w:r>
            <w:r>
              <w:rPr>
                <w:rFonts w:hint="eastAsia" w:ascii="宋体" w:hAnsi="宋体" w:eastAsia="宋体" w:cs="宋体"/>
                <w:sz w:val="24"/>
              </w:rPr>
              <w:t>-扣罚金额（如有）</w:t>
            </w:r>
          </w:p>
          <w:p w14:paraId="3BD80CE2">
            <w:pPr>
              <w:ind w:right="98"/>
              <w:textAlignment w:val="auto"/>
              <w:rPr>
                <w:rFonts w:ascii="宋体" w:hAnsi="宋体" w:eastAsia="宋体" w:cs="宋体"/>
                <w:color w:val="FF0000"/>
                <w:sz w:val="24"/>
                <w:szCs w:val="24"/>
              </w:rPr>
            </w:pPr>
            <w:r>
              <w:rPr>
                <w:rFonts w:hint="eastAsia" w:ascii="宋体" w:eastAsia="宋体" w:cs="宋体"/>
                <w:b/>
                <w:bCs/>
                <w:sz w:val="24"/>
                <w:szCs w:val="24"/>
              </w:rPr>
              <w:t>如项目发生合同融资，采购人应当将合同款项支付到合同约定收款账户。</w:t>
            </w:r>
          </w:p>
        </w:tc>
      </w:tr>
      <w:tr w14:paraId="5E87F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7" w:hRule="atLeast"/>
          <w:jc w:val="center"/>
        </w:trPr>
        <w:tc>
          <w:tcPr>
            <w:tcW w:w="1913" w:type="dxa"/>
            <w:vAlign w:val="center"/>
          </w:tcPr>
          <w:p w14:paraId="615670C1">
            <w:pPr>
              <w:jc w:val="center"/>
              <w:rPr>
                <w:rFonts w:cs="宋体" w:asciiTheme="minorEastAsia" w:hAnsiTheme="minorEastAsia" w:eastAsiaTheme="minorEastAsia"/>
                <w:sz w:val="24"/>
                <w:szCs w:val="24"/>
              </w:rPr>
            </w:pPr>
            <w:r>
              <w:rPr>
                <w:rFonts w:hint="eastAsia" w:cs="宋体" w:asciiTheme="minorEastAsia" w:hAnsiTheme="minorEastAsia" w:eastAsiaTheme="minorEastAsia"/>
                <w:spacing w:val="-1"/>
                <w:sz w:val="24"/>
                <w:szCs w:val="24"/>
              </w:rPr>
              <w:t>验收要求</w:t>
            </w:r>
          </w:p>
        </w:tc>
        <w:tc>
          <w:tcPr>
            <w:tcW w:w="8475" w:type="dxa"/>
          </w:tcPr>
          <w:p w14:paraId="6049A40B">
            <w:pPr>
              <w:ind w:left="103" w:right="98" w:firstLine="12"/>
              <w:rPr>
                <w:rFonts w:cs="宋体" w:asciiTheme="minorEastAsia" w:hAnsiTheme="minorEastAsia" w:eastAsiaTheme="minorEastAsia"/>
                <w:sz w:val="24"/>
                <w:szCs w:val="24"/>
              </w:rPr>
            </w:pPr>
            <w:r>
              <w:rPr>
                <w:rFonts w:cs="宋体" w:asciiTheme="minorEastAsia" w:hAnsiTheme="minorEastAsia" w:eastAsiaTheme="minorEastAsia"/>
                <w:sz w:val="24"/>
                <w:szCs w:val="24"/>
              </w:rPr>
              <w:t>1</w:t>
            </w:r>
            <w:r>
              <w:rPr>
                <w:rFonts w:hint="eastAsia" w:cs="宋体" w:asciiTheme="minorEastAsia" w:hAnsiTheme="minorEastAsia" w:eastAsiaTheme="minorEastAsia"/>
                <w:sz w:val="24"/>
                <w:szCs w:val="24"/>
              </w:rPr>
              <w:t>期：</w:t>
            </w:r>
          </w:p>
          <w:p w14:paraId="462B8069">
            <w:pPr>
              <w:ind w:left="103" w:right="98" w:firstLine="12"/>
              <w:rPr>
                <w:rFonts w:cs="宋体" w:asciiTheme="minorEastAsia" w:hAnsiTheme="minorEastAsia" w:eastAsiaTheme="minorEastAsia"/>
                <w:sz w:val="24"/>
                <w:szCs w:val="24"/>
              </w:rPr>
            </w:pPr>
            <w:r>
              <w:rPr>
                <w:rFonts w:cs="宋体" w:asciiTheme="minorEastAsia" w:hAnsiTheme="minorEastAsia" w:eastAsiaTheme="minorEastAsia"/>
                <w:sz w:val="24"/>
                <w:szCs w:val="24"/>
              </w:rPr>
              <w:t>1.</w:t>
            </w:r>
            <w:r>
              <w:rPr>
                <w:rFonts w:hint="eastAsia" w:cs="宋体" w:asciiTheme="minorEastAsia" w:hAnsiTheme="minorEastAsia" w:eastAsiaTheme="minorEastAsia"/>
                <w:sz w:val="24"/>
                <w:szCs w:val="24"/>
              </w:rPr>
              <w:t>中标人向采购人送货时，须提供每批次产品的送货清单，当天的动物检疫合格证明原件等证明票据材料。</w:t>
            </w:r>
            <w:r>
              <w:rPr>
                <w:rFonts w:cs="宋体" w:asciiTheme="minorEastAsia" w:hAnsiTheme="minorEastAsia" w:eastAsiaTheme="minorEastAsia"/>
                <w:sz w:val="24"/>
                <w:szCs w:val="24"/>
              </w:rPr>
              <w:t xml:space="preserve"> </w:t>
            </w:r>
          </w:p>
          <w:p w14:paraId="41C493BC">
            <w:pPr>
              <w:ind w:left="103" w:right="98" w:firstLine="12"/>
              <w:rPr>
                <w:rFonts w:cs="宋体" w:asciiTheme="minorEastAsia" w:hAnsiTheme="minorEastAsia" w:eastAsiaTheme="minorEastAsia"/>
                <w:sz w:val="24"/>
                <w:szCs w:val="24"/>
              </w:rPr>
            </w:pPr>
            <w:r>
              <w:rPr>
                <w:rFonts w:cs="宋体" w:asciiTheme="minorEastAsia" w:hAnsiTheme="minorEastAsia" w:eastAsiaTheme="minorEastAsia"/>
                <w:sz w:val="24"/>
                <w:szCs w:val="24"/>
              </w:rPr>
              <w:t>2.</w:t>
            </w:r>
            <w:r>
              <w:rPr>
                <w:rFonts w:hint="eastAsia" w:cs="宋体" w:asciiTheme="minorEastAsia" w:hAnsiTheme="minorEastAsia" w:eastAsiaTheme="minorEastAsia"/>
                <w:sz w:val="24"/>
                <w:szCs w:val="24"/>
              </w:rPr>
              <w:t>中标人在肉品运输过程应采取有效的制冷、卫生等运输方式，确保运输过程中肉品不受污染和损坏。</w:t>
            </w:r>
          </w:p>
          <w:p w14:paraId="694A6773">
            <w:pPr>
              <w:ind w:left="103" w:right="98" w:firstLine="12"/>
              <w:rPr>
                <w:rFonts w:cs="宋体" w:asciiTheme="minorEastAsia" w:hAnsiTheme="minorEastAsia" w:eastAsiaTheme="minorEastAsia"/>
                <w:sz w:val="24"/>
                <w:szCs w:val="24"/>
              </w:rPr>
            </w:pPr>
            <w:r>
              <w:rPr>
                <w:rFonts w:cs="宋体" w:asciiTheme="minorEastAsia" w:hAnsiTheme="minorEastAsia" w:eastAsiaTheme="minorEastAsia"/>
                <w:sz w:val="24"/>
                <w:szCs w:val="24"/>
              </w:rPr>
              <w:t>3.</w:t>
            </w:r>
            <w:r>
              <w:rPr>
                <w:rFonts w:hint="eastAsia" w:cs="宋体" w:asciiTheme="minorEastAsia" w:hAnsiTheme="minorEastAsia" w:eastAsiaTheme="minorEastAsia"/>
                <w:sz w:val="24"/>
                <w:szCs w:val="24"/>
              </w:rPr>
              <w:t>如果有抽检时，由采购人通知中标人派代表参加，双方代表均在现场对抽检样品予以认可。经采购人通知后中标人未派出代表在通知的时间、地点参加质量抽检有关工作，则认定中标人对采购人组织的质量抽检程序和抽检结果完全承认。</w:t>
            </w:r>
          </w:p>
          <w:p w14:paraId="259C2F8F">
            <w:pPr>
              <w:ind w:left="103" w:right="98" w:firstLine="12"/>
              <w:rPr>
                <w:rFonts w:cs="宋体" w:asciiTheme="minorEastAsia" w:hAnsiTheme="minorEastAsia" w:eastAsiaTheme="minorEastAsia"/>
                <w:sz w:val="24"/>
                <w:szCs w:val="24"/>
              </w:rPr>
            </w:pPr>
            <w:r>
              <w:rPr>
                <w:rFonts w:cs="宋体" w:asciiTheme="minorEastAsia" w:hAnsiTheme="minorEastAsia" w:eastAsiaTheme="minorEastAsia"/>
                <w:sz w:val="24"/>
                <w:szCs w:val="24"/>
              </w:rPr>
              <w:t>4.</w:t>
            </w:r>
            <w:r>
              <w:rPr>
                <w:rFonts w:hint="eastAsia" w:cs="宋体" w:asciiTheme="minorEastAsia" w:hAnsiTheme="minorEastAsia" w:eastAsiaTheme="minorEastAsia"/>
                <w:sz w:val="24"/>
                <w:szCs w:val="24"/>
              </w:rPr>
              <w:t>采购人每天将派有经验的验收人员对中标人所送的肉品进行颜色、气味、新鲜度等方面的评价，如果发现肉品有不新鲜，不符合招标标准等情况，采购人将提出退货要求，中标人必须无条件接受，并在</w:t>
            </w:r>
            <w:r>
              <w:rPr>
                <w:rFonts w:cs="宋体" w:asciiTheme="minorEastAsia" w:hAnsiTheme="minorEastAsia" w:eastAsiaTheme="minorEastAsia"/>
                <w:sz w:val="24"/>
                <w:szCs w:val="24"/>
              </w:rPr>
              <w:t>2</w:t>
            </w:r>
            <w:r>
              <w:rPr>
                <w:rFonts w:hint="eastAsia" w:cs="宋体" w:asciiTheme="minorEastAsia" w:hAnsiTheme="minorEastAsia" w:eastAsiaTheme="minorEastAsia"/>
                <w:sz w:val="24"/>
                <w:szCs w:val="24"/>
              </w:rPr>
              <w:t>小时内补充退货相应数量的肉品送至采购人指定地点。</w:t>
            </w:r>
          </w:p>
        </w:tc>
      </w:tr>
      <w:tr w14:paraId="2F2D0E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3" w:hRule="atLeast"/>
          <w:jc w:val="center"/>
        </w:trPr>
        <w:tc>
          <w:tcPr>
            <w:tcW w:w="1913" w:type="dxa"/>
            <w:vAlign w:val="center"/>
          </w:tcPr>
          <w:p w14:paraId="7D5494A8">
            <w:pPr>
              <w:jc w:val="center"/>
              <w:rPr>
                <w:rFonts w:ascii="宋体" w:hAnsi="宋体" w:eastAsia="宋体" w:cs="宋体"/>
                <w:sz w:val="24"/>
                <w:szCs w:val="24"/>
              </w:rPr>
            </w:pPr>
            <w:r>
              <w:rPr>
                <w:rFonts w:hint="eastAsia" w:ascii="宋体" w:hAnsi="宋体" w:eastAsia="宋体" w:cs="宋体"/>
                <w:spacing w:val="-1"/>
                <w:sz w:val="24"/>
                <w:szCs w:val="24"/>
              </w:rPr>
              <w:t>履约保证金</w:t>
            </w:r>
          </w:p>
        </w:tc>
        <w:tc>
          <w:tcPr>
            <w:tcW w:w="8475" w:type="dxa"/>
          </w:tcPr>
          <w:p w14:paraId="2CDD384D">
            <w:pPr>
              <w:ind w:firstLine="105"/>
              <w:rPr>
                <w:rFonts w:ascii="宋体" w:hAnsi="宋体" w:eastAsia="宋体"/>
                <w:sz w:val="24"/>
                <w:szCs w:val="24"/>
              </w:rPr>
            </w:pPr>
            <w:r>
              <w:rPr>
                <w:rFonts w:hint="eastAsia" w:ascii="宋体" w:hAnsi="宋体" w:eastAsia="宋体"/>
                <w:sz w:val="24"/>
                <w:szCs w:val="24"/>
              </w:rPr>
              <w:t>收取比例：</w:t>
            </w:r>
            <w:r>
              <w:rPr>
                <w:rFonts w:hint="eastAsia" w:ascii="宋体" w:hAnsi="宋体" w:eastAsia="宋体"/>
                <w:color w:val="FF0000"/>
                <w:sz w:val="24"/>
                <w:szCs w:val="24"/>
                <w:u w:val="single"/>
              </w:rPr>
              <w:t>5</w:t>
            </w:r>
            <w:r>
              <w:rPr>
                <w:rFonts w:ascii="宋体" w:hAnsi="宋体" w:eastAsia="宋体"/>
                <w:sz w:val="24"/>
                <w:szCs w:val="24"/>
              </w:rPr>
              <w:t>%</w:t>
            </w:r>
            <w:r>
              <w:rPr>
                <w:rFonts w:hint="eastAsia" w:ascii="宋体" w:hAnsi="宋体" w:eastAsia="宋体"/>
                <w:sz w:val="24"/>
                <w:szCs w:val="24"/>
              </w:rPr>
              <w:t>，说明：</w:t>
            </w:r>
          </w:p>
          <w:p w14:paraId="009A4AE2">
            <w:pPr>
              <w:numPr>
                <w:ilvl w:val="0"/>
                <w:numId w:val="2"/>
              </w:numPr>
              <w:ind w:firstLine="105"/>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themeColor="text1"/>
                <w:sz w:val="24"/>
                <w:szCs w:val="24"/>
                <w14:textFill>
                  <w14:solidFill>
                    <w14:schemeClr w14:val="tx1"/>
                  </w14:solidFill>
                </w14:textFill>
              </w:rPr>
              <w:t>提交说明：</w:t>
            </w:r>
          </w:p>
          <w:p w14:paraId="201D5A7A">
            <w:pPr>
              <w:numPr>
                <w:ilvl w:val="0"/>
                <w:numId w:val="3"/>
              </w:numPr>
              <w:rPr>
                <w:rFonts w:ascii="宋体" w:hAnsi="宋体" w:eastAsia="宋体"/>
                <w:color w:val="auto"/>
                <w:sz w:val="24"/>
                <w:szCs w:val="24"/>
              </w:rPr>
            </w:pPr>
            <w:r>
              <w:rPr>
                <w:rFonts w:hint="eastAsia" w:ascii="宋体" w:hAnsi="宋体" w:eastAsia="宋体"/>
                <w:color w:val="auto"/>
                <w:sz w:val="24"/>
                <w:szCs w:val="24"/>
              </w:rPr>
              <w:t>提交金额：25</w:t>
            </w:r>
            <w:r>
              <w:rPr>
                <w:rFonts w:ascii="宋体" w:hAnsi="宋体" w:eastAsia="宋体"/>
                <w:color w:val="auto"/>
                <w:sz w:val="24"/>
                <w:szCs w:val="24"/>
              </w:rPr>
              <w:t>0,000.00</w:t>
            </w:r>
            <w:r>
              <w:rPr>
                <w:rFonts w:hint="eastAsia" w:ascii="宋体" w:hAnsi="宋体" w:eastAsia="宋体"/>
                <w:color w:val="auto"/>
                <w:sz w:val="24"/>
                <w:szCs w:val="24"/>
              </w:rPr>
              <w:t>元</w:t>
            </w:r>
          </w:p>
          <w:p w14:paraId="7B1410F4">
            <w:pPr>
              <w:numPr>
                <w:ilvl w:val="0"/>
                <w:numId w:val="3"/>
              </w:numPr>
              <w:rPr>
                <w:rFonts w:ascii="宋体" w:hAnsi="宋体" w:eastAsia="宋体"/>
                <w:color w:val="auto"/>
                <w:sz w:val="24"/>
                <w:szCs w:val="24"/>
              </w:rPr>
            </w:pPr>
            <w:r>
              <w:rPr>
                <w:rFonts w:hint="eastAsia" w:ascii="宋体" w:hAnsi="宋体" w:eastAsia="宋体"/>
                <w:color w:val="000000" w:themeColor="text1"/>
                <w:sz w:val="24"/>
                <w:szCs w:val="24"/>
                <w14:textFill>
                  <w14:solidFill>
                    <w14:schemeClr w14:val="tx1"/>
                  </w14:solidFill>
                </w14:textFill>
              </w:rPr>
              <w:t>时间：</w:t>
            </w:r>
            <w:r>
              <w:rPr>
                <w:rFonts w:hint="eastAsia" w:ascii="宋体" w:hAnsi="宋体" w:eastAsia="宋体"/>
                <w:color w:val="auto"/>
                <w:sz w:val="24"/>
                <w:szCs w:val="24"/>
              </w:rPr>
              <w:t>合同签订之日起</w:t>
            </w:r>
            <w:r>
              <w:rPr>
                <w:rFonts w:hint="eastAsia" w:ascii="宋体" w:hAnsi="宋体" w:eastAsia="宋体"/>
                <w:color w:val="auto"/>
                <w:sz w:val="24"/>
                <w:szCs w:val="24"/>
                <w:u w:val="single"/>
              </w:rPr>
              <w:t>5</w:t>
            </w:r>
            <w:r>
              <w:rPr>
                <w:rFonts w:hint="eastAsia" w:ascii="宋体" w:hAnsi="宋体" w:eastAsia="宋体"/>
                <w:color w:val="auto"/>
                <w:sz w:val="24"/>
                <w:szCs w:val="24"/>
              </w:rPr>
              <w:t>日内</w:t>
            </w:r>
            <w:r>
              <w:rPr>
                <w:rFonts w:hint="eastAsia" w:ascii="宋体" w:hAnsi="宋体" w:eastAsia="宋体" w:cs="宋体"/>
                <w:color w:val="auto"/>
                <w:sz w:val="24"/>
                <w:szCs w:val="24"/>
              </w:rPr>
              <w:t>向采购人提交250,000.00元的履约保证金</w:t>
            </w:r>
            <w:r>
              <w:rPr>
                <w:rFonts w:hint="eastAsia" w:ascii="宋体" w:hAnsi="宋体" w:eastAsia="宋体"/>
                <w:color w:val="auto"/>
                <w:sz w:val="24"/>
                <w:szCs w:val="24"/>
              </w:rPr>
              <w:t>；</w:t>
            </w:r>
          </w:p>
          <w:p w14:paraId="6DC3C2CB">
            <w:pPr>
              <w:rPr>
                <w:rFonts w:ascii="宋体" w:hAnsi="宋体" w:eastAsia="宋体"/>
                <w:sz w:val="24"/>
                <w:szCs w:val="24"/>
              </w:rPr>
            </w:pPr>
            <w:r>
              <w:rPr>
                <w:rFonts w:hint="eastAsia" w:ascii="宋体" w:hAnsi="宋体" w:eastAsia="宋体"/>
                <w:sz w:val="24"/>
                <w:szCs w:val="24"/>
              </w:rPr>
              <w:t>（2）方式：转账、支票、汇票、本票、保函。</w:t>
            </w:r>
          </w:p>
          <w:p w14:paraId="48FF012E">
            <w:pPr>
              <w:ind w:firstLine="105"/>
              <w:rPr>
                <w:rFonts w:ascii="宋体" w:hAnsi="宋体" w:eastAsia="宋体"/>
                <w:sz w:val="24"/>
                <w:szCs w:val="24"/>
              </w:rPr>
            </w:pPr>
            <w:r>
              <w:rPr>
                <w:rFonts w:hint="eastAsia" w:ascii="宋体" w:hAnsi="宋体" w:eastAsia="宋体"/>
                <w:sz w:val="24"/>
                <w:szCs w:val="24"/>
              </w:rPr>
              <w:t>2.退还说明：</w:t>
            </w:r>
          </w:p>
          <w:p w14:paraId="2037B289">
            <w:pPr>
              <w:ind w:firstLine="105"/>
              <w:rPr>
                <w:rFonts w:ascii="宋体" w:hAnsi="宋体" w:eastAsia="宋体"/>
                <w:sz w:val="24"/>
                <w:szCs w:val="24"/>
              </w:rPr>
            </w:pPr>
            <w:r>
              <w:rPr>
                <w:rFonts w:hint="eastAsia" w:ascii="宋体" w:hAnsi="宋体" w:eastAsia="宋体"/>
                <w:sz w:val="24"/>
                <w:szCs w:val="24"/>
              </w:rPr>
              <w:t>（1）时间、方式和条件：中标人履行完成合同约定的权利义务事项在合同期满之日起</w:t>
            </w:r>
            <w:r>
              <w:rPr>
                <w:rFonts w:ascii="宋体" w:hAnsi="宋体" w:eastAsia="宋体"/>
                <w:sz w:val="24"/>
                <w:szCs w:val="24"/>
              </w:rPr>
              <w:t>30</w:t>
            </w:r>
            <w:r>
              <w:rPr>
                <w:rFonts w:hint="eastAsia" w:ascii="宋体" w:hAnsi="宋体" w:eastAsia="宋体"/>
                <w:sz w:val="24"/>
                <w:szCs w:val="24"/>
              </w:rPr>
              <w:t>天内采购人一次性无息退还或保函在合同期满之日起6个月内失效，不计利息。</w:t>
            </w:r>
          </w:p>
          <w:p w14:paraId="585A257D">
            <w:pPr>
              <w:ind w:firstLine="105"/>
              <w:rPr>
                <w:rFonts w:ascii="宋体" w:hAnsi="宋体" w:eastAsia="宋体"/>
                <w:sz w:val="24"/>
                <w:szCs w:val="24"/>
              </w:rPr>
            </w:pPr>
            <w:r>
              <w:rPr>
                <w:rFonts w:hint="eastAsia" w:ascii="宋体" w:hAnsi="宋体" w:eastAsia="宋体"/>
                <w:sz w:val="24"/>
                <w:szCs w:val="24"/>
              </w:rPr>
              <w:t>（2）违约责任：采购人逾期退还履约保证金的，除应当退还履约保证金本金外，还应当每日按合同总价的</w:t>
            </w:r>
            <w:r>
              <w:rPr>
                <w:rFonts w:ascii="宋体" w:hAnsi="宋体" w:eastAsia="宋体"/>
                <w:sz w:val="24"/>
                <w:szCs w:val="24"/>
              </w:rPr>
              <w:t>3‰</w:t>
            </w:r>
            <w:r>
              <w:rPr>
                <w:rFonts w:hint="eastAsia" w:ascii="宋体" w:hAnsi="宋体" w:eastAsia="宋体"/>
                <w:sz w:val="24"/>
                <w:szCs w:val="24"/>
              </w:rPr>
              <w:t>向中标人偿付违约金，但因中标人自身原因导致无法及时退还的除外。</w:t>
            </w:r>
          </w:p>
          <w:p w14:paraId="7118D512">
            <w:pPr>
              <w:ind w:firstLine="105"/>
              <w:rPr>
                <w:rFonts w:ascii="宋体" w:hAnsi="宋体" w:eastAsia="宋体"/>
                <w:sz w:val="24"/>
                <w:szCs w:val="24"/>
              </w:rPr>
            </w:pPr>
            <w:r>
              <w:rPr>
                <w:rFonts w:hint="eastAsia" w:ascii="宋体" w:hAnsi="宋体" w:eastAsia="宋体"/>
                <w:sz w:val="24"/>
                <w:szCs w:val="24"/>
              </w:rPr>
              <w:t>（3）中标人违反合同及其附件约定的任何义务，采购人有权在履约保证金中直接扣除中标人应向采购人支付的违约金或损失赔偿额，如有不足的，中标人应对超过的部分予以赔偿。</w:t>
            </w:r>
          </w:p>
          <w:p w14:paraId="66913F06">
            <w:pPr>
              <w:pStyle w:val="2"/>
              <w:rPr>
                <w:rFonts w:ascii="宋体" w:eastAsia="宋体"/>
                <w:sz w:val="24"/>
                <w:szCs w:val="24"/>
              </w:rPr>
            </w:pPr>
            <w:r>
              <w:rPr>
                <w:rFonts w:hint="eastAsia" w:ascii="宋体" w:eastAsia="宋体"/>
                <w:b w:val="0"/>
                <w:bCs w:val="0"/>
                <w:color w:val="000000" w:themeColor="text1"/>
                <w:sz w:val="24"/>
                <w:szCs w:val="24"/>
                <w14:textFill>
                  <w14:solidFill>
                    <w14:schemeClr w14:val="tx1"/>
                  </w14:solidFill>
                </w14:textFill>
              </w:rPr>
              <w:t>履约保证金可以以履约保函（保险）形式提供，目前“广东政府采购智慧云平台金融服务中心（https://gdgpo.czt.gd.gov.cn/zcdservice/zcd/guangdong/)”已实现电子履约保函（保险）在线办理功能，有意愿的供应商可自行办理提供。</w:t>
            </w:r>
          </w:p>
        </w:tc>
      </w:tr>
      <w:tr w14:paraId="435CF9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 w:hRule="atLeast"/>
          <w:jc w:val="center"/>
        </w:trPr>
        <w:tc>
          <w:tcPr>
            <w:tcW w:w="1913" w:type="dxa"/>
            <w:vAlign w:val="center"/>
          </w:tcPr>
          <w:p w14:paraId="08676686">
            <w:pPr>
              <w:jc w:val="center"/>
              <w:rPr>
                <w:rFonts w:cs="宋体" w:asciiTheme="minorEastAsia" w:hAnsiTheme="minorEastAsia" w:eastAsiaTheme="minorEastAsia"/>
                <w:sz w:val="24"/>
                <w:szCs w:val="24"/>
              </w:rPr>
            </w:pPr>
            <w:r>
              <w:rPr>
                <w:rFonts w:hint="eastAsia" w:cs="宋体" w:asciiTheme="minorEastAsia" w:hAnsiTheme="minorEastAsia" w:eastAsiaTheme="minorEastAsia"/>
                <w:spacing w:val="-3"/>
                <w:sz w:val="24"/>
                <w:szCs w:val="24"/>
              </w:rPr>
              <w:t>其他</w:t>
            </w:r>
          </w:p>
        </w:tc>
        <w:tc>
          <w:tcPr>
            <w:tcW w:w="8475" w:type="dxa"/>
          </w:tcPr>
          <w:p w14:paraId="430716C7">
            <w:pPr>
              <w:rPr>
                <w:rFonts w:asciiTheme="minorEastAsia" w:hAnsiTheme="minorEastAsia" w:eastAsiaTheme="minorEastAsia"/>
                <w:sz w:val="24"/>
              </w:rPr>
            </w:pPr>
            <w:r>
              <w:rPr>
                <w:rFonts w:hint="eastAsia" w:ascii="宋体" w:hAnsi="宋体" w:eastAsia="宋体" w:cs="宋体"/>
                <w:sz w:val="24"/>
                <w:szCs w:val="24"/>
              </w:rPr>
              <w:t>（1）投标人</w:t>
            </w:r>
            <w:r>
              <w:rPr>
                <w:rFonts w:ascii="宋体" w:hAnsi="宋体" w:eastAsia="宋体" w:cs="宋体"/>
                <w:sz w:val="24"/>
                <w:szCs w:val="24"/>
              </w:rPr>
              <w:t>同意采购方以任何形式对</w:t>
            </w:r>
            <w:r>
              <w:rPr>
                <w:rFonts w:hint="eastAsia" w:ascii="宋体" w:hAnsi="宋体" w:eastAsia="宋体" w:cs="宋体"/>
                <w:sz w:val="24"/>
                <w:szCs w:val="24"/>
              </w:rPr>
              <w:t>其</w:t>
            </w:r>
            <w:r>
              <w:rPr>
                <w:rFonts w:ascii="宋体" w:hAnsi="宋体" w:eastAsia="宋体" w:cs="宋体"/>
                <w:sz w:val="24"/>
                <w:szCs w:val="24"/>
              </w:rPr>
              <w:t>投标文件内容及采购方认为有必要的相关资料的真实性和有效性进行审查、验证</w:t>
            </w:r>
            <w:r>
              <w:rPr>
                <w:rFonts w:hint="eastAsia" w:ascii="宋体" w:hAnsi="宋体" w:eastAsia="宋体" w:cs="宋体"/>
                <w:sz w:val="24"/>
                <w:szCs w:val="24"/>
              </w:rPr>
              <w:t>。</w:t>
            </w:r>
          </w:p>
        </w:tc>
      </w:tr>
    </w:tbl>
    <w:p w14:paraId="368EA1E2">
      <w:pPr>
        <w:ind w:firstLine="15"/>
        <w:outlineLvl w:val="2"/>
        <w:rPr>
          <w:rFonts w:cs="宋体" w:asciiTheme="minorEastAsia" w:hAnsiTheme="minorEastAsia" w:eastAsiaTheme="minorEastAsia"/>
          <w:b/>
          <w:bCs/>
          <w:spacing w:val="4"/>
          <w:w w:val="103"/>
          <w:sz w:val="24"/>
          <w:szCs w:val="24"/>
        </w:rPr>
      </w:pPr>
    </w:p>
    <w:p w14:paraId="5FD77769">
      <w:pPr>
        <w:ind w:firstLine="15"/>
        <w:outlineLvl w:val="2"/>
        <w:rPr>
          <w:rFonts w:cs="宋体" w:asciiTheme="minorEastAsia" w:hAnsiTheme="minorEastAsia" w:eastAsiaTheme="minorEastAsia"/>
          <w:sz w:val="19"/>
          <w:szCs w:val="19"/>
        </w:rPr>
      </w:pPr>
      <w:r>
        <w:rPr>
          <w:rFonts w:hint="eastAsia" w:cs="宋体" w:asciiTheme="minorEastAsia" w:hAnsiTheme="minorEastAsia" w:eastAsiaTheme="minorEastAsia"/>
          <w:b/>
          <w:bCs/>
          <w:spacing w:val="4"/>
          <w:w w:val="103"/>
          <w:sz w:val="24"/>
          <w:szCs w:val="24"/>
        </w:rPr>
        <w:t>2</w:t>
      </w:r>
      <w:r>
        <w:rPr>
          <w:rFonts w:hint="eastAsia" w:cs="宋体" w:asciiTheme="minorEastAsia" w:hAnsiTheme="minorEastAsia" w:eastAsiaTheme="minorEastAsia"/>
          <w:spacing w:val="-23"/>
          <w:sz w:val="24"/>
          <w:szCs w:val="24"/>
        </w:rPr>
        <w:t xml:space="preserve"> </w:t>
      </w:r>
      <w:r>
        <w:rPr>
          <w:rFonts w:hint="eastAsia" w:cs="宋体" w:asciiTheme="minorEastAsia" w:hAnsiTheme="minorEastAsia" w:eastAsiaTheme="minorEastAsia"/>
          <w:b/>
          <w:bCs/>
          <w:spacing w:val="4"/>
          <w:w w:val="103"/>
          <w:sz w:val="24"/>
          <w:szCs w:val="24"/>
        </w:rPr>
        <w:t>.</w:t>
      </w:r>
      <w:r>
        <w:rPr>
          <w:rFonts w:hint="eastAsia" w:cs="宋体" w:asciiTheme="minorEastAsia" w:hAnsiTheme="minorEastAsia" w:eastAsiaTheme="minorEastAsia"/>
          <w:spacing w:val="4"/>
          <w:w w:val="103"/>
          <w:sz w:val="24"/>
          <w:szCs w:val="24"/>
        </w:rPr>
        <w:t>技术标准与要求</w:t>
      </w:r>
    </w:p>
    <w:p w14:paraId="2AC84B26">
      <w:pPr>
        <w:rPr>
          <w:rFonts w:asciiTheme="minorEastAsia" w:hAnsiTheme="minorEastAsia" w:eastAsiaTheme="minorEastAsia"/>
        </w:rPr>
      </w:pPr>
    </w:p>
    <w:tbl>
      <w:tblPr>
        <w:tblStyle w:val="17"/>
        <w:tblW w:w="470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75"/>
        <w:gridCol w:w="765"/>
        <w:gridCol w:w="6845"/>
      </w:tblGrid>
      <w:tr w14:paraId="3FBC6F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jc w:val="center"/>
        </w:trPr>
        <w:tc>
          <w:tcPr>
            <w:tcW w:w="1497" w:type="dxa"/>
            <w:tcBorders>
              <w:tl2br w:val="nil"/>
              <w:tr2bl w:val="nil"/>
            </w:tcBorders>
            <w:shd w:val="clear" w:color="auto" w:fill="F5F5F5"/>
            <w:vAlign w:val="center"/>
          </w:tcPr>
          <w:p w14:paraId="60B7A58E">
            <w:pPr>
              <w:jc w:val="center"/>
              <w:rPr>
                <w:rFonts w:ascii="宋体" w:hAnsi="宋体" w:eastAsia="宋体" w:cs="宋体"/>
                <w:sz w:val="24"/>
                <w:szCs w:val="24"/>
              </w:rPr>
            </w:pPr>
            <w:r>
              <w:rPr>
                <w:rFonts w:hint="eastAsia" w:ascii="宋体" w:hAnsi="宋体" w:eastAsia="宋体" w:cs="宋体"/>
                <w:spacing w:val="8"/>
                <w:sz w:val="24"/>
                <w:szCs w:val="24"/>
              </w:rPr>
              <w:t>参数性质</w:t>
            </w:r>
          </w:p>
        </w:tc>
        <w:tc>
          <w:tcPr>
            <w:tcW w:w="776" w:type="dxa"/>
            <w:tcBorders>
              <w:tl2br w:val="nil"/>
              <w:tr2bl w:val="nil"/>
            </w:tcBorders>
            <w:shd w:val="clear" w:color="auto" w:fill="F5F5F5"/>
            <w:vAlign w:val="center"/>
          </w:tcPr>
          <w:p w14:paraId="66F5ABF4">
            <w:pPr>
              <w:jc w:val="center"/>
              <w:rPr>
                <w:rFonts w:ascii="宋体" w:hAnsi="宋体" w:eastAsia="宋体" w:cs="宋体"/>
                <w:spacing w:val="1"/>
                <w:sz w:val="24"/>
                <w:szCs w:val="24"/>
              </w:rPr>
            </w:pPr>
            <w:r>
              <w:rPr>
                <w:rFonts w:hint="eastAsia" w:ascii="宋体" w:hAnsi="宋体" w:eastAsia="宋体" w:cs="宋体"/>
                <w:spacing w:val="1"/>
                <w:sz w:val="24"/>
                <w:szCs w:val="24"/>
              </w:rPr>
              <w:t>序号</w:t>
            </w:r>
          </w:p>
        </w:tc>
        <w:tc>
          <w:tcPr>
            <w:tcW w:w="6946" w:type="dxa"/>
            <w:tcBorders>
              <w:tl2br w:val="nil"/>
              <w:tr2bl w:val="nil"/>
            </w:tcBorders>
            <w:shd w:val="clear" w:color="auto" w:fill="F5F5F5"/>
            <w:vAlign w:val="center"/>
          </w:tcPr>
          <w:p w14:paraId="4A99CD82">
            <w:pPr>
              <w:jc w:val="center"/>
              <w:rPr>
                <w:rFonts w:ascii="宋体" w:hAnsi="宋体" w:eastAsia="宋体" w:cs="宋体"/>
                <w:sz w:val="24"/>
                <w:szCs w:val="24"/>
              </w:rPr>
            </w:pPr>
            <w:r>
              <w:rPr>
                <w:rFonts w:hint="eastAsia" w:ascii="宋体" w:hAnsi="宋体" w:eastAsia="宋体" w:cs="宋体"/>
                <w:spacing w:val="7"/>
                <w:w w:val="103"/>
                <w:sz w:val="24"/>
                <w:szCs w:val="24"/>
              </w:rPr>
              <w:t>具体技术（参数）要求</w:t>
            </w:r>
          </w:p>
        </w:tc>
      </w:tr>
      <w:tr w14:paraId="3F0CCA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1" w:hRule="atLeast"/>
          <w:jc w:val="center"/>
        </w:trPr>
        <w:tc>
          <w:tcPr>
            <w:tcW w:w="1497" w:type="dxa"/>
            <w:vAlign w:val="center"/>
          </w:tcPr>
          <w:p w14:paraId="27B55451">
            <w:pPr>
              <w:jc w:val="center"/>
              <w:rPr>
                <w:rFonts w:ascii="宋体" w:hAnsi="宋体" w:eastAsia="宋体"/>
                <w:sz w:val="24"/>
                <w:szCs w:val="24"/>
              </w:rPr>
            </w:pPr>
          </w:p>
        </w:tc>
        <w:tc>
          <w:tcPr>
            <w:tcW w:w="776" w:type="dxa"/>
            <w:vAlign w:val="center"/>
          </w:tcPr>
          <w:p w14:paraId="4D6175F9">
            <w:pPr>
              <w:pStyle w:val="20"/>
              <w:numPr>
                <w:ilvl w:val="0"/>
                <w:numId w:val="4"/>
              </w:numPr>
              <w:spacing w:line="240" w:lineRule="auto"/>
              <w:ind w:firstLineChars="0"/>
              <w:jc w:val="center"/>
              <w:rPr>
                <w:rFonts w:ascii="宋体" w:hAnsi="宋体" w:cs="宋体"/>
                <w:sz w:val="24"/>
              </w:rPr>
            </w:pPr>
          </w:p>
        </w:tc>
        <w:tc>
          <w:tcPr>
            <w:tcW w:w="6946" w:type="dxa"/>
            <w:vAlign w:val="center"/>
          </w:tcPr>
          <w:p w14:paraId="0945DFEE">
            <w:pPr>
              <w:shd w:val="clear" w:color="auto" w:fill="FFFFFF"/>
              <w:rPr>
                <w:rFonts w:ascii="宋体" w:hAnsi="宋体" w:eastAsia="宋体" w:cs="宋体"/>
                <w:sz w:val="24"/>
                <w:szCs w:val="24"/>
              </w:rPr>
            </w:pPr>
            <w:r>
              <w:rPr>
                <w:rFonts w:hint="eastAsia" w:ascii="宋体" w:hAnsi="宋体" w:eastAsia="宋体" w:cs="宋体"/>
                <w:sz w:val="24"/>
                <w:szCs w:val="24"/>
              </w:rPr>
              <w:t>一、新鲜分割肉采购配送内容</w:t>
            </w:r>
          </w:p>
          <w:tbl>
            <w:tblPr>
              <w:tblStyle w:val="11"/>
              <w:tblW w:w="6305" w:type="dxa"/>
              <w:tblInd w:w="272" w:type="dxa"/>
              <w:tblLayout w:type="fixed"/>
              <w:tblCellMar>
                <w:top w:w="0" w:type="dxa"/>
                <w:left w:w="108" w:type="dxa"/>
                <w:bottom w:w="0" w:type="dxa"/>
                <w:right w:w="108" w:type="dxa"/>
              </w:tblCellMar>
            </w:tblPr>
            <w:tblGrid>
              <w:gridCol w:w="709"/>
              <w:gridCol w:w="2620"/>
              <w:gridCol w:w="2976"/>
            </w:tblGrid>
            <w:tr w14:paraId="2E1E3388">
              <w:tblPrEx>
                <w:tblCellMar>
                  <w:top w:w="0" w:type="dxa"/>
                  <w:left w:w="108" w:type="dxa"/>
                  <w:bottom w:w="0" w:type="dxa"/>
                  <w:right w:w="108" w:type="dxa"/>
                </w:tblCellMar>
              </w:tblPrEx>
              <w:trPr>
                <w:trHeight w:val="799" w:hRule="atLeast"/>
              </w:trPr>
              <w:tc>
                <w:tcPr>
                  <w:tcW w:w="709" w:type="dxa"/>
                  <w:tcBorders>
                    <w:top w:val="single" w:color="auto" w:sz="8" w:space="0"/>
                    <w:left w:val="single" w:color="auto" w:sz="8" w:space="0"/>
                    <w:bottom w:val="single" w:color="auto" w:sz="8" w:space="0"/>
                    <w:right w:val="single" w:color="auto" w:sz="8" w:space="0"/>
                  </w:tcBorders>
                  <w:shd w:val="clear" w:color="auto" w:fill="auto"/>
                  <w:vAlign w:val="center"/>
                </w:tcPr>
                <w:p w14:paraId="543688F0">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序号</w:t>
                  </w:r>
                </w:p>
              </w:tc>
              <w:tc>
                <w:tcPr>
                  <w:tcW w:w="2620" w:type="dxa"/>
                  <w:tcBorders>
                    <w:top w:val="single" w:color="auto" w:sz="8" w:space="0"/>
                    <w:left w:val="nil"/>
                    <w:bottom w:val="single" w:color="auto" w:sz="8" w:space="0"/>
                    <w:right w:val="single" w:color="auto" w:sz="8" w:space="0"/>
                  </w:tcBorders>
                  <w:shd w:val="clear" w:color="auto" w:fill="auto"/>
                  <w:vAlign w:val="center"/>
                </w:tcPr>
                <w:p w14:paraId="7E402267">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采购内容（采购标的）</w:t>
                  </w:r>
                </w:p>
              </w:tc>
              <w:tc>
                <w:tcPr>
                  <w:tcW w:w="2976" w:type="dxa"/>
                  <w:tcBorders>
                    <w:top w:val="single" w:color="auto" w:sz="8" w:space="0"/>
                    <w:left w:val="nil"/>
                    <w:bottom w:val="single" w:color="auto" w:sz="8" w:space="0"/>
                    <w:right w:val="single" w:color="auto" w:sz="8" w:space="0"/>
                  </w:tcBorders>
                </w:tcPr>
                <w:p w14:paraId="1B144709">
                  <w:pPr>
                    <w:kinsoku/>
                    <w:autoSpaceDE/>
                    <w:autoSpaceDN/>
                    <w:adjustRightInd/>
                    <w:snapToGrid/>
                    <w:jc w:val="center"/>
                    <w:textAlignment w:val="auto"/>
                    <w:rPr>
                      <w:rFonts w:ascii="宋体" w:hAnsi="宋体" w:eastAsia="宋体" w:cs="宋体"/>
                      <w:snapToGrid/>
                      <w:sz w:val="24"/>
                      <w:szCs w:val="24"/>
                    </w:rPr>
                  </w:pPr>
                </w:p>
                <w:p w14:paraId="5B2ABAAE">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采购总金额</w:t>
                  </w:r>
                </w:p>
              </w:tc>
            </w:tr>
            <w:tr w14:paraId="04F4C3CD">
              <w:tblPrEx>
                <w:tblCellMar>
                  <w:top w:w="0" w:type="dxa"/>
                  <w:left w:w="108" w:type="dxa"/>
                  <w:bottom w:w="0" w:type="dxa"/>
                  <w:right w:w="108" w:type="dxa"/>
                </w:tblCellMar>
              </w:tblPrEx>
              <w:trPr>
                <w:trHeight w:val="379" w:hRule="atLeast"/>
              </w:trPr>
              <w:tc>
                <w:tcPr>
                  <w:tcW w:w="70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173D6F1">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w:t>
                  </w:r>
                </w:p>
              </w:tc>
              <w:tc>
                <w:tcPr>
                  <w:tcW w:w="2620" w:type="dxa"/>
                  <w:tcBorders>
                    <w:top w:val="single" w:color="auto" w:sz="4" w:space="0"/>
                    <w:left w:val="nil"/>
                    <w:bottom w:val="single" w:color="auto" w:sz="4" w:space="0"/>
                    <w:right w:val="single" w:color="auto" w:sz="4" w:space="0"/>
                  </w:tcBorders>
                  <w:shd w:val="clear" w:color="auto" w:fill="auto"/>
                  <w:noWrap/>
                  <w:vAlign w:val="center"/>
                </w:tcPr>
                <w:p w14:paraId="7CFF9CB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精瘦肉</w:t>
                  </w:r>
                </w:p>
              </w:tc>
              <w:tc>
                <w:tcPr>
                  <w:tcW w:w="2976" w:type="dxa"/>
                  <w:vMerge w:val="restart"/>
                  <w:tcBorders>
                    <w:top w:val="single" w:color="auto" w:sz="4" w:space="0"/>
                    <w:left w:val="nil"/>
                    <w:right w:val="single" w:color="auto" w:sz="4" w:space="0"/>
                  </w:tcBorders>
                  <w:vAlign w:val="center"/>
                </w:tcPr>
                <w:p w14:paraId="215DB9A0">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采购预算为1000万元人民币/2年（按采购人管理部门确认的实际发生量结算）</w:t>
                  </w:r>
                </w:p>
              </w:tc>
            </w:tr>
            <w:tr w14:paraId="2D60C02F">
              <w:tblPrEx>
                <w:tblCellMar>
                  <w:top w:w="0" w:type="dxa"/>
                  <w:left w:w="108" w:type="dxa"/>
                  <w:bottom w:w="0" w:type="dxa"/>
                  <w:right w:w="108" w:type="dxa"/>
                </w:tblCellMar>
              </w:tblPrEx>
              <w:trPr>
                <w:trHeight w:val="55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63983CD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w:t>
                  </w:r>
                </w:p>
              </w:tc>
              <w:tc>
                <w:tcPr>
                  <w:tcW w:w="2620" w:type="dxa"/>
                  <w:tcBorders>
                    <w:top w:val="nil"/>
                    <w:left w:val="nil"/>
                    <w:bottom w:val="single" w:color="auto" w:sz="4" w:space="0"/>
                    <w:right w:val="single" w:color="auto" w:sz="4" w:space="0"/>
                  </w:tcBorders>
                  <w:shd w:val="clear" w:color="auto" w:fill="auto"/>
                  <w:noWrap/>
                  <w:vAlign w:val="center"/>
                </w:tcPr>
                <w:p w14:paraId="4BA2199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五花肉</w:t>
                  </w:r>
                </w:p>
              </w:tc>
              <w:tc>
                <w:tcPr>
                  <w:tcW w:w="2976" w:type="dxa"/>
                  <w:vMerge w:val="continue"/>
                  <w:tcBorders>
                    <w:left w:val="nil"/>
                    <w:right w:val="single" w:color="auto" w:sz="4" w:space="0"/>
                  </w:tcBorders>
                </w:tcPr>
                <w:p w14:paraId="78DCFCFF">
                  <w:pPr>
                    <w:kinsoku/>
                    <w:autoSpaceDE/>
                    <w:autoSpaceDN/>
                    <w:adjustRightInd/>
                    <w:snapToGrid/>
                    <w:jc w:val="center"/>
                    <w:textAlignment w:val="auto"/>
                    <w:rPr>
                      <w:rFonts w:ascii="宋体" w:hAnsi="宋体" w:eastAsia="宋体" w:cs="宋体"/>
                      <w:snapToGrid/>
                      <w:sz w:val="24"/>
                      <w:szCs w:val="24"/>
                    </w:rPr>
                  </w:pPr>
                </w:p>
              </w:tc>
            </w:tr>
            <w:tr w14:paraId="28585184">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6E36FCBB">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3</w:t>
                  </w:r>
                </w:p>
              </w:tc>
              <w:tc>
                <w:tcPr>
                  <w:tcW w:w="2620" w:type="dxa"/>
                  <w:tcBorders>
                    <w:top w:val="nil"/>
                    <w:left w:val="nil"/>
                    <w:bottom w:val="single" w:color="auto" w:sz="4" w:space="0"/>
                    <w:right w:val="single" w:color="auto" w:sz="4" w:space="0"/>
                  </w:tcBorders>
                  <w:shd w:val="clear" w:color="auto" w:fill="auto"/>
                  <w:noWrap/>
                  <w:vAlign w:val="center"/>
                </w:tcPr>
                <w:p w14:paraId="227D020B">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猪肋排</w:t>
                  </w:r>
                </w:p>
              </w:tc>
              <w:tc>
                <w:tcPr>
                  <w:tcW w:w="2976" w:type="dxa"/>
                  <w:vMerge w:val="continue"/>
                  <w:tcBorders>
                    <w:left w:val="nil"/>
                    <w:right w:val="single" w:color="auto" w:sz="4" w:space="0"/>
                  </w:tcBorders>
                </w:tcPr>
                <w:p w14:paraId="55395844">
                  <w:pPr>
                    <w:kinsoku/>
                    <w:autoSpaceDE/>
                    <w:autoSpaceDN/>
                    <w:adjustRightInd/>
                    <w:snapToGrid/>
                    <w:jc w:val="center"/>
                    <w:textAlignment w:val="auto"/>
                    <w:rPr>
                      <w:rFonts w:ascii="宋体" w:hAnsi="宋体" w:eastAsia="宋体" w:cs="宋体"/>
                      <w:snapToGrid/>
                      <w:sz w:val="24"/>
                      <w:szCs w:val="24"/>
                    </w:rPr>
                  </w:pPr>
                </w:p>
              </w:tc>
            </w:tr>
            <w:tr w14:paraId="59BC39CC">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6F591878">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4</w:t>
                  </w:r>
                </w:p>
              </w:tc>
              <w:tc>
                <w:tcPr>
                  <w:tcW w:w="2620" w:type="dxa"/>
                  <w:tcBorders>
                    <w:top w:val="nil"/>
                    <w:left w:val="nil"/>
                    <w:bottom w:val="single" w:color="auto" w:sz="4" w:space="0"/>
                    <w:right w:val="single" w:color="auto" w:sz="4" w:space="0"/>
                  </w:tcBorders>
                  <w:shd w:val="clear" w:color="auto" w:fill="auto"/>
                  <w:noWrap/>
                  <w:vAlign w:val="center"/>
                </w:tcPr>
                <w:p w14:paraId="4FA6309A">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无皮上肉</w:t>
                  </w:r>
                </w:p>
              </w:tc>
              <w:tc>
                <w:tcPr>
                  <w:tcW w:w="2976" w:type="dxa"/>
                  <w:vMerge w:val="continue"/>
                  <w:tcBorders>
                    <w:left w:val="nil"/>
                    <w:right w:val="single" w:color="auto" w:sz="4" w:space="0"/>
                  </w:tcBorders>
                </w:tcPr>
                <w:p w14:paraId="5B4368BB">
                  <w:pPr>
                    <w:kinsoku/>
                    <w:autoSpaceDE/>
                    <w:autoSpaceDN/>
                    <w:adjustRightInd/>
                    <w:snapToGrid/>
                    <w:jc w:val="center"/>
                    <w:textAlignment w:val="auto"/>
                    <w:rPr>
                      <w:rFonts w:ascii="宋体" w:hAnsi="宋体" w:eastAsia="宋体" w:cs="宋体"/>
                      <w:snapToGrid/>
                      <w:sz w:val="24"/>
                      <w:szCs w:val="24"/>
                    </w:rPr>
                  </w:pPr>
                </w:p>
              </w:tc>
            </w:tr>
            <w:tr w14:paraId="0A5EB5B9">
              <w:tblPrEx>
                <w:tblCellMar>
                  <w:top w:w="0" w:type="dxa"/>
                  <w:left w:w="108" w:type="dxa"/>
                  <w:bottom w:w="0" w:type="dxa"/>
                  <w:right w:w="108" w:type="dxa"/>
                </w:tblCellMar>
              </w:tblPrEx>
              <w:trPr>
                <w:trHeight w:val="600"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40F792D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5</w:t>
                  </w:r>
                </w:p>
              </w:tc>
              <w:tc>
                <w:tcPr>
                  <w:tcW w:w="2620" w:type="dxa"/>
                  <w:tcBorders>
                    <w:top w:val="nil"/>
                    <w:left w:val="nil"/>
                    <w:bottom w:val="single" w:color="auto" w:sz="4" w:space="0"/>
                    <w:right w:val="single" w:color="auto" w:sz="4" w:space="0"/>
                  </w:tcBorders>
                  <w:shd w:val="clear" w:color="auto" w:fill="auto"/>
                  <w:noWrap/>
                  <w:vAlign w:val="center"/>
                </w:tcPr>
                <w:p w14:paraId="4BA3DB1D">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牛碎腩</w:t>
                  </w:r>
                </w:p>
              </w:tc>
              <w:tc>
                <w:tcPr>
                  <w:tcW w:w="2976" w:type="dxa"/>
                  <w:vMerge w:val="continue"/>
                  <w:tcBorders>
                    <w:left w:val="nil"/>
                    <w:right w:val="single" w:color="auto" w:sz="4" w:space="0"/>
                  </w:tcBorders>
                </w:tcPr>
                <w:p w14:paraId="4F98B27C">
                  <w:pPr>
                    <w:kinsoku/>
                    <w:autoSpaceDE/>
                    <w:autoSpaceDN/>
                    <w:adjustRightInd/>
                    <w:snapToGrid/>
                    <w:jc w:val="center"/>
                    <w:textAlignment w:val="auto"/>
                    <w:rPr>
                      <w:rFonts w:ascii="宋体" w:hAnsi="宋体" w:eastAsia="宋体" w:cs="宋体"/>
                      <w:snapToGrid/>
                      <w:sz w:val="24"/>
                      <w:szCs w:val="24"/>
                    </w:rPr>
                  </w:pPr>
                </w:p>
              </w:tc>
            </w:tr>
            <w:tr w14:paraId="09213FC5">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7171060E">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6</w:t>
                  </w:r>
                </w:p>
              </w:tc>
              <w:tc>
                <w:tcPr>
                  <w:tcW w:w="2620" w:type="dxa"/>
                  <w:tcBorders>
                    <w:top w:val="nil"/>
                    <w:left w:val="nil"/>
                    <w:bottom w:val="single" w:color="auto" w:sz="4" w:space="0"/>
                    <w:right w:val="single" w:color="auto" w:sz="4" w:space="0"/>
                  </w:tcBorders>
                  <w:shd w:val="clear" w:color="auto" w:fill="auto"/>
                  <w:noWrap/>
                  <w:vAlign w:val="center"/>
                </w:tcPr>
                <w:p w14:paraId="71806BC7">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猪手</w:t>
                  </w:r>
                </w:p>
              </w:tc>
              <w:tc>
                <w:tcPr>
                  <w:tcW w:w="2976" w:type="dxa"/>
                  <w:vMerge w:val="continue"/>
                  <w:tcBorders>
                    <w:left w:val="nil"/>
                    <w:right w:val="single" w:color="auto" w:sz="4" w:space="0"/>
                  </w:tcBorders>
                </w:tcPr>
                <w:p w14:paraId="131CD634">
                  <w:pPr>
                    <w:kinsoku/>
                    <w:autoSpaceDE/>
                    <w:autoSpaceDN/>
                    <w:adjustRightInd/>
                    <w:snapToGrid/>
                    <w:jc w:val="center"/>
                    <w:textAlignment w:val="auto"/>
                    <w:rPr>
                      <w:rFonts w:ascii="宋体" w:hAnsi="宋体" w:eastAsia="宋体" w:cs="宋体"/>
                      <w:snapToGrid/>
                      <w:sz w:val="24"/>
                      <w:szCs w:val="24"/>
                    </w:rPr>
                  </w:pPr>
                </w:p>
              </w:tc>
            </w:tr>
            <w:tr w14:paraId="7978ACDC">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6B7D29CC">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7</w:t>
                  </w:r>
                </w:p>
              </w:tc>
              <w:tc>
                <w:tcPr>
                  <w:tcW w:w="2620" w:type="dxa"/>
                  <w:tcBorders>
                    <w:top w:val="nil"/>
                    <w:left w:val="nil"/>
                    <w:bottom w:val="single" w:color="auto" w:sz="4" w:space="0"/>
                    <w:right w:val="single" w:color="auto" w:sz="4" w:space="0"/>
                  </w:tcBorders>
                  <w:shd w:val="clear" w:color="auto" w:fill="auto"/>
                  <w:noWrap/>
                  <w:vAlign w:val="center"/>
                </w:tcPr>
                <w:p w14:paraId="47EB069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鲜牛肉</w:t>
                  </w:r>
                </w:p>
              </w:tc>
              <w:tc>
                <w:tcPr>
                  <w:tcW w:w="2976" w:type="dxa"/>
                  <w:vMerge w:val="continue"/>
                  <w:tcBorders>
                    <w:left w:val="nil"/>
                    <w:right w:val="single" w:color="auto" w:sz="4" w:space="0"/>
                  </w:tcBorders>
                </w:tcPr>
                <w:p w14:paraId="5CBB3C1A">
                  <w:pPr>
                    <w:kinsoku/>
                    <w:autoSpaceDE/>
                    <w:autoSpaceDN/>
                    <w:adjustRightInd/>
                    <w:snapToGrid/>
                    <w:jc w:val="center"/>
                    <w:textAlignment w:val="auto"/>
                    <w:rPr>
                      <w:rFonts w:ascii="宋体" w:hAnsi="宋体" w:eastAsia="宋体" w:cs="宋体"/>
                      <w:snapToGrid/>
                      <w:sz w:val="24"/>
                      <w:szCs w:val="24"/>
                    </w:rPr>
                  </w:pPr>
                </w:p>
              </w:tc>
            </w:tr>
            <w:tr w14:paraId="7FB796CE">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529719F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8</w:t>
                  </w:r>
                </w:p>
              </w:tc>
              <w:tc>
                <w:tcPr>
                  <w:tcW w:w="2620" w:type="dxa"/>
                  <w:tcBorders>
                    <w:top w:val="nil"/>
                    <w:left w:val="nil"/>
                    <w:bottom w:val="single" w:color="auto" w:sz="4" w:space="0"/>
                    <w:right w:val="single" w:color="auto" w:sz="4" w:space="0"/>
                  </w:tcBorders>
                  <w:shd w:val="clear" w:color="auto" w:fill="auto"/>
                  <w:noWrap/>
                  <w:vAlign w:val="center"/>
                </w:tcPr>
                <w:p w14:paraId="5B8521B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排骨</w:t>
                  </w:r>
                </w:p>
              </w:tc>
              <w:tc>
                <w:tcPr>
                  <w:tcW w:w="2976" w:type="dxa"/>
                  <w:vMerge w:val="continue"/>
                  <w:tcBorders>
                    <w:left w:val="nil"/>
                    <w:right w:val="single" w:color="auto" w:sz="4" w:space="0"/>
                  </w:tcBorders>
                </w:tcPr>
                <w:p w14:paraId="4D3A5E53">
                  <w:pPr>
                    <w:kinsoku/>
                    <w:autoSpaceDE/>
                    <w:autoSpaceDN/>
                    <w:adjustRightInd/>
                    <w:snapToGrid/>
                    <w:jc w:val="center"/>
                    <w:textAlignment w:val="auto"/>
                    <w:rPr>
                      <w:rFonts w:ascii="宋体" w:hAnsi="宋体" w:eastAsia="宋体" w:cs="宋体"/>
                      <w:snapToGrid/>
                      <w:sz w:val="24"/>
                      <w:szCs w:val="24"/>
                    </w:rPr>
                  </w:pPr>
                </w:p>
              </w:tc>
            </w:tr>
            <w:tr w14:paraId="3948BB6E">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703010FE">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9</w:t>
                  </w:r>
                </w:p>
              </w:tc>
              <w:tc>
                <w:tcPr>
                  <w:tcW w:w="2620" w:type="dxa"/>
                  <w:tcBorders>
                    <w:top w:val="nil"/>
                    <w:left w:val="nil"/>
                    <w:bottom w:val="single" w:color="auto" w:sz="4" w:space="0"/>
                    <w:right w:val="single" w:color="auto" w:sz="4" w:space="0"/>
                  </w:tcBorders>
                  <w:shd w:val="clear" w:color="auto" w:fill="auto"/>
                  <w:noWrap/>
                  <w:vAlign w:val="center"/>
                </w:tcPr>
                <w:p w14:paraId="489FF8B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三角龙骨</w:t>
                  </w:r>
                </w:p>
              </w:tc>
              <w:tc>
                <w:tcPr>
                  <w:tcW w:w="2976" w:type="dxa"/>
                  <w:vMerge w:val="continue"/>
                  <w:tcBorders>
                    <w:left w:val="nil"/>
                    <w:right w:val="single" w:color="auto" w:sz="4" w:space="0"/>
                  </w:tcBorders>
                </w:tcPr>
                <w:p w14:paraId="2CD33013">
                  <w:pPr>
                    <w:kinsoku/>
                    <w:autoSpaceDE/>
                    <w:autoSpaceDN/>
                    <w:adjustRightInd/>
                    <w:snapToGrid/>
                    <w:jc w:val="center"/>
                    <w:textAlignment w:val="auto"/>
                    <w:rPr>
                      <w:rFonts w:ascii="宋体" w:hAnsi="宋体" w:eastAsia="宋体" w:cs="宋体"/>
                      <w:snapToGrid/>
                      <w:sz w:val="24"/>
                      <w:szCs w:val="24"/>
                    </w:rPr>
                  </w:pPr>
                </w:p>
              </w:tc>
            </w:tr>
            <w:tr w14:paraId="24824F83">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1DE3D23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10</w:t>
                  </w:r>
                </w:p>
              </w:tc>
              <w:tc>
                <w:tcPr>
                  <w:tcW w:w="2620" w:type="dxa"/>
                  <w:tcBorders>
                    <w:top w:val="nil"/>
                    <w:left w:val="nil"/>
                    <w:bottom w:val="single" w:color="auto" w:sz="4" w:space="0"/>
                    <w:right w:val="single" w:color="auto" w:sz="4" w:space="0"/>
                  </w:tcBorders>
                  <w:shd w:val="clear" w:color="auto" w:fill="auto"/>
                  <w:noWrap/>
                  <w:vAlign w:val="center"/>
                </w:tcPr>
                <w:p w14:paraId="6A3A708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鲜牛腩</w:t>
                  </w:r>
                </w:p>
              </w:tc>
              <w:tc>
                <w:tcPr>
                  <w:tcW w:w="2976" w:type="dxa"/>
                  <w:vMerge w:val="continue"/>
                  <w:tcBorders>
                    <w:left w:val="nil"/>
                    <w:right w:val="single" w:color="auto" w:sz="4" w:space="0"/>
                  </w:tcBorders>
                </w:tcPr>
                <w:p w14:paraId="01ACEA92">
                  <w:pPr>
                    <w:kinsoku/>
                    <w:autoSpaceDE/>
                    <w:autoSpaceDN/>
                    <w:adjustRightInd/>
                    <w:snapToGrid/>
                    <w:jc w:val="center"/>
                    <w:textAlignment w:val="auto"/>
                    <w:rPr>
                      <w:rFonts w:ascii="宋体" w:hAnsi="宋体" w:eastAsia="宋体" w:cs="宋体"/>
                      <w:snapToGrid/>
                      <w:sz w:val="24"/>
                      <w:szCs w:val="24"/>
                    </w:rPr>
                  </w:pPr>
                </w:p>
              </w:tc>
            </w:tr>
            <w:tr w14:paraId="76C395A0">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756E436B">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11</w:t>
                  </w:r>
                </w:p>
              </w:tc>
              <w:tc>
                <w:tcPr>
                  <w:tcW w:w="2620" w:type="dxa"/>
                  <w:tcBorders>
                    <w:top w:val="nil"/>
                    <w:left w:val="nil"/>
                    <w:bottom w:val="single" w:color="auto" w:sz="4" w:space="0"/>
                    <w:right w:val="single" w:color="auto" w:sz="4" w:space="0"/>
                  </w:tcBorders>
                  <w:shd w:val="clear" w:color="auto" w:fill="auto"/>
                  <w:noWrap/>
                  <w:vAlign w:val="center"/>
                </w:tcPr>
                <w:p w14:paraId="6946521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猪展肉</w:t>
                  </w:r>
                </w:p>
              </w:tc>
              <w:tc>
                <w:tcPr>
                  <w:tcW w:w="2976" w:type="dxa"/>
                  <w:vMerge w:val="continue"/>
                  <w:tcBorders>
                    <w:left w:val="nil"/>
                    <w:right w:val="single" w:color="auto" w:sz="4" w:space="0"/>
                  </w:tcBorders>
                </w:tcPr>
                <w:p w14:paraId="6B81E825">
                  <w:pPr>
                    <w:kinsoku/>
                    <w:autoSpaceDE/>
                    <w:autoSpaceDN/>
                    <w:adjustRightInd/>
                    <w:snapToGrid/>
                    <w:jc w:val="center"/>
                    <w:textAlignment w:val="auto"/>
                    <w:rPr>
                      <w:rFonts w:ascii="宋体" w:hAnsi="宋体" w:eastAsia="宋体" w:cs="宋体"/>
                      <w:snapToGrid/>
                      <w:sz w:val="24"/>
                      <w:szCs w:val="24"/>
                    </w:rPr>
                  </w:pPr>
                </w:p>
              </w:tc>
            </w:tr>
            <w:tr w14:paraId="45C85F9A">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2D219C8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12</w:t>
                  </w:r>
                </w:p>
              </w:tc>
              <w:tc>
                <w:tcPr>
                  <w:tcW w:w="2620" w:type="dxa"/>
                  <w:tcBorders>
                    <w:top w:val="nil"/>
                    <w:left w:val="nil"/>
                    <w:bottom w:val="single" w:color="auto" w:sz="4" w:space="0"/>
                    <w:right w:val="single" w:color="auto" w:sz="4" w:space="0"/>
                  </w:tcBorders>
                  <w:shd w:val="clear" w:color="auto" w:fill="auto"/>
                  <w:noWrap/>
                  <w:vAlign w:val="center"/>
                </w:tcPr>
                <w:p w14:paraId="0F2DB70E">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扇骨</w:t>
                  </w:r>
                </w:p>
              </w:tc>
              <w:tc>
                <w:tcPr>
                  <w:tcW w:w="2976" w:type="dxa"/>
                  <w:vMerge w:val="continue"/>
                  <w:tcBorders>
                    <w:left w:val="nil"/>
                    <w:right w:val="single" w:color="auto" w:sz="4" w:space="0"/>
                  </w:tcBorders>
                </w:tcPr>
                <w:p w14:paraId="19660A78">
                  <w:pPr>
                    <w:kinsoku/>
                    <w:autoSpaceDE/>
                    <w:autoSpaceDN/>
                    <w:adjustRightInd/>
                    <w:snapToGrid/>
                    <w:jc w:val="center"/>
                    <w:textAlignment w:val="auto"/>
                    <w:rPr>
                      <w:rFonts w:ascii="宋体" w:hAnsi="宋体" w:eastAsia="宋体" w:cs="宋体"/>
                      <w:snapToGrid/>
                      <w:sz w:val="24"/>
                      <w:szCs w:val="24"/>
                    </w:rPr>
                  </w:pPr>
                </w:p>
              </w:tc>
            </w:tr>
            <w:tr w14:paraId="2868C0E2">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67AFC4AE">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13</w:t>
                  </w:r>
                </w:p>
              </w:tc>
              <w:tc>
                <w:tcPr>
                  <w:tcW w:w="2620" w:type="dxa"/>
                  <w:tcBorders>
                    <w:top w:val="nil"/>
                    <w:left w:val="nil"/>
                    <w:bottom w:val="single" w:color="auto" w:sz="4" w:space="0"/>
                    <w:right w:val="single" w:color="auto" w:sz="4" w:space="0"/>
                  </w:tcBorders>
                  <w:shd w:val="clear" w:color="auto" w:fill="auto"/>
                  <w:noWrap/>
                  <w:vAlign w:val="center"/>
                </w:tcPr>
                <w:p w14:paraId="7330A756">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猪肝</w:t>
                  </w:r>
                </w:p>
              </w:tc>
              <w:tc>
                <w:tcPr>
                  <w:tcW w:w="2976" w:type="dxa"/>
                  <w:vMerge w:val="continue"/>
                  <w:tcBorders>
                    <w:left w:val="nil"/>
                    <w:right w:val="single" w:color="auto" w:sz="4" w:space="0"/>
                  </w:tcBorders>
                </w:tcPr>
                <w:p w14:paraId="35EE18CB">
                  <w:pPr>
                    <w:kinsoku/>
                    <w:autoSpaceDE/>
                    <w:autoSpaceDN/>
                    <w:adjustRightInd/>
                    <w:snapToGrid/>
                    <w:jc w:val="center"/>
                    <w:textAlignment w:val="auto"/>
                    <w:rPr>
                      <w:rFonts w:ascii="宋体" w:hAnsi="宋体" w:eastAsia="宋体" w:cs="宋体"/>
                      <w:snapToGrid/>
                      <w:sz w:val="24"/>
                      <w:szCs w:val="24"/>
                    </w:rPr>
                  </w:pPr>
                </w:p>
              </w:tc>
            </w:tr>
            <w:tr w14:paraId="5AD79E64">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1EAA654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14</w:t>
                  </w:r>
                </w:p>
              </w:tc>
              <w:tc>
                <w:tcPr>
                  <w:tcW w:w="2620" w:type="dxa"/>
                  <w:tcBorders>
                    <w:top w:val="nil"/>
                    <w:left w:val="nil"/>
                    <w:bottom w:val="single" w:color="auto" w:sz="4" w:space="0"/>
                    <w:right w:val="single" w:color="auto" w:sz="4" w:space="0"/>
                  </w:tcBorders>
                  <w:shd w:val="clear" w:color="auto" w:fill="auto"/>
                  <w:noWrap/>
                  <w:vAlign w:val="center"/>
                </w:tcPr>
                <w:p w14:paraId="01A4A5F7">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猪腰</w:t>
                  </w:r>
                </w:p>
              </w:tc>
              <w:tc>
                <w:tcPr>
                  <w:tcW w:w="2976" w:type="dxa"/>
                  <w:vMerge w:val="continue"/>
                  <w:tcBorders>
                    <w:left w:val="nil"/>
                    <w:right w:val="single" w:color="auto" w:sz="4" w:space="0"/>
                  </w:tcBorders>
                </w:tcPr>
                <w:p w14:paraId="3711BE71">
                  <w:pPr>
                    <w:kinsoku/>
                    <w:autoSpaceDE/>
                    <w:autoSpaceDN/>
                    <w:adjustRightInd/>
                    <w:snapToGrid/>
                    <w:jc w:val="center"/>
                    <w:textAlignment w:val="auto"/>
                    <w:rPr>
                      <w:rFonts w:ascii="宋体" w:hAnsi="宋体" w:eastAsia="宋体" w:cs="宋体"/>
                      <w:snapToGrid/>
                      <w:sz w:val="24"/>
                      <w:szCs w:val="24"/>
                    </w:rPr>
                  </w:pPr>
                </w:p>
              </w:tc>
            </w:tr>
            <w:tr w14:paraId="1BB8B8DF">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2FF5271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15</w:t>
                  </w:r>
                </w:p>
              </w:tc>
              <w:tc>
                <w:tcPr>
                  <w:tcW w:w="2620" w:type="dxa"/>
                  <w:tcBorders>
                    <w:top w:val="nil"/>
                    <w:left w:val="nil"/>
                    <w:bottom w:val="single" w:color="auto" w:sz="4" w:space="0"/>
                    <w:right w:val="single" w:color="auto" w:sz="4" w:space="0"/>
                  </w:tcBorders>
                  <w:shd w:val="clear" w:color="auto" w:fill="auto"/>
                  <w:noWrap/>
                  <w:vAlign w:val="center"/>
                </w:tcPr>
                <w:p w14:paraId="6167C35E">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羊排</w:t>
                  </w:r>
                </w:p>
              </w:tc>
              <w:tc>
                <w:tcPr>
                  <w:tcW w:w="2976" w:type="dxa"/>
                  <w:vMerge w:val="continue"/>
                  <w:tcBorders>
                    <w:left w:val="nil"/>
                    <w:right w:val="single" w:color="auto" w:sz="4" w:space="0"/>
                  </w:tcBorders>
                </w:tcPr>
                <w:p w14:paraId="76FC55F3">
                  <w:pPr>
                    <w:kinsoku/>
                    <w:autoSpaceDE/>
                    <w:autoSpaceDN/>
                    <w:adjustRightInd/>
                    <w:snapToGrid/>
                    <w:jc w:val="center"/>
                    <w:textAlignment w:val="auto"/>
                    <w:rPr>
                      <w:rFonts w:ascii="宋体" w:hAnsi="宋体" w:eastAsia="宋体" w:cs="宋体"/>
                      <w:snapToGrid/>
                      <w:sz w:val="24"/>
                      <w:szCs w:val="24"/>
                    </w:rPr>
                  </w:pPr>
                </w:p>
              </w:tc>
            </w:tr>
            <w:tr w14:paraId="7BE900CA">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6B4E61FB">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16</w:t>
                  </w:r>
                </w:p>
              </w:tc>
              <w:tc>
                <w:tcPr>
                  <w:tcW w:w="2620" w:type="dxa"/>
                  <w:tcBorders>
                    <w:top w:val="nil"/>
                    <w:left w:val="nil"/>
                    <w:bottom w:val="single" w:color="auto" w:sz="4" w:space="0"/>
                    <w:right w:val="single" w:color="auto" w:sz="4" w:space="0"/>
                  </w:tcBorders>
                  <w:shd w:val="clear" w:color="auto" w:fill="auto"/>
                  <w:noWrap/>
                  <w:vAlign w:val="center"/>
                </w:tcPr>
                <w:p w14:paraId="2821D85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雪花牛肉</w:t>
                  </w:r>
                </w:p>
              </w:tc>
              <w:tc>
                <w:tcPr>
                  <w:tcW w:w="2976" w:type="dxa"/>
                  <w:vMerge w:val="continue"/>
                  <w:tcBorders>
                    <w:left w:val="nil"/>
                    <w:right w:val="single" w:color="auto" w:sz="4" w:space="0"/>
                  </w:tcBorders>
                </w:tcPr>
                <w:p w14:paraId="4DD7F05E">
                  <w:pPr>
                    <w:kinsoku/>
                    <w:autoSpaceDE/>
                    <w:autoSpaceDN/>
                    <w:adjustRightInd/>
                    <w:snapToGrid/>
                    <w:jc w:val="center"/>
                    <w:textAlignment w:val="auto"/>
                    <w:rPr>
                      <w:rFonts w:ascii="宋体" w:hAnsi="宋体" w:eastAsia="宋体" w:cs="宋体"/>
                      <w:snapToGrid/>
                      <w:sz w:val="24"/>
                      <w:szCs w:val="24"/>
                    </w:rPr>
                  </w:pPr>
                </w:p>
              </w:tc>
            </w:tr>
            <w:tr w14:paraId="4F7981AD">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5BCCF84C">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17</w:t>
                  </w:r>
                </w:p>
              </w:tc>
              <w:tc>
                <w:tcPr>
                  <w:tcW w:w="2620" w:type="dxa"/>
                  <w:tcBorders>
                    <w:top w:val="nil"/>
                    <w:left w:val="nil"/>
                    <w:bottom w:val="single" w:color="auto" w:sz="4" w:space="0"/>
                    <w:right w:val="single" w:color="auto" w:sz="4" w:space="0"/>
                  </w:tcBorders>
                  <w:shd w:val="clear" w:color="auto" w:fill="auto"/>
                  <w:noWrap/>
                  <w:vAlign w:val="center"/>
                </w:tcPr>
                <w:p w14:paraId="66EE33FA">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猪颈肉</w:t>
                  </w:r>
                </w:p>
              </w:tc>
              <w:tc>
                <w:tcPr>
                  <w:tcW w:w="2976" w:type="dxa"/>
                  <w:vMerge w:val="continue"/>
                  <w:tcBorders>
                    <w:left w:val="nil"/>
                    <w:right w:val="single" w:color="auto" w:sz="4" w:space="0"/>
                  </w:tcBorders>
                </w:tcPr>
                <w:p w14:paraId="713150A8">
                  <w:pPr>
                    <w:kinsoku/>
                    <w:autoSpaceDE/>
                    <w:autoSpaceDN/>
                    <w:adjustRightInd/>
                    <w:snapToGrid/>
                    <w:jc w:val="center"/>
                    <w:textAlignment w:val="auto"/>
                    <w:rPr>
                      <w:rFonts w:ascii="宋体" w:hAnsi="宋体" w:eastAsia="宋体" w:cs="宋体"/>
                      <w:snapToGrid/>
                      <w:sz w:val="24"/>
                      <w:szCs w:val="24"/>
                    </w:rPr>
                  </w:pPr>
                </w:p>
              </w:tc>
            </w:tr>
            <w:tr w14:paraId="7ECF6216">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645DFA4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18</w:t>
                  </w:r>
                </w:p>
              </w:tc>
              <w:tc>
                <w:tcPr>
                  <w:tcW w:w="2620" w:type="dxa"/>
                  <w:tcBorders>
                    <w:top w:val="nil"/>
                    <w:left w:val="nil"/>
                    <w:bottom w:val="single" w:color="auto" w:sz="4" w:space="0"/>
                    <w:right w:val="single" w:color="auto" w:sz="4" w:space="0"/>
                  </w:tcBorders>
                  <w:shd w:val="clear" w:color="auto" w:fill="auto"/>
                  <w:noWrap/>
                  <w:vAlign w:val="center"/>
                </w:tcPr>
                <w:p w14:paraId="4A00BC17">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土猪肉</w:t>
                  </w:r>
                </w:p>
              </w:tc>
              <w:tc>
                <w:tcPr>
                  <w:tcW w:w="2976" w:type="dxa"/>
                  <w:vMerge w:val="continue"/>
                  <w:tcBorders>
                    <w:left w:val="nil"/>
                    <w:right w:val="single" w:color="auto" w:sz="4" w:space="0"/>
                  </w:tcBorders>
                </w:tcPr>
                <w:p w14:paraId="4B47354A">
                  <w:pPr>
                    <w:kinsoku/>
                    <w:autoSpaceDE/>
                    <w:autoSpaceDN/>
                    <w:adjustRightInd/>
                    <w:snapToGrid/>
                    <w:jc w:val="center"/>
                    <w:textAlignment w:val="auto"/>
                    <w:rPr>
                      <w:rFonts w:ascii="宋体" w:hAnsi="宋体" w:eastAsia="宋体" w:cs="宋体"/>
                      <w:snapToGrid/>
                      <w:sz w:val="24"/>
                      <w:szCs w:val="24"/>
                    </w:rPr>
                  </w:pPr>
                </w:p>
              </w:tc>
            </w:tr>
            <w:tr w14:paraId="6592DEDD">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27095612">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19</w:t>
                  </w:r>
                </w:p>
              </w:tc>
              <w:tc>
                <w:tcPr>
                  <w:tcW w:w="2620" w:type="dxa"/>
                  <w:tcBorders>
                    <w:top w:val="nil"/>
                    <w:left w:val="nil"/>
                    <w:bottom w:val="single" w:color="auto" w:sz="4" w:space="0"/>
                    <w:right w:val="single" w:color="auto" w:sz="4" w:space="0"/>
                  </w:tcBorders>
                  <w:shd w:val="clear" w:color="auto" w:fill="auto"/>
                  <w:noWrap/>
                  <w:vAlign w:val="center"/>
                </w:tcPr>
                <w:p w14:paraId="3320E8F9">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猪肘</w:t>
                  </w:r>
                </w:p>
              </w:tc>
              <w:tc>
                <w:tcPr>
                  <w:tcW w:w="2976" w:type="dxa"/>
                  <w:vMerge w:val="continue"/>
                  <w:tcBorders>
                    <w:left w:val="nil"/>
                    <w:right w:val="single" w:color="auto" w:sz="4" w:space="0"/>
                  </w:tcBorders>
                </w:tcPr>
                <w:p w14:paraId="0F7EC2DA">
                  <w:pPr>
                    <w:kinsoku/>
                    <w:autoSpaceDE/>
                    <w:autoSpaceDN/>
                    <w:adjustRightInd/>
                    <w:snapToGrid/>
                    <w:jc w:val="center"/>
                    <w:textAlignment w:val="auto"/>
                    <w:rPr>
                      <w:rFonts w:ascii="宋体" w:hAnsi="宋体" w:eastAsia="宋体" w:cs="宋体"/>
                      <w:snapToGrid/>
                      <w:sz w:val="24"/>
                      <w:szCs w:val="24"/>
                    </w:rPr>
                  </w:pPr>
                </w:p>
              </w:tc>
            </w:tr>
            <w:tr w14:paraId="57346FCC">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215FFDD6">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20</w:t>
                  </w:r>
                </w:p>
              </w:tc>
              <w:tc>
                <w:tcPr>
                  <w:tcW w:w="2620" w:type="dxa"/>
                  <w:tcBorders>
                    <w:top w:val="nil"/>
                    <w:left w:val="nil"/>
                    <w:bottom w:val="single" w:color="auto" w:sz="4" w:space="0"/>
                    <w:right w:val="single" w:color="auto" w:sz="4" w:space="0"/>
                  </w:tcBorders>
                  <w:shd w:val="clear" w:color="auto" w:fill="auto"/>
                  <w:noWrap/>
                  <w:vAlign w:val="center"/>
                </w:tcPr>
                <w:p w14:paraId="000BA5DF">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猪生肠</w:t>
                  </w:r>
                </w:p>
              </w:tc>
              <w:tc>
                <w:tcPr>
                  <w:tcW w:w="2976" w:type="dxa"/>
                  <w:vMerge w:val="continue"/>
                  <w:tcBorders>
                    <w:left w:val="nil"/>
                    <w:right w:val="single" w:color="auto" w:sz="4" w:space="0"/>
                  </w:tcBorders>
                </w:tcPr>
                <w:p w14:paraId="1A3840FC">
                  <w:pPr>
                    <w:kinsoku/>
                    <w:autoSpaceDE/>
                    <w:autoSpaceDN/>
                    <w:adjustRightInd/>
                    <w:snapToGrid/>
                    <w:jc w:val="center"/>
                    <w:textAlignment w:val="auto"/>
                    <w:rPr>
                      <w:rFonts w:ascii="宋体" w:hAnsi="宋体" w:eastAsia="宋体" w:cs="宋体"/>
                      <w:snapToGrid/>
                      <w:sz w:val="24"/>
                      <w:szCs w:val="24"/>
                    </w:rPr>
                  </w:pPr>
                </w:p>
              </w:tc>
            </w:tr>
            <w:tr w14:paraId="25F73287">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3FE53900">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21</w:t>
                  </w:r>
                </w:p>
              </w:tc>
              <w:tc>
                <w:tcPr>
                  <w:tcW w:w="2620" w:type="dxa"/>
                  <w:tcBorders>
                    <w:top w:val="nil"/>
                    <w:left w:val="nil"/>
                    <w:bottom w:val="single" w:color="auto" w:sz="4" w:space="0"/>
                    <w:right w:val="single" w:color="auto" w:sz="4" w:space="0"/>
                  </w:tcBorders>
                  <w:shd w:val="clear" w:color="auto" w:fill="auto"/>
                  <w:noWrap/>
                  <w:vAlign w:val="center"/>
                </w:tcPr>
                <w:p w14:paraId="20CDCC4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猪俐（猪舌）</w:t>
                  </w:r>
                </w:p>
              </w:tc>
              <w:tc>
                <w:tcPr>
                  <w:tcW w:w="2976" w:type="dxa"/>
                  <w:vMerge w:val="continue"/>
                  <w:tcBorders>
                    <w:left w:val="nil"/>
                    <w:right w:val="single" w:color="auto" w:sz="4" w:space="0"/>
                  </w:tcBorders>
                </w:tcPr>
                <w:p w14:paraId="0F4E1135">
                  <w:pPr>
                    <w:kinsoku/>
                    <w:autoSpaceDE/>
                    <w:autoSpaceDN/>
                    <w:adjustRightInd/>
                    <w:snapToGrid/>
                    <w:jc w:val="center"/>
                    <w:textAlignment w:val="auto"/>
                    <w:rPr>
                      <w:rFonts w:ascii="宋体" w:hAnsi="宋体" w:eastAsia="宋体" w:cs="宋体"/>
                      <w:snapToGrid/>
                      <w:sz w:val="24"/>
                      <w:szCs w:val="24"/>
                    </w:rPr>
                  </w:pPr>
                </w:p>
              </w:tc>
            </w:tr>
            <w:tr w14:paraId="5DB5605C">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03F428B8">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22</w:t>
                  </w:r>
                </w:p>
              </w:tc>
              <w:tc>
                <w:tcPr>
                  <w:tcW w:w="2620" w:type="dxa"/>
                  <w:tcBorders>
                    <w:top w:val="nil"/>
                    <w:left w:val="nil"/>
                    <w:bottom w:val="single" w:color="auto" w:sz="4" w:space="0"/>
                    <w:right w:val="single" w:color="auto" w:sz="4" w:space="0"/>
                  </w:tcBorders>
                  <w:shd w:val="clear" w:color="auto" w:fill="auto"/>
                  <w:noWrap/>
                  <w:vAlign w:val="center"/>
                </w:tcPr>
                <w:p w14:paraId="58B84EDA">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鲜金钱肚</w:t>
                  </w:r>
                </w:p>
              </w:tc>
              <w:tc>
                <w:tcPr>
                  <w:tcW w:w="2976" w:type="dxa"/>
                  <w:vMerge w:val="continue"/>
                  <w:tcBorders>
                    <w:left w:val="nil"/>
                    <w:right w:val="single" w:color="auto" w:sz="4" w:space="0"/>
                  </w:tcBorders>
                </w:tcPr>
                <w:p w14:paraId="30D4F0D0">
                  <w:pPr>
                    <w:kinsoku/>
                    <w:autoSpaceDE/>
                    <w:autoSpaceDN/>
                    <w:adjustRightInd/>
                    <w:snapToGrid/>
                    <w:jc w:val="center"/>
                    <w:textAlignment w:val="auto"/>
                    <w:rPr>
                      <w:rFonts w:ascii="宋体" w:hAnsi="宋体" w:eastAsia="宋体" w:cs="宋体"/>
                      <w:snapToGrid/>
                      <w:sz w:val="24"/>
                      <w:szCs w:val="24"/>
                    </w:rPr>
                  </w:pPr>
                </w:p>
              </w:tc>
            </w:tr>
            <w:tr w14:paraId="26376DC3">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7026817B">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23</w:t>
                  </w:r>
                </w:p>
              </w:tc>
              <w:tc>
                <w:tcPr>
                  <w:tcW w:w="2620" w:type="dxa"/>
                  <w:tcBorders>
                    <w:top w:val="nil"/>
                    <w:left w:val="nil"/>
                    <w:bottom w:val="single" w:color="auto" w:sz="4" w:space="0"/>
                    <w:right w:val="single" w:color="auto" w:sz="4" w:space="0"/>
                  </w:tcBorders>
                  <w:shd w:val="clear" w:color="auto" w:fill="auto"/>
                  <w:noWrap/>
                  <w:vAlign w:val="center"/>
                </w:tcPr>
                <w:p w14:paraId="629175D6">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吊龙牛肉</w:t>
                  </w:r>
                </w:p>
              </w:tc>
              <w:tc>
                <w:tcPr>
                  <w:tcW w:w="2976" w:type="dxa"/>
                  <w:vMerge w:val="continue"/>
                  <w:tcBorders>
                    <w:left w:val="nil"/>
                    <w:right w:val="single" w:color="auto" w:sz="4" w:space="0"/>
                  </w:tcBorders>
                </w:tcPr>
                <w:p w14:paraId="0DCA5D22">
                  <w:pPr>
                    <w:kinsoku/>
                    <w:autoSpaceDE/>
                    <w:autoSpaceDN/>
                    <w:adjustRightInd/>
                    <w:snapToGrid/>
                    <w:jc w:val="center"/>
                    <w:textAlignment w:val="auto"/>
                    <w:rPr>
                      <w:rFonts w:ascii="宋体" w:hAnsi="宋体" w:eastAsia="宋体" w:cs="宋体"/>
                      <w:snapToGrid/>
                      <w:sz w:val="24"/>
                      <w:szCs w:val="24"/>
                    </w:rPr>
                  </w:pPr>
                </w:p>
              </w:tc>
            </w:tr>
            <w:tr w14:paraId="0304F4EF">
              <w:tblPrEx>
                <w:tblCellMar>
                  <w:top w:w="0" w:type="dxa"/>
                  <w:left w:w="108" w:type="dxa"/>
                  <w:bottom w:w="0" w:type="dxa"/>
                  <w:right w:w="108" w:type="dxa"/>
                </w:tblCellMar>
              </w:tblPrEx>
              <w:trPr>
                <w:trHeight w:val="379" w:hRule="atLeast"/>
              </w:trPr>
              <w:tc>
                <w:tcPr>
                  <w:tcW w:w="709" w:type="dxa"/>
                  <w:tcBorders>
                    <w:top w:val="nil"/>
                    <w:left w:val="single" w:color="auto" w:sz="4" w:space="0"/>
                    <w:bottom w:val="single" w:color="auto" w:sz="4" w:space="0"/>
                    <w:right w:val="single" w:color="auto" w:sz="4" w:space="0"/>
                  </w:tcBorders>
                  <w:shd w:val="clear" w:color="auto" w:fill="auto"/>
                  <w:noWrap/>
                  <w:vAlign w:val="center"/>
                </w:tcPr>
                <w:p w14:paraId="360A3098">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24</w:t>
                  </w:r>
                </w:p>
              </w:tc>
              <w:tc>
                <w:tcPr>
                  <w:tcW w:w="2620" w:type="dxa"/>
                  <w:tcBorders>
                    <w:top w:val="nil"/>
                    <w:left w:val="nil"/>
                    <w:bottom w:val="single" w:color="auto" w:sz="4" w:space="0"/>
                    <w:right w:val="single" w:color="auto" w:sz="4" w:space="0"/>
                  </w:tcBorders>
                  <w:shd w:val="clear" w:color="auto" w:fill="auto"/>
                  <w:noWrap/>
                  <w:vAlign w:val="center"/>
                </w:tcPr>
                <w:p w14:paraId="0F888A73">
                  <w:pPr>
                    <w:kinsoku/>
                    <w:autoSpaceDE/>
                    <w:autoSpaceDN/>
                    <w:adjustRightInd/>
                    <w:snapToGrid/>
                    <w:jc w:val="center"/>
                    <w:textAlignment w:val="auto"/>
                    <w:rPr>
                      <w:rFonts w:ascii="宋体" w:hAnsi="宋体" w:eastAsia="宋体" w:cs="宋体"/>
                      <w:snapToGrid/>
                      <w:sz w:val="24"/>
                      <w:szCs w:val="24"/>
                    </w:rPr>
                  </w:pPr>
                  <w:r>
                    <w:rPr>
                      <w:rFonts w:hint="eastAsia" w:ascii="宋体" w:hAnsi="宋体" w:eastAsia="宋体" w:cs="宋体"/>
                      <w:snapToGrid/>
                      <w:sz w:val="24"/>
                      <w:szCs w:val="24"/>
                    </w:rPr>
                    <w:t>黄牛尾巴</w:t>
                  </w:r>
                </w:p>
              </w:tc>
              <w:tc>
                <w:tcPr>
                  <w:tcW w:w="2976" w:type="dxa"/>
                  <w:vMerge w:val="continue"/>
                  <w:tcBorders>
                    <w:left w:val="nil"/>
                    <w:bottom w:val="single" w:color="auto" w:sz="4" w:space="0"/>
                    <w:right w:val="single" w:color="auto" w:sz="4" w:space="0"/>
                  </w:tcBorders>
                </w:tcPr>
                <w:p w14:paraId="3021229E">
                  <w:pPr>
                    <w:kinsoku/>
                    <w:autoSpaceDE/>
                    <w:autoSpaceDN/>
                    <w:adjustRightInd/>
                    <w:snapToGrid/>
                    <w:jc w:val="center"/>
                    <w:textAlignment w:val="auto"/>
                    <w:rPr>
                      <w:rFonts w:ascii="宋体" w:hAnsi="宋体" w:eastAsia="宋体" w:cs="宋体"/>
                      <w:snapToGrid/>
                      <w:sz w:val="24"/>
                      <w:szCs w:val="24"/>
                    </w:rPr>
                  </w:pPr>
                </w:p>
              </w:tc>
            </w:tr>
          </w:tbl>
          <w:p w14:paraId="618B3375">
            <w:pPr>
              <w:shd w:val="clear" w:color="auto" w:fill="FFFFFF"/>
              <w:rPr>
                <w:rFonts w:ascii="宋体" w:hAnsi="宋体" w:eastAsia="宋体" w:cs="宋体"/>
                <w:sz w:val="24"/>
                <w:szCs w:val="24"/>
              </w:rPr>
            </w:pPr>
          </w:p>
          <w:p w14:paraId="6F59DAE9">
            <w:pPr>
              <w:shd w:val="clear" w:color="auto" w:fill="FFFFFF"/>
              <w:rPr>
                <w:rFonts w:ascii="宋体" w:hAnsi="宋体" w:eastAsia="宋体" w:cs="宋体"/>
                <w:sz w:val="24"/>
                <w:szCs w:val="24"/>
              </w:rPr>
            </w:pPr>
            <w:r>
              <w:rPr>
                <w:rFonts w:hint="eastAsia" w:ascii="宋体" w:hAnsi="宋体" w:eastAsia="宋体" w:cs="宋体"/>
                <w:sz w:val="24"/>
                <w:szCs w:val="24"/>
              </w:rPr>
              <w:t>说明：合同期间，采购人可能会采购超出上述清单的分割肉品种，具体以采购人实际需求为准，供应商需按照采购人实际需求配合供应。</w:t>
            </w:r>
          </w:p>
          <w:p w14:paraId="5ED80414">
            <w:pPr>
              <w:shd w:val="clear" w:color="auto" w:fill="FFFFFF"/>
              <w:rPr>
                <w:rFonts w:ascii="宋体" w:hAnsi="宋体" w:eastAsia="宋体" w:cs="宋体"/>
                <w:sz w:val="24"/>
                <w:szCs w:val="24"/>
              </w:rPr>
            </w:pPr>
            <w:r>
              <w:rPr>
                <w:rFonts w:hint="eastAsia" w:ascii="宋体" w:hAnsi="宋体" w:eastAsia="宋体" w:cs="宋体"/>
                <w:sz w:val="24"/>
                <w:szCs w:val="24"/>
              </w:rPr>
              <w:t>二、肉类质量要求</w:t>
            </w:r>
          </w:p>
          <w:p w14:paraId="1A016DDD">
            <w:pPr>
              <w:rPr>
                <w:rFonts w:ascii="宋体" w:hAnsi="宋体" w:eastAsia="宋体" w:cs="宋体"/>
                <w:sz w:val="24"/>
                <w:szCs w:val="24"/>
                <w:highlight w:val="none"/>
              </w:rPr>
            </w:pPr>
            <w:r>
              <w:rPr>
                <w:rFonts w:hint="eastAsia" w:ascii="宋体" w:hAnsi="宋体" w:eastAsia="宋体" w:cs="宋体"/>
                <w:sz w:val="24"/>
                <w:szCs w:val="24"/>
                <w:highlight w:val="none"/>
              </w:rPr>
              <w:t>1.精瘦肉：去筋膜，去肥，肉质弹性好；不粘手，无粘液，无注水，无异味；无种猪肉，无病、死猪肉，无“瘦肉精”残留。瘦肉颜色呈鲜红或者粉红色，红色均匀，有光泽，外表微湿润或微干。肉色鲜红、新鲜；肉质干洁、无肥肉、无筋膜；肉体大块的前、后腿的净瘦肉，不要花腩的瘦肉和脊柳肉。</w:t>
            </w:r>
          </w:p>
          <w:p w14:paraId="098CD6C2">
            <w:pPr>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五花肉：肥膜不修四边不切，不粘手，无粘液，无注水，无异味；无种猪肉，无病、死肉，无“瘦肉精”残留。皮薄肉质弹性好，颜色鲜红，肉上没有淤血，没有多余的皮筋。优质新鲜的花腩肉，不要皮，肉质要有肥瘦间隔层的肉纹，肥肉的厚度从瘦层开始计算不超过1公分，不要花腩尾的肥腩。</w:t>
            </w:r>
          </w:p>
          <w:p w14:paraId="257FA030">
            <w:pPr>
              <w:rPr>
                <w:rFonts w:hint="eastAsia" w:ascii="宋体" w:hAnsi="宋体" w:eastAsia="宋体" w:cs="宋体"/>
                <w:sz w:val="24"/>
                <w:szCs w:val="24"/>
                <w:highlight w:val="none"/>
                <w:lang w:eastAsia="zh-CN"/>
              </w:rPr>
            </w:pPr>
            <w:r>
              <w:rPr>
                <w:rFonts w:hint="eastAsia" w:ascii="宋体" w:hAnsi="宋体" w:eastAsia="宋体" w:cs="宋体"/>
                <w:snapToGrid/>
                <w:sz w:val="24"/>
                <w:szCs w:val="24"/>
                <w:highlight w:val="none"/>
                <w:lang w:val="en-US" w:eastAsia="zh-CN"/>
              </w:rPr>
              <w:t>3.</w:t>
            </w:r>
            <w:r>
              <w:rPr>
                <w:rFonts w:hint="eastAsia" w:ascii="宋体" w:hAnsi="宋体" w:eastAsia="宋体" w:cs="宋体"/>
                <w:snapToGrid/>
                <w:sz w:val="24"/>
                <w:szCs w:val="24"/>
                <w:highlight w:val="none"/>
              </w:rPr>
              <w:t>猪肋排</w:t>
            </w:r>
            <w:r>
              <w:rPr>
                <w:rFonts w:hint="eastAsia" w:ascii="宋体" w:hAnsi="宋体" w:eastAsia="宋体" w:cs="宋体"/>
                <w:snapToGrid/>
                <w:sz w:val="24"/>
                <w:szCs w:val="24"/>
                <w:highlight w:val="none"/>
                <w:lang w:eastAsia="zh-CN"/>
              </w:rPr>
              <w:t>：肌肉呈鲜红或深红色，有光泽；脂肪呈乳白色或微黄色，无霉点。肉质坚实，指压后凹陷缓慢恢复。外表及切面湿润，不粘手。具有鲜猪肉正常气味；煮沸后肉汤透明澄清，脂肪团聚于液面，无异味。无猪毛、淤血、病变组织及外来恶性杂质，肌块完整，不露肋骨。</w:t>
            </w:r>
          </w:p>
          <w:p w14:paraId="3EF7B9B5">
            <w:pPr>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无皮上肉：筋膜不修，七成瘦，不粘手，无粘液，无注水，无异味；无种猪肉，无病、死肉，无“瘦肉精”残留。皮下光洁无斑点，脂肪洁白，肌肉有光泽，瘦肉红色均匀，弹性好，外表微湿润。新鲜、全只猪的前排、后排一起；无颈骨、无花腩尾肉连带在一起；每边8斤以上。</w:t>
            </w:r>
          </w:p>
          <w:p w14:paraId="1DA5944A">
            <w:pPr>
              <w:pStyle w:val="2"/>
              <w:rPr>
                <w:rFonts w:hint="default" w:ascii="宋体" w:eastAsia="宋体" w:cs="宋体"/>
                <w:b w:val="0"/>
                <w:bCs w:val="0"/>
                <w:sz w:val="24"/>
                <w:szCs w:val="24"/>
                <w:highlight w:val="none"/>
                <w:lang w:val="en-US" w:eastAsia="zh-CN"/>
              </w:rPr>
            </w:pPr>
            <w:r>
              <w:rPr>
                <w:rFonts w:hint="eastAsia" w:ascii="宋体" w:eastAsia="宋体" w:cs="宋体"/>
                <w:b w:val="0"/>
                <w:bCs w:val="0"/>
                <w:sz w:val="24"/>
                <w:szCs w:val="24"/>
                <w:highlight w:val="none"/>
                <w:lang w:val="en-US" w:eastAsia="zh-CN"/>
              </w:rPr>
              <w:t>5.牛碎腩：肉色呈均匀的深红色或鲜红色，富有光泽，无发黑、发灰等异常色泽；脂肪部分应为乳白色，无发黄、油脂酸败迹象；肉质新鲜，无异味，表面干爽不黏手，无血水或黏液渗出。无肉眼可见的淤血、淋巴结、碎骨等杂质。</w:t>
            </w:r>
          </w:p>
          <w:p w14:paraId="38B67B9E">
            <w:pPr>
              <w:pStyle w:val="2"/>
              <w:rPr>
                <w:rFonts w:hint="eastAsia" w:ascii="宋体" w:hAnsi="宋体" w:eastAsia="宋体" w:cs="宋体"/>
                <w:sz w:val="24"/>
                <w:szCs w:val="24"/>
                <w:highlight w:val="none"/>
              </w:rPr>
            </w:pPr>
            <w:r>
              <w:rPr>
                <w:rFonts w:hint="eastAsia" w:ascii="宋体" w:eastAsia="宋体" w:cs="宋体"/>
                <w:b w:val="0"/>
                <w:bCs w:val="0"/>
                <w:sz w:val="24"/>
                <w:szCs w:val="24"/>
                <w:highlight w:val="none"/>
                <w:lang w:val="en-US" w:eastAsia="zh-CN"/>
              </w:rPr>
              <w:t>6</w:t>
            </w:r>
            <w:r>
              <w:rPr>
                <w:rFonts w:hint="eastAsia" w:ascii="宋体" w:eastAsia="宋体" w:cs="宋体"/>
                <w:b w:val="0"/>
                <w:bCs w:val="0"/>
                <w:sz w:val="24"/>
                <w:szCs w:val="24"/>
                <w:highlight w:val="none"/>
              </w:rPr>
              <w:t>.猪手：新鲜猪手开边，不粘手，无粘液，无注水，无异味；无种猪肉，无病、死肉，无“瘦肉精”残留。外观粉红色，不能太红或者太白。略带腥味。手指按压不粘手，按压后能迅速地恢复原状，表面是干燥或略显湿润。切齐口，不要筒骨。</w:t>
            </w:r>
          </w:p>
          <w:p w14:paraId="481FEE6F">
            <w:pPr>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7.鲜牛肉：</w:t>
            </w:r>
            <w:r>
              <w:rPr>
                <w:rFonts w:hint="eastAsia" w:ascii="宋体" w:hAnsi="宋体" w:eastAsia="宋体" w:cs="宋体"/>
                <w:sz w:val="24"/>
                <w:szCs w:val="24"/>
                <w:highlight w:val="none"/>
              </w:rPr>
              <w:t>牛肉的特有正常气味。不能有氨味或酸味。表面微干或有风干膜，不粘手。指压后能立即恢复。纸巾放到牛肉上挤压，不会迅速被水浸湿（没有注水情况）。新鲜牛后腿肉、牛腱子肉切块，其肌肉红而均匀，富有光泽；肉的质地坚实而细腻，有弹性，外表微干，不粘手；气味新鲜，没有其他异味且牛油（肥肉）含量不超过当次牛肉采购数量的5%。</w:t>
            </w:r>
          </w:p>
          <w:p w14:paraId="0440B384">
            <w:pPr>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排骨：整块带胸骨筋膜：不粘手，无粘液，无注水，无异味；无种猪肉，无病、死肉，无“瘦肉精”残留。外观粉红色，不能太红或者太白。略带腥味。手指按压不粘手，按压后能迅速地恢复原状，表面是干燥或略显湿润。新鲜、全只猪的前排、后排一起；无颈骨、无花腩尾肉连带在一起；每边8斤以上。</w:t>
            </w:r>
          </w:p>
          <w:p w14:paraId="616CAA0D">
            <w:pP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w:t>
            </w:r>
            <w:r>
              <w:rPr>
                <w:rFonts w:hint="eastAsia" w:ascii="宋体" w:hAnsi="宋体" w:eastAsia="宋体" w:cs="宋体"/>
                <w:snapToGrid/>
                <w:sz w:val="24"/>
                <w:szCs w:val="24"/>
                <w:highlight w:val="none"/>
              </w:rPr>
              <w:t>三角龙骨</w:t>
            </w:r>
            <w:r>
              <w:rPr>
                <w:rFonts w:hint="eastAsia" w:ascii="宋体" w:hAnsi="宋体" w:eastAsia="宋体" w:cs="宋体"/>
                <w:snapToGrid/>
                <w:sz w:val="24"/>
                <w:szCs w:val="24"/>
                <w:highlight w:val="none"/>
                <w:lang w:eastAsia="zh-CN"/>
              </w:rPr>
              <w:t>：肌肉呈淡红色或灰红色，有光泽；脂肪呈乳白色，分布均匀。纤维清晰，有坚韧性，指压后凹陷能立即复原；切面肉质紧密，无黏液、无血水渗出。具有鲜猪肉固有的自然气味，无酸败、腥臭等异味。块形完整，边缘整齐，不带过多筋络和肥膘，肥瘦比例协调。</w:t>
            </w:r>
          </w:p>
          <w:p w14:paraId="630CA513">
            <w:pPr>
              <w:rPr>
                <w:rFonts w:hint="eastAsia" w:ascii="宋体" w:hAnsi="宋体" w:eastAsia="宋体" w:cs="宋体"/>
                <w:snapToGrid/>
                <w:sz w:val="24"/>
                <w:szCs w:val="24"/>
                <w:highlight w:val="none"/>
                <w:lang w:eastAsia="zh-CN"/>
              </w:rPr>
            </w:pPr>
            <w:r>
              <w:rPr>
                <w:rFonts w:hint="eastAsia" w:ascii="宋体" w:hAnsi="宋体" w:eastAsia="宋体" w:cs="宋体"/>
                <w:sz w:val="24"/>
                <w:szCs w:val="24"/>
                <w:highlight w:val="none"/>
                <w:lang w:val="en-US" w:eastAsia="zh-CN"/>
              </w:rPr>
              <w:t>10.</w:t>
            </w:r>
            <w:r>
              <w:rPr>
                <w:rFonts w:hint="eastAsia" w:ascii="宋体" w:hAnsi="宋体" w:eastAsia="宋体" w:cs="宋体"/>
                <w:snapToGrid/>
                <w:sz w:val="24"/>
                <w:szCs w:val="24"/>
                <w:highlight w:val="none"/>
              </w:rPr>
              <w:t>鲜牛腩</w:t>
            </w:r>
            <w:r>
              <w:rPr>
                <w:rFonts w:hint="eastAsia" w:ascii="宋体" w:hAnsi="宋体" w:eastAsia="宋体" w:cs="宋体"/>
                <w:snapToGrid/>
                <w:sz w:val="24"/>
                <w:szCs w:val="24"/>
                <w:highlight w:val="none"/>
                <w:lang w:eastAsia="zh-CN"/>
              </w:rPr>
              <w:t>：新鲜牛腩肌肉呈鲜红或深红色，色泽均匀且有自然光泽；脂肪呈乳白色或淡黄色，质地紧实，无异味；表面微干或有风干膜（一层薄薄的干燥表层），无黏手现象。肌肉纤维清晰，纹理细腻，无松散或软烂现象；筋膜（如坑腩的筋膜）分布均匀，无明显淤血或肿块。</w:t>
            </w:r>
          </w:p>
          <w:p w14:paraId="2BBDEE4E">
            <w:pPr>
              <w:pStyle w:val="2"/>
              <w:rPr>
                <w:rFonts w:hint="eastAsia" w:ascii="宋体" w:hAnsi="宋体" w:eastAsia="宋体" w:cs="宋体"/>
                <w:b w:val="0"/>
                <w:bCs w:val="0"/>
                <w:snapToGrid/>
                <w:sz w:val="24"/>
                <w:szCs w:val="24"/>
                <w:highlight w:val="none"/>
                <w:lang w:val="en-US" w:eastAsia="zh-CN"/>
              </w:rPr>
            </w:pPr>
            <w:r>
              <w:rPr>
                <w:rFonts w:hint="eastAsia" w:ascii="宋体" w:hAnsi="宋体" w:eastAsia="宋体" w:cs="宋体"/>
                <w:b w:val="0"/>
                <w:bCs w:val="0"/>
                <w:snapToGrid/>
                <w:sz w:val="24"/>
                <w:szCs w:val="24"/>
                <w:highlight w:val="none"/>
                <w:lang w:val="en-US" w:eastAsia="zh-CN"/>
              </w:rPr>
              <w:t>11.猪展肉：新鲜猪展肉呈鲜红色或淡粉红色，切面有光泽，脂肪呈白色或乳白色，无发黄、发灰或淤血斑点。肌肉纤维清晰，切面可见均匀分布的白色筋膜（呈大理石纹路），无过多结块筋膜或纯红肉区域，筋膜质地坚韧有弹性。</w:t>
            </w:r>
          </w:p>
          <w:p w14:paraId="34FD63B5">
            <w:pPr>
              <w:rPr>
                <w:rFonts w:hint="eastAsia" w:ascii="宋体" w:hAnsi="宋体" w:eastAsia="宋体" w:cs="宋体"/>
                <w:b w:val="0"/>
                <w:bCs w:val="0"/>
                <w:snapToGrid/>
                <w:sz w:val="24"/>
                <w:szCs w:val="24"/>
                <w:highlight w:val="none"/>
                <w:lang w:val="en-US" w:eastAsia="zh-CN"/>
              </w:rPr>
            </w:pPr>
            <w:r>
              <w:rPr>
                <w:rFonts w:hint="eastAsia" w:ascii="宋体" w:hAnsi="宋体" w:eastAsia="宋体" w:cs="宋体"/>
                <w:b w:val="0"/>
                <w:bCs w:val="0"/>
                <w:snapToGrid/>
                <w:sz w:val="24"/>
                <w:szCs w:val="24"/>
                <w:highlight w:val="none"/>
                <w:lang w:val="en-US" w:eastAsia="zh-CN"/>
              </w:rPr>
              <w:t>12.</w:t>
            </w:r>
            <w:r>
              <w:rPr>
                <w:rFonts w:hint="eastAsia" w:ascii="宋体" w:hAnsi="宋体" w:eastAsia="宋体" w:cs="宋体"/>
                <w:snapToGrid/>
                <w:sz w:val="24"/>
                <w:szCs w:val="24"/>
                <w:highlight w:val="none"/>
              </w:rPr>
              <w:t>扇骨</w:t>
            </w:r>
            <w:r>
              <w:rPr>
                <w:rFonts w:hint="eastAsia" w:ascii="宋体" w:hAnsi="宋体" w:eastAsia="宋体" w:cs="宋体"/>
                <w:snapToGrid/>
                <w:sz w:val="24"/>
                <w:szCs w:val="24"/>
                <w:highlight w:val="none"/>
                <w:lang w:eastAsia="zh-CN"/>
              </w:rPr>
              <w:t>：</w:t>
            </w:r>
            <w:r>
              <w:rPr>
                <w:rFonts w:hint="eastAsia" w:ascii="宋体" w:hAnsi="宋体" w:eastAsia="宋体" w:cs="宋体"/>
                <w:b w:val="0"/>
                <w:bCs w:val="0"/>
                <w:snapToGrid/>
                <w:sz w:val="24"/>
                <w:szCs w:val="24"/>
                <w:highlight w:val="none"/>
                <w:lang w:val="en-US" w:eastAsia="zh-CN"/>
              </w:rPr>
              <w:t>肉色呈鲜红色或粉红色，色泽均匀且有自然光泽；骨面干净无淤血、暗斑或不正常血点，月牙骨（前端脆骨）呈白色或淡黄色，无变色现象。骨骼呈扁平扇状结构，边缘弧度自然，无裂痕或破损；骨面附着的肌肉纤维分布均匀，月牙骨完整无断裂。横切后骨髓应金黄充实，无空洞或灰暗现象。</w:t>
            </w:r>
          </w:p>
          <w:p w14:paraId="7DE9DB1E">
            <w:pP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13</w:t>
            </w:r>
            <w:r>
              <w:rPr>
                <w:rFonts w:hint="eastAsia" w:ascii="宋体" w:hAnsi="宋体" w:eastAsia="宋体" w:cs="宋体"/>
                <w:sz w:val="24"/>
                <w:szCs w:val="24"/>
                <w:highlight w:val="none"/>
              </w:rPr>
              <w:t>.猪肝：新鲜完整猪腰，柔润光泽，有弹性，呈浅红色，无异味，表面没有血点，不能厚大红肿。开刀后髓质红色组织与白色筋丝之间清晰。</w:t>
            </w:r>
          </w:p>
          <w:p w14:paraId="7655E799">
            <w:pPr>
              <w:pStyle w:val="2"/>
              <w:rPr>
                <w:rFonts w:hint="eastAsia" w:ascii="宋体" w:eastAsia="宋体" w:cs="宋体"/>
                <w:b w:val="0"/>
                <w:bCs w:val="0"/>
                <w:sz w:val="24"/>
                <w:szCs w:val="24"/>
                <w:highlight w:val="none"/>
                <w:lang w:val="en-US" w:eastAsia="zh-CN"/>
              </w:rPr>
            </w:pPr>
            <w:r>
              <w:rPr>
                <w:rFonts w:hint="eastAsia" w:ascii="宋体" w:eastAsia="宋体" w:cs="宋体"/>
                <w:b w:val="0"/>
                <w:bCs w:val="0"/>
                <w:sz w:val="24"/>
                <w:szCs w:val="24"/>
                <w:highlight w:val="none"/>
                <w:lang w:val="en-US" w:eastAsia="zh-CN"/>
              </w:rPr>
              <w:t>14.猪腰：呈自然淡红色或粉红色，有光泽，无发青、发白（如被水泡过）或暗沉变色现象。平滑完整，无坑洼、肿块、瘀伤或破损，无出血点。手感坚实有弹性，轻压后能适度回弹，不松软、不发硬或局部变形。</w:t>
            </w:r>
          </w:p>
          <w:p w14:paraId="09AB678E">
            <w:pPr>
              <w:rPr>
                <w:rFonts w:hint="eastAsia" w:ascii="宋体" w:hAnsi="宋体" w:eastAsia="宋体" w:cs="宋体"/>
                <w:snapToGrid/>
                <w:sz w:val="24"/>
                <w:szCs w:val="24"/>
                <w:highlight w:val="none"/>
                <w:lang w:eastAsia="zh-CN"/>
              </w:rPr>
            </w:pPr>
            <w:r>
              <w:rPr>
                <w:rFonts w:hint="eastAsia" w:ascii="宋体" w:eastAsia="宋体" w:cs="宋体"/>
                <w:b w:val="0"/>
                <w:bCs w:val="0"/>
                <w:sz w:val="24"/>
                <w:szCs w:val="24"/>
                <w:highlight w:val="none"/>
                <w:lang w:val="en-US" w:eastAsia="zh-CN"/>
              </w:rPr>
              <w:t>15.</w:t>
            </w:r>
            <w:r>
              <w:rPr>
                <w:rFonts w:hint="eastAsia" w:ascii="宋体" w:hAnsi="宋体" w:eastAsia="宋体" w:cs="宋体"/>
                <w:snapToGrid/>
                <w:sz w:val="24"/>
                <w:szCs w:val="24"/>
                <w:highlight w:val="none"/>
              </w:rPr>
              <w:t>羊排</w:t>
            </w:r>
            <w:r>
              <w:rPr>
                <w:rFonts w:hint="eastAsia" w:ascii="宋体" w:hAnsi="宋体" w:eastAsia="宋体" w:cs="宋体"/>
                <w:snapToGrid/>
                <w:sz w:val="24"/>
                <w:szCs w:val="24"/>
                <w:highlight w:val="none"/>
                <w:lang w:eastAsia="zh-CN"/>
              </w:rPr>
              <w:t>：新鲜羊排肉色呈鲜红或粉红色，均匀有光泽。新鲜羊排具有正常羊肉腥味，无异味；不新鲜者有氨味或酸味，变质者有腐臭味。肉质紧实有弹性，手指按压后能迅速恢复；不新鲜或变质肉质地松弛，凹陷不回弹。外表略干不粘手，无粘液。</w:t>
            </w:r>
          </w:p>
          <w:p w14:paraId="005DFAD7">
            <w:pPr>
              <w:pStyle w:val="2"/>
              <w:rPr>
                <w:rFonts w:hint="eastAsia" w:ascii="宋体" w:hAnsi="宋体" w:eastAsia="宋体" w:cs="宋体"/>
                <w:b w:val="0"/>
                <w:bCs w:val="0"/>
                <w:snapToGrid/>
                <w:sz w:val="24"/>
                <w:szCs w:val="24"/>
                <w:highlight w:val="none"/>
                <w:lang w:val="en-US" w:eastAsia="zh-CN"/>
              </w:rPr>
            </w:pPr>
            <w:r>
              <w:rPr>
                <w:rFonts w:hint="eastAsia" w:ascii="宋体" w:hAnsi="宋体" w:eastAsia="宋体" w:cs="宋体"/>
                <w:b w:val="0"/>
                <w:bCs w:val="0"/>
                <w:snapToGrid/>
                <w:sz w:val="24"/>
                <w:szCs w:val="24"/>
                <w:highlight w:val="none"/>
                <w:lang w:val="en-US" w:eastAsia="zh-CN"/>
              </w:rPr>
              <w:t>16.雪花牛肉：新鲜雪花牛肉表面油润有光泽，肉质紧实且富有弹性，切割面应呈现淡粉红色或鲜红色，脂肪部分呈乳白或象牙白色，雪花牛肉中的脂肪应该呈现出白色且呈珠状分布，且不应该太多或者太少。</w:t>
            </w:r>
          </w:p>
          <w:p w14:paraId="502A28B5">
            <w:pPr>
              <w:rPr>
                <w:rFonts w:hint="eastAsia" w:ascii="宋体" w:hAnsi="宋体" w:eastAsia="宋体" w:cs="宋体"/>
                <w:snapToGrid/>
                <w:sz w:val="24"/>
                <w:szCs w:val="24"/>
                <w:highlight w:val="none"/>
                <w:lang w:eastAsia="zh-CN"/>
              </w:rPr>
            </w:pPr>
            <w:r>
              <w:rPr>
                <w:rFonts w:hint="eastAsia" w:ascii="宋体" w:hAnsi="宋体" w:eastAsia="宋体" w:cs="宋体"/>
                <w:b w:val="0"/>
                <w:bCs w:val="0"/>
                <w:snapToGrid/>
                <w:sz w:val="24"/>
                <w:szCs w:val="24"/>
                <w:highlight w:val="none"/>
                <w:lang w:val="en-US" w:eastAsia="zh-CN"/>
              </w:rPr>
              <w:t>17.</w:t>
            </w:r>
            <w:r>
              <w:rPr>
                <w:rFonts w:hint="eastAsia" w:ascii="宋体" w:hAnsi="宋体" w:eastAsia="宋体" w:cs="宋体"/>
                <w:snapToGrid/>
                <w:sz w:val="24"/>
                <w:szCs w:val="24"/>
                <w:highlight w:val="none"/>
              </w:rPr>
              <w:t>猪颈肉</w:t>
            </w:r>
            <w:r>
              <w:rPr>
                <w:rFonts w:hint="eastAsia" w:ascii="宋体" w:hAnsi="宋体" w:eastAsia="宋体" w:cs="宋体"/>
                <w:snapToGrid/>
                <w:sz w:val="24"/>
                <w:szCs w:val="24"/>
                <w:highlight w:val="none"/>
                <w:lang w:eastAsia="zh-CN"/>
              </w:rPr>
              <w:t>：必须彻底修净猪颈部位的淋巴结、甲状腺等腺体组织。肉质呈淡粉色或浅红色，纤维清晰，有明显“雪花纹”肌间脂肪，无颗粒状组织。具有新鲜猪肉特有的清淡气味，无异味。</w:t>
            </w:r>
          </w:p>
          <w:p w14:paraId="17416B5A">
            <w:pPr>
              <w:pStyle w:val="2"/>
              <w:rPr>
                <w:rFonts w:hint="eastAsia" w:ascii="宋体" w:hAnsi="宋体" w:eastAsia="宋体" w:cs="宋体"/>
                <w:b w:val="0"/>
                <w:bCs w:val="0"/>
                <w:snapToGrid/>
                <w:sz w:val="24"/>
                <w:szCs w:val="24"/>
                <w:highlight w:val="none"/>
                <w:lang w:val="en-US" w:eastAsia="zh-CN"/>
              </w:rPr>
            </w:pPr>
            <w:r>
              <w:rPr>
                <w:rFonts w:hint="eastAsia" w:ascii="宋体" w:hAnsi="宋体" w:eastAsia="宋体" w:cs="宋体"/>
                <w:b w:val="0"/>
                <w:bCs w:val="0"/>
                <w:snapToGrid/>
                <w:sz w:val="24"/>
                <w:szCs w:val="24"/>
                <w:highlight w:val="none"/>
                <w:lang w:val="en-US" w:eastAsia="zh-CN"/>
              </w:rPr>
              <w:t>18.</w:t>
            </w:r>
            <w:r>
              <w:rPr>
                <w:rFonts w:hint="eastAsia" w:ascii="宋体" w:hAnsi="宋体" w:eastAsia="宋体" w:cs="宋体"/>
                <w:b w:val="0"/>
                <w:bCs w:val="0"/>
                <w:snapToGrid/>
                <w:sz w:val="24"/>
                <w:szCs w:val="24"/>
                <w:highlight w:val="none"/>
              </w:rPr>
              <w:t>土猪肉</w:t>
            </w:r>
            <w:r>
              <w:rPr>
                <w:rFonts w:hint="eastAsia" w:ascii="宋体" w:hAnsi="宋体" w:eastAsia="宋体" w:cs="宋体"/>
                <w:b w:val="0"/>
                <w:bCs w:val="0"/>
                <w:snapToGrid/>
                <w:sz w:val="24"/>
                <w:szCs w:val="24"/>
                <w:highlight w:val="none"/>
                <w:lang w:eastAsia="zh-CN"/>
              </w:rPr>
              <w:t>：</w:t>
            </w:r>
            <w:r>
              <w:rPr>
                <w:rFonts w:hint="eastAsia" w:ascii="宋体" w:hAnsi="宋体" w:eastAsia="宋体" w:cs="宋体"/>
                <w:b w:val="0"/>
                <w:bCs w:val="0"/>
                <w:snapToGrid/>
                <w:sz w:val="24"/>
                <w:szCs w:val="24"/>
                <w:highlight w:val="none"/>
                <w:lang w:val="en-US" w:eastAsia="zh-CN"/>
              </w:rPr>
              <w:t>肉色</w:t>
            </w:r>
            <w:r>
              <w:rPr>
                <w:rFonts w:hint="eastAsia" w:ascii="宋体" w:hAnsi="宋体" w:eastAsia="宋体" w:cs="宋体"/>
                <w:b w:val="0"/>
                <w:bCs w:val="0"/>
                <w:snapToGrid/>
                <w:sz w:val="24"/>
                <w:szCs w:val="24"/>
                <w:highlight w:val="none"/>
                <w:lang w:eastAsia="zh-CN"/>
              </w:rPr>
              <w:t>亮红或鲜红色，光泽良好；</w:t>
            </w:r>
            <w:r>
              <w:rPr>
                <w:rFonts w:hint="eastAsia" w:ascii="宋体" w:hAnsi="宋体" w:eastAsia="宋体" w:cs="宋体"/>
                <w:b w:val="0"/>
                <w:bCs w:val="0"/>
                <w:snapToGrid/>
                <w:sz w:val="24"/>
                <w:szCs w:val="24"/>
                <w:highlight w:val="none"/>
                <w:lang w:val="en-US" w:eastAsia="zh-CN"/>
              </w:rPr>
              <w:t>脂肪白色或乳白色。肉质有弹性，按压后凹陷立即恢复，外表微干不沾手。表皮颜色均匀，无斑点、淤痕或损伤。</w:t>
            </w:r>
          </w:p>
          <w:p w14:paraId="03C83F6E">
            <w:pPr>
              <w:rPr>
                <w:rFonts w:hint="eastAsia" w:eastAsia="宋体" w:cs="Arial"/>
                <w:i w:val="0"/>
                <w:iCs w:val="0"/>
                <w:caps w:val="0"/>
                <w:color w:val="333333"/>
                <w:spacing w:val="0"/>
                <w:sz w:val="24"/>
                <w:szCs w:val="24"/>
                <w:shd w:val="clear" w:fill="FFFFFF"/>
                <w:lang w:eastAsia="zh-CN"/>
              </w:rPr>
            </w:pPr>
            <w:r>
              <w:rPr>
                <w:rFonts w:hint="eastAsia" w:ascii="宋体" w:hAnsi="宋体" w:eastAsia="宋体" w:cs="宋体"/>
                <w:b w:val="0"/>
                <w:bCs w:val="0"/>
                <w:snapToGrid/>
                <w:sz w:val="24"/>
                <w:szCs w:val="24"/>
                <w:highlight w:val="none"/>
                <w:lang w:val="en-US" w:eastAsia="zh-CN"/>
              </w:rPr>
              <w:t>19.</w:t>
            </w:r>
            <w:r>
              <w:rPr>
                <w:rFonts w:hint="eastAsia" w:ascii="宋体" w:hAnsi="宋体" w:eastAsia="宋体" w:cs="宋体"/>
                <w:snapToGrid/>
                <w:sz w:val="24"/>
                <w:szCs w:val="24"/>
              </w:rPr>
              <w:t>猪肘</w:t>
            </w:r>
            <w:r>
              <w:rPr>
                <w:rFonts w:hint="eastAsia" w:ascii="宋体" w:hAnsi="宋体" w:eastAsia="宋体" w:cs="宋体"/>
                <w:snapToGrid/>
                <w:sz w:val="24"/>
                <w:szCs w:val="24"/>
                <w:lang w:eastAsia="zh-CN"/>
              </w:rPr>
              <w:t>：</w:t>
            </w:r>
            <w:r>
              <w:rPr>
                <w:rFonts w:ascii="Arial" w:hAnsi="Arial" w:eastAsia="Arial" w:cs="Arial"/>
                <w:i w:val="0"/>
                <w:iCs w:val="0"/>
                <w:caps w:val="0"/>
                <w:color w:val="333333"/>
                <w:spacing w:val="0"/>
                <w:sz w:val="24"/>
                <w:szCs w:val="24"/>
                <w:shd w:val="clear" w:fill="FFFFFF"/>
              </w:rPr>
              <w:t>表皮呈淡粉红色或粉白色，表面光滑无淤血、无密集猪毛，且无破损或异常凸起</w:t>
            </w:r>
            <w:r>
              <w:rPr>
                <w:rFonts w:hint="eastAsia" w:eastAsia="宋体" w:cs="Arial"/>
                <w:i w:val="0"/>
                <w:iCs w:val="0"/>
                <w:caps w:val="0"/>
                <w:color w:val="333333"/>
                <w:spacing w:val="0"/>
                <w:sz w:val="24"/>
                <w:szCs w:val="24"/>
                <w:shd w:val="clear" w:fill="FFFFFF"/>
                <w:lang w:eastAsia="zh-CN"/>
              </w:rPr>
              <w:t>。</w:t>
            </w:r>
            <w:r>
              <w:rPr>
                <w:rFonts w:ascii="Arial" w:hAnsi="Arial" w:eastAsia="Arial" w:cs="Arial"/>
                <w:i w:val="0"/>
                <w:iCs w:val="0"/>
                <w:caps w:val="0"/>
                <w:color w:val="333333"/>
                <w:spacing w:val="0"/>
                <w:sz w:val="24"/>
                <w:szCs w:val="24"/>
                <w:shd w:val="clear" w:fill="FFFFFF"/>
              </w:rPr>
              <w:t>按压后能迅速恢复原状</w:t>
            </w:r>
            <w:r>
              <w:rPr>
                <w:rFonts w:hint="eastAsia" w:eastAsia="宋体" w:cs="Arial"/>
                <w:i w:val="0"/>
                <w:iCs w:val="0"/>
                <w:caps w:val="0"/>
                <w:color w:val="333333"/>
                <w:spacing w:val="0"/>
                <w:sz w:val="24"/>
                <w:szCs w:val="24"/>
                <w:shd w:val="clear" w:fill="FFFFFF"/>
                <w:lang w:eastAsia="zh-CN"/>
              </w:rPr>
              <w:t>；</w:t>
            </w:r>
            <w:r>
              <w:rPr>
                <w:rFonts w:ascii="Arial" w:hAnsi="Arial" w:eastAsia="Arial" w:cs="Arial"/>
                <w:i w:val="0"/>
                <w:iCs w:val="0"/>
                <w:caps w:val="0"/>
                <w:color w:val="333333"/>
                <w:spacing w:val="0"/>
                <w:sz w:val="24"/>
                <w:szCs w:val="24"/>
                <w:shd w:val="clear" w:fill="FFFFFF"/>
              </w:rPr>
              <w:t>有淡淡肉腥味</w:t>
            </w:r>
            <w:r>
              <w:rPr>
                <w:rFonts w:hint="eastAsia" w:eastAsia="宋体" w:cs="Arial"/>
                <w:i w:val="0"/>
                <w:iCs w:val="0"/>
                <w:caps w:val="0"/>
                <w:color w:val="333333"/>
                <w:spacing w:val="0"/>
                <w:sz w:val="24"/>
                <w:szCs w:val="24"/>
                <w:shd w:val="clear" w:fill="FFFFFF"/>
                <w:lang w:eastAsia="zh-CN"/>
              </w:rPr>
              <w:t>。</w:t>
            </w:r>
          </w:p>
          <w:p w14:paraId="6FC4B63A">
            <w:pPr>
              <w:pStyle w:val="2"/>
              <w:rPr>
                <w:rFonts w:hint="eastAsia" w:ascii="宋体" w:hAnsi="宋体" w:eastAsia="宋体" w:cs="宋体"/>
                <w:b w:val="0"/>
                <w:bCs w:val="0"/>
                <w:snapToGrid/>
                <w:sz w:val="24"/>
                <w:szCs w:val="24"/>
                <w:lang w:eastAsia="zh-CN"/>
              </w:rPr>
            </w:pPr>
            <w:r>
              <w:rPr>
                <w:rFonts w:hint="eastAsia" w:ascii="宋体" w:hAnsi="宋体" w:eastAsia="宋体" w:cs="宋体"/>
                <w:b w:val="0"/>
                <w:bCs w:val="0"/>
                <w:snapToGrid/>
                <w:color w:val="000000"/>
                <w:sz w:val="24"/>
                <w:szCs w:val="24"/>
                <w:highlight w:val="none"/>
                <w:lang w:val="en-US" w:eastAsia="zh-CN" w:bidi="ar-SA"/>
              </w:rPr>
              <w:t>20.</w:t>
            </w:r>
            <w:r>
              <w:rPr>
                <w:rFonts w:hint="eastAsia" w:ascii="宋体" w:hAnsi="宋体" w:eastAsia="宋体" w:cs="宋体"/>
                <w:b w:val="0"/>
                <w:bCs w:val="0"/>
                <w:snapToGrid/>
                <w:sz w:val="24"/>
                <w:szCs w:val="24"/>
              </w:rPr>
              <w:t>猪生肠</w:t>
            </w:r>
            <w:r>
              <w:rPr>
                <w:rFonts w:hint="eastAsia" w:ascii="宋体" w:hAnsi="宋体" w:eastAsia="宋体" w:cs="宋体"/>
                <w:b w:val="0"/>
                <w:bCs w:val="0"/>
                <w:snapToGrid/>
                <w:sz w:val="24"/>
                <w:szCs w:val="24"/>
                <w:lang w:eastAsia="zh-CN"/>
              </w:rPr>
              <w:t>：新鲜猪生肠应具有正常的组织形态，肠壁完整、有弹性，无破损或穿孔；色泽自然，呈淡粉红色或乳白色（因部位差异可能略有不同），无淤血、出血点或黄疸现象。具有内脏特有的轻微腥气，无腐败味、酸臭味、氨味等异味；表面微湿润但不黏腻，触摸时质地柔韧，无明显黏液或异物。无肉眼可见杂质、毛发、粪污等污染物；剔除淋巴结、脂肪块。</w:t>
            </w:r>
          </w:p>
          <w:p w14:paraId="21F813AC">
            <w:pPr>
              <w:rPr>
                <w:rFonts w:hint="eastAsia" w:eastAsia="宋体" w:cs="Arial"/>
                <w:i w:val="0"/>
                <w:iCs w:val="0"/>
                <w:caps w:val="0"/>
                <w:color w:val="333333"/>
                <w:spacing w:val="0"/>
                <w:sz w:val="24"/>
                <w:szCs w:val="24"/>
                <w:shd w:val="clear" w:fill="FFFFFF"/>
                <w:lang w:eastAsia="zh-CN"/>
              </w:rPr>
            </w:pPr>
            <w:r>
              <w:rPr>
                <w:rFonts w:hint="eastAsia" w:ascii="宋体" w:hAnsi="宋体" w:eastAsia="宋体" w:cs="宋体"/>
                <w:b w:val="0"/>
                <w:bCs w:val="0"/>
                <w:snapToGrid/>
                <w:sz w:val="24"/>
                <w:szCs w:val="24"/>
                <w:lang w:val="en-US" w:eastAsia="zh-CN"/>
              </w:rPr>
              <w:t>21.</w:t>
            </w:r>
            <w:r>
              <w:rPr>
                <w:rFonts w:hint="eastAsia" w:ascii="宋体" w:hAnsi="宋体" w:eastAsia="宋体" w:cs="宋体"/>
                <w:snapToGrid/>
                <w:sz w:val="24"/>
                <w:szCs w:val="24"/>
              </w:rPr>
              <w:t>猪俐（猪舌）</w:t>
            </w:r>
            <w:r>
              <w:rPr>
                <w:rFonts w:hint="eastAsia" w:ascii="宋体" w:hAnsi="宋体" w:eastAsia="宋体" w:cs="宋体"/>
                <w:snapToGrid/>
                <w:sz w:val="24"/>
                <w:szCs w:val="24"/>
                <w:lang w:eastAsia="zh-CN"/>
              </w:rPr>
              <w:t>：</w:t>
            </w:r>
            <w:r>
              <w:rPr>
                <w:rFonts w:hint="eastAsia" w:ascii="宋体" w:hAnsi="宋体" w:eastAsia="宋体" w:cs="宋体"/>
                <w:b w:val="0"/>
                <w:bCs w:val="0"/>
                <w:snapToGrid/>
                <w:sz w:val="24"/>
                <w:szCs w:val="24"/>
                <w:lang w:val="en-US" w:eastAsia="zh-CN"/>
              </w:rPr>
              <w:t>新鲜猪舌呈粉红色或淡红色，表面有光泽，无暗色或褐色斑点。</w:t>
            </w:r>
            <w:r>
              <w:rPr>
                <w:rFonts w:ascii="Arial" w:hAnsi="Arial" w:eastAsia="Arial" w:cs="Arial"/>
                <w:i w:val="0"/>
                <w:iCs w:val="0"/>
                <w:caps w:val="0"/>
                <w:color w:val="333333"/>
                <w:spacing w:val="0"/>
                <w:sz w:val="24"/>
                <w:szCs w:val="24"/>
                <w:shd w:val="clear" w:fill="FFFFFF"/>
              </w:rPr>
              <w:t>有淡淡肉香，无异味或臭味</w:t>
            </w:r>
            <w:r>
              <w:rPr>
                <w:rFonts w:hint="eastAsia" w:eastAsia="宋体" w:cs="Arial"/>
                <w:i w:val="0"/>
                <w:iCs w:val="0"/>
                <w:caps w:val="0"/>
                <w:color w:val="333333"/>
                <w:spacing w:val="0"/>
                <w:sz w:val="24"/>
                <w:szCs w:val="24"/>
                <w:shd w:val="clear" w:fill="FFFFFF"/>
                <w:lang w:eastAsia="zh-CN"/>
              </w:rPr>
              <w:t>。</w:t>
            </w:r>
            <w:r>
              <w:rPr>
                <w:rFonts w:ascii="Arial" w:hAnsi="Arial" w:eastAsia="Arial" w:cs="Arial"/>
                <w:i w:val="0"/>
                <w:iCs w:val="0"/>
                <w:caps w:val="0"/>
                <w:color w:val="333333"/>
                <w:spacing w:val="0"/>
                <w:sz w:val="24"/>
                <w:szCs w:val="24"/>
                <w:shd w:val="clear" w:fill="FFFFFF"/>
              </w:rPr>
              <w:t>表面光滑无肿块，舌体柔软有弹性，按压后能迅速恢复原状</w:t>
            </w:r>
            <w:r>
              <w:rPr>
                <w:rFonts w:hint="eastAsia" w:eastAsia="宋体" w:cs="Arial"/>
                <w:i w:val="0"/>
                <w:iCs w:val="0"/>
                <w:caps w:val="0"/>
                <w:color w:val="333333"/>
                <w:spacing w:val="0"/>
                <w:sz w:val="24"/>
                <w:szCs w:val="24"/>
                <w:shd w:val="clear" w:fill="FFFFFF"/>
                <w:lang w:eastAsia="zh-CN"/>
              </w:rPr>
              <w:t>。</w:t>
            </w:r>
          </w:p>
          <w:p w14:paraId="5AF09D99">
            <w:pPr>
              <w:pStyle w:val="2"/>
              <w:rPr>
                <w:rFonts w:hint="eastAsia" w:ascii="Arial" w:hAnsi="Arial" w:eastAsia="Arial" w:cs="Arial"/>
                <w:b w:val="0"/>
                <w:bCs w:val="0"/>
                <w:i w:val="0"/>
                <w:iCs w:val="0"/>
                <w:caps w:val="0"/>
                <w:snapToGrid w:val="0"/>
                <w:color w:val="333333"/>
                <w:spacing w:val="0"/>
                <w:sz w:val="24"/>
                <w:szCs w:val="24"/>
                <w:shd w:val="clear" w:fill="FFFFFF"/>
                <w:lang w:val="en-US" w:eastAsia="zh-CN" w:bidi="ar-SA"/>
              </w:rPr>
            </w:pPr>
            <w:r>
              <w:rPr>
                <w:rFonts w:hint="eastAsia" w:ascii="宋体" w:hAnsi="宋体" w:eastAsia="宋体" w:cs="宋体"/>
                <w:b w:val="0"/>
                <w:bCs w:val="0"/>
                <w:snapToGrid/>
                <w:color w:val="000000"/>
                <w:sz w:val="24"/>
                <w:szCs w:val="24"/>
                <w:lang w:val="en-US" w:eastAsia="zh-CN" w:bidi="ar-SA"/>
              </w:rPr>
              <w:t>22.鲜金钱肚：</w:t>
            </w:r>
            <w:r>
              <w:rPr>
                <w:rFonts w:hint="eastAsia" w:ascii="Arial" w:hAnsi="Arial" w:eastAsia="Arial" w:cs="Arial"/>
                <w:b w:val="0"/>
                <w:bCs w:val="0"/>
                <w:i w:val="0"/>
                <w:iCs w:val="0"/>
                <w:caps w:val="0"/>
                <w:snapToGrid w:val="0"/>
                <w:color w:val="333333"/>
                <w:spacing w:val="0"/>
                <w:sz w:val="24"/>
                <w:szCs w:val="24"/>
                <w:shd w:val="clear" w:fill="FFFFFF"/>
                <w:lang w:val="en-US" w:eastAsia="zh-CN" w:bidi="ar-SA"/>
              </w:rPr>
              <w:t>表面呈自然色泽（淡粉色至浅褐色），无淤血、异味或腐败迹象。蜂窝状网状结构完整，无破损、穿孔或大面积脂肪附着。无黏液、杂质或异物，清洗后表面光滑，无残留污物。</w:t>
            </w:r>
          </w:p>
          <w:p w14:paraId="367F7660">
            <w:pPr>
              <w:rPr>
                <w:rFonts w:hint="eastAsia" w:ascii="宋体" w:hAnsi="宋体" w:eastAsia="宋体" w:cs="宋体"/>
                <w:b w:val="0"/>
                <w:bCs w:val="0"/>
                <w:snapToGrid/>
                <w:color w:val="000000"/>
                <w:sz w:val="24"/>
                <w:szCs w:val="24"/>
                <w:lang w:val="en-US" w:eastAsia="zh-CN" w:bidi="ar-SA"/>
              </w:rPr>
            </w:pPr>
            <w:r>
              <w:rPr>
                <w:rFonts w:hint="eastAsia" w:ascii="宋体" w:hAnsi="宋体" w:eastAsia="宋体" w:cs="宋体"/>
                <w:b w:val="0"/>
                <w:bCs w:val="0"/>
                <w:snapToGrid/>
                <w:color w:val="000000"/>
                <w:sz w:val="24"/>
                <w:szCs w:val="24"/>
                <w:lang w:val="en-US" w:eastAsia="zh-CN" w:bidi="ar-SA"/>
              </w:rPr>
              <w:t>23.吊龙牛肉：肌肉呈樱红或深红色，有光泽；脂肪呈乳白或淡黄色，无发黄或灰暗现象。肌纤维细腻，纹理清晰，指压后凹陷可快速恢复；肌间脂肪呈“大理石纹”均匀分布。具有新鲜牛肉固有的淡淡腥香，无酸败、腐臭等异味。无可见血污、淋巴结、碎骨、浮毛或外来污染物。</w:t>
            </w:r>
          </w:p>
          <w:p w14:paraId="28411C95">
            <w:pPr>
              <w:pStyle w:val="2"/>
              <w:rPr>
                <w:rFonts w:hint="default"/>
                <w:lang w:val="en-US" w:eastAsia="zh-CN"/>
              </w:rPr>
            </w:pPr>
            <w:r>
              <w:rPr>
                <w:rFonts w:hint="eastAsia" w:ascii="宋体" w:hAnsi="宋体" w:eastAsia="宋体" w:cs="宋体"/>
                <w:b w:val="0"/>
                <w:bCs w:val="0"/>
                <w:snapToGrid/>
                <w:color w:val="000000"/>
                <w:sz w:val="24"/>
                <w:szCs w:val="24"/>
                <w:lang w:val="en-US" w:eastAsia="zh-CN" w:bidi="ar-SA"/>
              </w:rPr>
              <w:t>24.黄牛尾巴：新鲜黄牛尾巴肉应呈鲜红色或淡红色，脂肪呈乳白色或淡黄色，无发灰、发暗等异常色泽。具有正常牛肉固有的腥味，无酸败、腐臭等异味。肌肉有弹性，指压后凹陷能迅速恢复，表面无黏液或风干现象。</w:t>
            </w:r>
          </w:p>
          <w:p w14:paraId="3D493EA3">
            <w:pPr>
              <w:shd w:val="clear" w:color="auto" w:fill="FFFFFF"/>
              <w:rPr>
                <w:rFonts w:ascii="宋体" w:hAnsi="宋体" w:eastAsia="宋体" w:cs="宋体"/>
                <w:sz w:val="24"/>
                <w:szCs w:val="24"/>
              </w:rPr>
            </w:pPr>
            <w:r>
              <w:rPr>
                <w:rFonts w:hint="eastAsia" w:ascii="宋体" w:hAnsi="宋体" w:eastAsia="宋体" w:cs="宋体"/>
                <w:sz w:val="24"/>
                <w:szCs w:val="24"/>
              </w:rPr>
              <w:t>三、服务要求</w:t>
            </w:r>
          </w:p>
          <w:p w14:paraId="7A99DDB5">
            <w:pPr>
              <w:shd w:val="clear" w:color="auto" w:fill="FFFFFF"/>
              <w:rPr>
                <w:rFonts w:ascii="宋体" w:hAnsi="宋体" w:eastAsia="宋体" w:cs="宋体"/>
                <w:sz w:val="24"/>
                <w:szCs w:val="24"/>
              </w:rPr>
            </w:pPr>
            <w:r>
              <w:rPr>
                <w:rFonts w:hint="eastAsia" w:ascii="宋体" w:hAnsi="宋体" w:eastAsia="宋体" w:cs="宋体"/>
                <w:sz w:val="24"/>
                <w:szCs w:val="24"/>
              </w:rPr>
              <w:t>1. 采购人按照生产需要，每天向中标人订购肉品及食杂用品，每次订货数量以采购人通知为准。采购人每次以书面、电话、邮箱、传真及相关网络通信途径的形式通知中标人，中标人单次送货的每样货品重量不少于采购计划的要求。如因中标人因素导致当天送达的肉品不能满足采购人验收要求的，采购人有权退货并自行采购当天所需肉品，由此产生的所有费用由中标人承担。</w:t>
            </w:r>
          </w:p>
          <w:p w14:paraId="7CEFD5D3">
            <w:pPr>
              <w:shd w:val="clear" w:color="auto" w:fill="FFFFFF"/>
              <w:rPr>
                <w:rFonts w:ascii="宋体" w:hAnsi="宋体" w:eastAsia="宋体" w:cs="宋体"/>
                <w:sz w:val="24"/>
                <w:szCs w:val="24"/>
              </w:rPr>
            </w:pPr>
            <w:r>
              <w:rPr>
                <w:rFonts w:hint="eastAsia" w:ascii="宋体" w:hAnsi="宋体" w:eastAsia="宋体" w:cs="宋体"/>
                <w:sz w:val="24"/>
                <w:szCs w:val="24"/>
              </w:rPr>
              <w:t>2. 中标人接到采购人每批次订货信息后，上午的物资必须在次日早晨5:30前（下午的物资必须在次日13:30前）送达采购人指定地点；其它肉品及食杂用品按甲、乙双方约定的时间送达采购人指定地点。</w:t>
            </w:r>
          </w:p>
          <w:p w14:paraId="5AC1ADC2">
            <w:pPr>
              <w:shd w:val="clear" w:color="auto" w:fill="FFFFFF"/>
              <w:rPr>
                <w:rFonts w:ascii="宋体" w:hAnsi="宋体" w:eastAsia="宋体" w:cs="宋体"/>
                <w:sz w:val="24"/>
                <w:szCs w:val="24"/>
              </w:rPr>
            </w:pPr>
            <w:r>
              <w:rPr>
                <w:rFonts w:hint="eastAsia" w:ascii="宋体" w:hAnsi="宋体" w:eastAsia="宋体" w:cs="宋体"/>
                <w:sz w:val="24"/>
                <w:szCs w:val="24"/>
              </w:rPr>
              <w:t>3. 中标人必须严格按时、按质、按量将采购人所订购的肉品及食杂用品送至采购人指定地点： 广州机场16号大院广州中医药大学第一附属医院膳食管理科。经验收合格后再由采购人采购部门人员签收。</w:t>
            </w:r>
          </w:p>
          <w:p w14:paraId="125B53E8">
            <w:pPr>
              <w:shd w:val="clear" w:color="auto" w:fill="FFFFFF"/>
              <w:rPr>
                <w:rFonts w:ascii="宋体" w:hAnsi="宋体" w:eastAsia="宋体" w:cs="宋体"/>
                <w:sz w:val="24"/>
                <w:szCs w:val="24"/>
              </w:rPr>
            </w:pPr>
            <w:r>
              <w:rPr>
                <w:rFonts w:hint="eastAsia" w:ascii="宋体" w:hAnsi="宋体" w:eastAsia="宋体" w:cs="宋体"/>
                <w:sz w:val="24"/>
                <w:szCs w:val="24"/>
              </w:rPr>
              <w:t>4. 中标人在送货过程中所产生的运输费、装卸费及其它与之相关的一切费用由中标人承担。</w:t>
            </w:r>
          </w:p>
          <w:p w14:paraId="69AAB253">
            <w:pPr>
              <w:shd w:val="clear" w:color="auto" w:fill="FFFFFF"/>
              <w:rPr>
                <w:rFonts w:ascii="宋体" w:hAnsi="宋体" w:eastAsia="宋体" w:cs="宋体"/>
                <w:sz w:val="24"/>
                <w:szCs w:val="24"/>
              </w:rPr>
            </w:pPr>
            <w:r>
              <w:rPr>
                <w:rFonts w:hint="eastAsia" w:ascii="宋体" w:hAnsi="宋体" w:eastAsia="宋体" w:cs="宋体"/>
                <w:sz w:val="24"/>
                <w:szCs w:val="24"/>
              </w:rPr>
              <w:t>5. 包装要求：容器（框、箱、袋）要求清洁、干燥、牢固、透气，无污染、无异味、无霉变现象。不同类别产品按不同颜色容器分别盛装。</w:t>
            </w:r>
          </w:p>
          <w:p w14:paraId="1AFB1735">
            <w:pPr>
              <w:shd w:val="clear" w:color="auto" w:fill="FFFFFF"/>
              <w:rPr>
                <w:rFonts w:ascii="宋体" w:hAnsi="宋体" w:eastAsia="宋体" w:cs="宋体"/>
                <w:sz w:val="24"/>
                <w:szCs w:val="24"/>
              </w:rPr>
            </w:pPr>
            <w:r>
              <w:rPr>
                <w:rFonts w:hint="eastAsia" w:ascii="宋体" w:hAnsi="宋体" w:eastAsia="宋体" w:cs="宋体"/>
                <w:sz w:val="24"/>
                <w:szCs w:val="24"/>
              </w:rPr>
              <w:t>6.标识要求：如所供产品适用《食品标识管理规定》《农产品包装和标识管理办法》等有关标识监管要求（如有最新规定的，按照最新规定执行），则每件产品包装必须按有关规定印刷或加贴标签。所有包装产品必须标明产地、品种、净含量、生产单位及地址和生产/采收日期。</w:t>
            </w:r>
          </w:p>
          <w:p w14:paraId="780E6EB4">
            <w:pPr>
              <w:shd w:val="clear" w:color="auto" w:fill="FFFFFF"/>
              <w:rPr>
                <w:rFonts w:ascii="宋体" w:hAnsi="宋体" w:eastAsia="宋体" w:cs="宋体"/>
                <w:sz w:val="24"/>
                <w:szCs w:val="24"/>
              </w:rPr>
            </w:pPr>
            <w:r>
              <w:rPr>
                <w:rFonts w:hint="eastAsia" w:ascii="宋体" w:hAnsi="宋体" w:eastAsia="宋体" w:cs="宋体"/>
                <w:sz w:val="24"/>
                <w:szCs w:val="24"/>
              </w:rPr>
              <w:t>7.运输要求：运输工具应清洁卫生无污染。食品运输必须采用符合卫生标准的外包装和运载工具，并且要保持清洁和定期消毒。所有配送产品应分类包装好并做好密封措施，不能直接外露，防止交叉污染及环境污染。盛装工具必须保持洁净，无泥渍、污渍；盛装原材料的容器及包装必须符合食品级要求。运输车厢的内仓（包括地面、墙面及顶面）应使用抗腐蚀、防潮，易清洁消毒的材料。车厢内无不良气味、异味；运输途中严防日晒、雨淋，注意通风散热；产品堆放科学合理，避免造成食品的交叉污染；如对温度有要求的产品应确定产品适宜的储存温度，记录送货车辆温度，并记录存档。</w:t>
            </w:r>
          </w:p>
          <w:p w14:paraId="7A65EF27">
            <w:pPr>
              <w:shd w:val="clear" w:color="auto" w:fill="FFFFFF"/>
              <w:rPr>
                <w:rFonts w:ascii="宋体" w:hAnsi="宋体" w:eastAsia="宋体" w:cs="宋体"/>
                <w:sz w:val="24"/>
                <w:szCs w:val="24"/>
              </w:rPr>
            </w:pPr>
            <w:r>
              <w:rPr>
                <w:rFonts w:hint="eastAsia" w:ascii="宋体" w:hAnsi="宋体" w:eastAsia="宋体" w:cs="宋体"/>
                <w:sz w:val="24"/>
                <w:szCs w:val="24"/>
              </w:rPr>
              <w:t>8.数量要求：配送产品的具体需求量以实际供应前采购人发出的通知为准。中标人应保证配送产品数量的准确性，每次根据采购人通知的订购品种和数量配送，由采购人指定负责人验收过秤记录并以此验收的数量为准（标准差不大于2%）。不符合质量的产品采购人可退货或换货（由于产品质量问题而造成采购人就餐人员发生安全事故时，中标人须承担全部责任）。</w:t>
            </w:r>
          </w:p>
          <w:p w14:paraId="079CDBE9">
            <w:pPr>
              <w:shd w:val="clear" w:color="auto" w:fill="FFFFFF"/>
              <w:rPr>
                <w:rFonts w:ascii="宋体" w:hAnsi="宋体" w:eastAsia="宋体" w:cs="宋体"/>
                <w:sz w:val="24"/>
                <w:szCs w:val="24"/>
              </w:rPr>
            </w:pPr>
            <w:r>
              <w:rPr>
                <w:rFonts w:hint="eastAsia" w:ascii="宋体" w:hAnsi="宋体" w:eastAsia="宋体" w:cs="宋体"/>
                <w:sz w:val="24"/>
                <w:szCs w:val="24"/>
              </w:rPr>
              <w:t>9.售后服务</w:t>
            </w:r>
          </w:p>
          <w:p w14:paraId="104E7C3C">
            <w:pPr>
              <w:shd w:val="clear" w:color="auto" w:fill="FFFFFF"/>
              <w:rPr>
                <w:rFonts w:ascii="宋体" w:hAnsi="宋体" w:eastAsia="宋体" w:cs="宋体"/>
                <w:sz w:val="24"/>
                <w:szCs w:val="24"/>
              </w:rPr>
            </w:pPr>
            <w:r>
              <w:rPr>
                <w:rFonts w:hint="eastAsia" w:ascii="宋体" w:hAnsi="宋体" w:eastAsia="宋体" w:cs="宋体"/>
                <w:sz w:val="24"/>
                <w:szCs w:val="24"/>
              </w:rPr>
              <w:t>1）中标人需指派至少1名人员在采购人指定地点提供简单粗加工服务，如切肉、砍骨等。</w:t>
            </w:r>
          </w:p>
          <w:p w14:paraId="19ABA9F2">
            <w:pPr>
              <w:shd w:val="clear" w:color="auto" w:fill="FFFFFF"/>
              <w:rPr>
                <w:rFonts w:ascii="宋体" w:hAnsi="宋体" w:eastAsia="宋体" w:cs="宋体"/>
                <w:sz w:val="24"/>
                <w:szCs w:val="24"/>
              </w:rPr>
            </w:pPr>
            <w:r>
              <w:rPr>
                <w:rFonts w:hint="eastAsia" w:ascii="宋体" w:hAnsi="宋体" w:eastAsia="宋体" w:cs="宋体"/>
                <w:sz w:val="24"/>
                <w:szCs w:val="24"/>
              </w:rPr>
              <w:t>2）中标人需安排至少1名专职人员负责售后服务跟进具体的货物采购工作，及时与科室、采购员、仓库管理员进行沟通和反馈，如退换物品、临时采购等。</w:t>
            </w:r>
          </w:p>
          <w:p w14:paraId="4B717E75">
            <w:pPr>
              <w:shd w:val="clear" w:color="auto" w:fill="FFFFFF"/>
              <w:rPr>
                <w:rFonts w:ascii="宋体" w:hAnsi="宋体" w:eastAsia="宋体" w:cs="宋体"/>
                <w:sz w:val="24"/>
                <w:szCs w:val="24"/>
              </w:rPr>
            </w:pPr>
            <w:r>
              <w:rPr>
                <w:rFonts w:hint="eastAsia" w:ascii="宋体" w:hAnsi="宋体" w:eastAsia="宋体" w:cs="宋体"/>
                <w:sz w:val="24"/>
                <w:szCs w:val="24"/>
              </w:rPr>
              <w:t>10.补货流程</w:t>
            </w:r>
          </w:p>
          <w:p w14:paraId="2D7930EE">
            <w:pPr>
              <w:ind w:firstLine="16"/>
              <w:outlineLvl w:val="2"/>
              <w:rPr>
                <w:rFonts w:ascii="宋体" w:hAnsi="宋体" w:eastAsia="宋体" w:cs="宋体"/>
                <w:sz w:val="24"/>
                <w:szCs w:val="24"/>
              </w:rPr>
            </w:pPr>
            <w:r>
              <w:rPr>
                <w:rFonts w:hint="eastAsia" w:ascii="宋体" w:hAnsi="宋体" w:eastAsia="宋体" w:cs="宋体"/>
                <w:sz w:val="24"/>
                <w:szCs w:val="24"/>
              </w:rPr>
              <w:t>对不符合质量要求的货物由采购人使用部门验收人员提出退货，对数量不足或部分退货的，中标人以不影响采购人正常餐饮工作为前提在1个小时内完成补送。</w:t>
            </w:r>
          </w:p>
          <w:p w14:paraId="30F2072E">
            <w:pPr>
              <w:shd w:val="clear" w:color="auto" w:fill="FFFFFF"/>
              <w:rPr>
                <w:rFonts w:ascii="宋体" w:hAnsi="宋体" w:eastAsia="宋体" w:cs="宋体"/>
                <w:sz w:val="24"/>
                <w:szCs w:val="24"/>
              </w:rPr>
            </w:pPr>
            <w:r>
              <w:rPr>
                <w:rFonts w:hint="eastAsia" w:ascii="宋体" w:hAnsi="宋体" w:eastAsia="宋体" w:cs="宋体"/>
                <w:sz w:val="24"/>
                <w:szCs w:val="24"/>
              </w:rPr>
              <w:t>四、报价及结算要求：</w:t>
            </w:r>
          </w:p>
          <w:p w14:paraId="4E5DAEFB">
            <w:pPr>
              <w:tabs>
                <w:tab w:val="left" w:pos="567"/>
              </w:tabs>
              <w:ind w:left="4"/>
              <w:rPr>
                <w:rFonts w:ascii="宋体" w:hAnsi="宋体" w:eastAsia="宋体" w:cs="宋体"/>
                <w:sz w:val="24"/>
              </w:rPr>
            </w:pPr>
            <w:r>
              <w:rPr>
                <w:rFonts w:hint="eastAsia" w:ascii="宋体" w:hAnsi="宋体" w:eastAsia="宋体" w:cs="宋体"/>
                <w:sz w:val="24"/>
              </w:rPr>
              <w:t>（一）采购人本项目所采购的各类肉品配送服务价格以广州菜篮子报价官网的</w:t>
            </w:r>
            <w:r>
              <w:rPr>
                <w:rFonts w:hint="eastAsia" w:ascii="宋体" w:hAnsi="宋体" w:eastAsia="宋体" w:cs="宋体"/>
                <w:spacing w:val="3"/>
                <w:sz w:val="24"/>
                <w:szCs w:val="24"/>
              </w:rPr>
              <w:t>全市、城区、周边城区平均零售价的最低者</w:t>
            </w:r>
            <w:r>
              <w:rPr>
                <w:rFonts w:hint="eastAsia" w:ascii="宋体" w:hAnsi="宋体" w:eastAsia="宋体" w:cs="宋体"/>
                <w:sz w:val="24"/>
              </w:rPr>
              <w:t>为“基准价格”（如果上述网站没有相关肉品价格以及针对食杂类货品，将采用线上平台（如朴朴超市、美团买菜、京东到家、每日优鲜、叮咚买菜、天猫超市等）和线下平台（以送货地址为中心5公里内的大型超市和农贸市场）相结合的调查方式，对线上和线下周边其他市场同等级产品的货物价格进行比较确定，随机抽取同类产品的零售最低价作为该产品定价的基准价格。如调研当天食材肉品以及食杂类货品价格浮动超过20%，则需重新核定基准价格，再以中标折扣率×基准价格作为结算单价。</w:t>
            </w:r>
          </w:p>
          <w:p w14:paraId="7F5F8D62">
            <w:pPr>
              <w:tabs>
                <w:tab w:val="left" w:pos="567"/>
              </w:tabs>
              <w:ind w:left="4"/>
              <w:rPr>
                <w:rFonts w:ascii="宋体" w:hAnsi="宋体" w:eastAsia="宋体" w:cs="宋体"/>
                <w:sz w:val="24"/>
              </w:rPr>
            </w:pPr>
            <w:r>
              <w:rPr>
                <w:rFonts w:hint="eastAsia" w:ascii="宋体" w:hAnsi="宋体" w:eastAsia="宋体" w:cs="宋体"/>
                <w:sz w:val="24"/>
              </w:rPr>
              <w:t>（二）结算总价=∑各类肉品或食杂的基准价格×投标人承诺折扣率×各类肉品或食杂的实际采购量-扣罚金额（如有）</w:t>
            </w:r>
          </w:p>
          <w:p w14:paraId="36252502">
            <w:pPr>
              <w:tabs>
                <w:tab w:val="left" w:pos="567"/>
              </w:tabs>
              <w:ind w:left="4"/>
              <w:rPr>
                <w:rFonts w:ascii="宋体" w:hAnsi="宋体" w:eastAsia="宋体" w:cs="宋体"/>
                <w:sz w:val="24"/>
              </w:rPr>
            </w:pPr>
            <w:r>
              <w:rPr>
                <w:rFonts w:hint="eastAsia" w:ascii="宋体" w:hAnsi="宋体" w:eastAsia="宋体" w:cs="宋体"/>
                <w:sz w:val="24"/>
              </w:rPr>
              <w:t>每月的最后一周投标人与采购人根据市场价格波动情况，协商调整一次合同清单外各类肉品或食杂的“基准价格”。价格调整后，一个月内不管市场价格如何波动必须保持价格恒定。</w:t>
            </w:r>
          </w:p>
          <w:p w14:paraId="3E1EC743">
            <w:pPr>
              <w:tabs>
                <w:tab w:val="left" w:pos="567"/>
              </w:tabs>
              <w:ind w:left="4"/>
              <w:rPr>
                <w:rFonts w:ascii="宋体" w:hAnsi="宋体" w:eastAsia="宋体" w:cs="宋体"/>
                <w:sz w:val="24"/>
              </w:rPr>
            </w:pPr>
            <w:r>
              <w:rPr>
                <w:rFonts w:hint="eastAsia" w:ascii="宋体" w:hAnsi="宋体" w:eastAsia="宋体" w:cs="宋体"/>
                <w:sz w:val="24"/>
              </w:rPr>
              <w:t>投标人在投标时的价格折扣率，在履行合同的过程中不得更改。</w:t>
            </w:r>
          </w:p>
          <w:p w14:paraId="455C9660">
            <w:pPr>
              <w:tabs>
                <w:tab w:val="left" w:pos="567"/>
              </w:tabs>
              <w:ind w:left="4"/>
              <w:rPr>
                <w:rFonts w:ascii="宋体" w:hAnsi="宋体" w:eastAsia="宋体" w:cs="宋体"/>
                <w:sz w:val="24"/>
              </w:rPr>
            </w:pPr>
            <w:r>
              <w:rPr>
                <w:rFonts w:hint="eastAsia" w:ascii="宋体" w:hAnsi="宋体" w:eastAsia="宋体" w:cs="宋体"/>
                <w:sz w:val="24"/>
              </w:rPr>
              <w:t>（1）采购人通过转账支票/网银向中标人付款。采购人向中标人进行支票转账/网银付款前，中标人必须出具广东省相关机构认可的统一正式发票，发票抬头“广州中医药大学第一附属医院”。发票必须加盖中标人财务专用章，支票/网银转账时收款单位必须是中标人。</w:t>
            </w:r>
          </w:p>
          <w:p w14:paraId="46FACE54">
            <w:pPr>
              <w:tabs>
                <w:tab w:val="left" w:pos="567"/>
              </w:tabs>
              <w:ind w:left="4"/>
              <w:rPr>
                <w:rFonts w:ascii="宋体" w:hAnsi="宋体" w:eastAsia="宋体" w:cs="宋体"/>
                <w:sz w:val="24"/>
              </w:rPr>
            </w:pPr>
            <w:r>
              <w:rPr>
                <w:rFonts w:hint="eastAsia" w:ascii="宋体" w:hAnsi="宋体" w:eastAsia="宋体" w:cs="宋体"/>
                <w:sz w:val="24"/>
              </w:rPr>
              <w:t>（2）中标人按照每月实际采购量交采购人管理部门签字确认，并按照中标折扣率以及对应定价周期内采购人签发的基准价格进行</w:t>
            </w:r>
            <w:r>
              <w:rPr>
                <w:rFonts w:hint="eastAsia" w:ascii="宋体" w:hAnsi="宋体" w:eastAsia="宋体" w:cs="宋体"/>
                <w:sz w:val="24"/>
                <w:lang w:val="en-US" w:eastAsia="zh-CN"/>
              </w:rPr>
              <w:t>核算</w:t>
            </w:r>
            <w:r>
              <w:rPr>
                <w:rFonts w:hint="eastAsia" w:ascii="宋体" w:hAnsi="宋体" w:eastAsia="宋体" w:cs="宋体"/>
                <w:sz w:val="24"/>
              </w:rPr>
              <w:t>。若中标人提供的货品未达到质量标准，采购人有权拒绝向中标人支付货款，直到解决争议为止。</w:t>
            </w:r>
          </w:p>
          <w:p w14:paraId="3E673252">
            <w:pPr>
              <w:tabs>
                <w:tab w:val="left" w:pos="567"/>
              </w:tabs>
              <w:ind w:left="4"/>
              <w:rPr>
                <w:rFonts w:ascii="宋体" w:hAnsi="宋体" w:eastAsia="宋体" w:cs="宋体"/>
                <w:sz w:val="24"/>
              </w:rPr>
            </w:pPr>
            <w:r>
              <w:rPr>
                <w:rFonts w:hint="eastAsia" w:ascii="宋体" w:hAnsi="宋体" w:eastAsia="宋体" w:cs="宋体"/>
                <w:sz w:val="24"/>
              </w:rPr>
              <w:t>（</w:t>
            </w:r>
            <w:r>
              <w:rPr>
                <w:rFonts w:hint="eastAsia" w:ascii="宋体" w:hAnsi="宋体" w:eastAsia="宋体" w:cs="宋体"/>
                <w:sz w:val="24"/>
                <w:lang w:val="en-US" w:eastAsia="zh-CN"/>
              </w:rPr>
              <w:t>3</w:t>
            </w:r>
            <w:r>
              <w:rPr>
                <w:rFonts w:hint="eastAsia" w:ascii="宋体" w:hAnsi="宋体" w:eastAsia="宋体" w:cs="宋体"/>
                <w:sz w:val="24"/>
              </w:rPr>
              <w:t>）采购人在货物验收入库三个月后支付货款给中标人。</w:t>
            </w:r>
            <w:r>
              <w:rPr>
                <w:rFonts w:hint="eastAsia" w:ascii="宋体" w:hAnsi="宋体" w:eastAsia="宋体" w:cs="宋体"/>
                <w:color w:val="auto"/>
                <w:sz w:val="24"/>
                <w:szCs w:val="24"/>
              </w:rPr>
              <w:t>（如法规有相关规定的，从其规定）</w:t>
            </w:r>
          </w:p>
          <w:p w14:paraId="6A4D56FE">
            <w:pPr>
              <w:tabs>
                <w:tab w:val="left" w:pos="567"/>
              </w:tabs>
              <w:ind w:left="4"/>
              <w:rPr>
                <w:rFonts w:ascii="宋体" w:hAnsi="宋体" w:eastAsia="宋体" w:cs="宋体"/>
                <w:sz w:val="24"/>
              </w:rPr>
            </w:pPr>
            <w:r>
              <w:rPr>
                <w:rFonts w:hint="eastAsia" w:ascii="宋体" w:hAnsi="宋体" w:eastAsia="宋体" w:cs="宋体"/>
                <w:sz w:val="24"/>
                <w:highlight w:val="none"/>
              </w:rPr>
              <w:t>（</w:t>
            </w:r>
            <w:r>
              <w:rPr>
                <w:rFonts w:hint="eastAsia" w:ascii="宋体" w:hAnsi="宋体" w:eastAsia="宋体" w:cs="宋体"/>
                <w:sz w:val="24"/>
                <w:highlight w:val="none"/>
                <w:lang w:val="en-US" w:eastAsia="zh-CN"/>
              </w:rPr>
              <w:t>4</w:t>
            </w:r>
            <w:r>
              <w:rPr>
                <w:rFonts w:hint="eastAsia" w:ascii="宋体" w:hAnsi="宋体" w:eastAsia="宋体" w:cs="宋体"/>
                <w:sz w:val="24"/>
                <w:highlight w:val="none"/>
              </w:rPr>
              <w:t>）因中标人原因，未能在次月15日（节假日顺延）前完成上</w:t>
            </w:r>
            <w:r>
              <w:rPr>
                <w:rFonts w:hint="eastAsia" w:ascii="宋体" w:hAnsi="宋体" w:eastAsia="宋体" w:cs="宋体"/>
                <w:sz w:val="24"/>
              </w:rPr>
              <w:t>月货款核对工作，对采购人结账工作进度造成影响，采购人有权对</w:t>
            </w:r>
            <w:r>
              <w:rPr>
                <w:rFonts w:hint="eastAsia" w:ascii="宋体" w:hAnsi="宋体" w:eastAsia="宋体" w:cs="宋体"/>
                <w:sz w:val="24"/>
                <w:lang w:val="en-US" w:eastAsia="zh-CN"/>
              </w:rPr>
              <w:t>中标人</w:t>
            </w:r>
            <w:r>
              <w:rPr>
                <w:rFonts w:hint="eastAsia" w:ascii="宋体" w:hAnsi="宋体" w:eastAsia="宋体" w:cs="宋体"/>
                <w:sz w:val="24"/>
              </w:rPr>
              <w:t>进行包括采取延后付款、扣除履约保证金等处罚。</w:t>
            </w:r>
          </w:p>
          <w:p w14:paraId="3036C4C7">
            <w:pPr>
              <w:tabs>
                <w:tab w:val="left" w:pos="567"/>
              </w:tabs>
              <w:ind w:left="4"/>
              <w:rPr>
                <w:rFonts w:ascii="宋体" w:hAnsi="宋体" w:eastAsia="宋体" w:cs="宋体"/>
                <w:sz w:val="24"/>
              </w:rPr>
            </w:pPr>
            <w:r>
              <w:rPr>
                <w:rFonts w:hint="eastAsia" w:ascii="宋体" w:hAnsi="宋体" w:eastAsia="宋体" w:cs="宋体"/>
                <w:sz w:val="24"/>
              </w:rPr>
              <w:t>（三）报价要求：</w:t>
            </w:r>
          </w:p>
          <w:p w14:paraId="4DE57919">
            <w:pPr>
              <w:tabs>
                <w:tab w:val="left" w:pos="567"/>
              </w:tabs>
              <w:ind w:left="4"/>
              <w:rPr>
                <w:rFonts w:ascii="宋体" w:hAnsi="宋体" w:eastAsia="宋体" w:cs="宋体"/>
                <w:sz w:val="24"/>
              </w:rPr>
            </w:pPr>
            <w:r>
              <w:rPr>
                <w:rFonts w:hint="eastAsia" w:ascii="宋体" w:hAnsi="宋体" w:eastAsia="宋体" w:cs="宋体"/>
                <w:sz w:val="24"/>
              </w:rPr>
              <w:t>1.投标人根据采购需求中对各类货物的要求，在基准价的基础上报出统一的折扣率，折扣率不得高于100%，也没有为负数或零，且是固定唯一值，结算单价=基准价×中标折扣率。报价包含履行项目全部工作所需的一切费用和税金。</w:t>
            </w:r>
          </w:p>
          <w:p w14:paraId="2B6D80CB">
            <w:pPr>
              <w:tabs>
                <w:tab w:val="left" w:pos="567"/>
              </w:tabs>
              <w:ind w:left="4"/>
              <w:rPr>
                <w:rFonts w:ascii="宋体" w:hAnsi="宋体" w:eastAsia="宋体" w:cs="宋体"/>
                <w:sz w:val="24"/>
              </w:rPr>
            </w:pPr>
            <w:r>
              <w:rPr>
                <w:rFonts w:hint="eastAsia" w:ascii="宋体" w:hAnsi="宋体" w:eastAsia="宋体" w:cs="宋体"/>
                <w:sz w:val="24"/>
              </w:rPr>
              <w:t>2.折扣率必须为固定、唯一报价，不接受区间报价。例如，某货物的基准价为100元，投标人的投标折扣率为80%，则实际供货价为100×80%=80元。</w:t>
            </w:r>
          </w:p>
          <w:p w14:paraId="68247D08">
            <w:pPr>
              <w:shd w:val="clear" w:color="auto" w:fill="FFFFFF"/>
              <w:rPr>
                <w:rFonts w:ascii="宋体" w:hAnsi="宋体" w:eastAsia="宋体" w:cs="宋体"/>
                <w:sz w:val="24"/>
                <w:szCs w:val="24"/>
              </w:rPr>
            </w:pPr>
            <w:r>
              <w:rPr>
                <w:rFonts w:hint="eastAsia" w:ascii="宋体" w:hAnsi="宋体" w:eastAsia="宋体" w:cs="宋体"/>
                <w:sz w:val="24"/>
                <w:szCs w:val="24"/>
              </w:rPr>
              <w:t>五、售后服务要求及其他相关要求：</w:t>
            </w:r>
          </w:p>
          <w:p w14:paraId="37C9EE43">
            <w:pPr>
              <w:tabs>
                <w:tab w:val="left" w:pos="567"/>
              </w:tabs>
              <w:ind w:left="4"/>
              <w:rPr>
                <w:rFonts w:ascii="宋体" w:hAnsi="宋体" w:eastAsia="宋体" w:cs="宋体"/>
                <w:sz w:val="24"/>
              </w:rPr>
            </w:pPr>
            <w:r>
              <w:rPr>
                <w:rFonts w:hint="eastAsia" w:ascii="宋体" w:hAnsi="宋体" w:eastAsia="宋体" w:cs="宋体"/>
                <w:sz w:val="24"/>
              </w:rPr>
              <w:t>▲（</w:t>
            </w:r>
            <w:r>
              <w:rPr>
                <w:rFonts w:hint="eastAsia" w:ascii="宋体" w:hAnsi="宋体" w:eastAsia="宋体" w:cs="宋体"/>
                <w:sz w:val="24"/>
                <w:lang w:val="en-US" w:eastAsia="zh-CN"/>
              </w:rPr>
              <w:t>一</w:t>
            </w:r>
            <w:r>
              <w:rPr>
                <w:rFonts w:hint="eastAsia" w:ascii="宋体" w:hAnsi="宋体" w:eastAsia="宋体" w:cs="宋体"/>
                <w:sz w:val="24"/>
              </w:rPr>
              <w:t>）针对采购人的临时紧急配送要求，投标人应在收到采购人紧急通知后0.5小时内响应，并于1小时内将应急肉品送达采购人指定地点。</w:t>
            </w:r>
            <w:r>
              <w:rPr>
                <w:rFonts w:hint="eastAsia" w:ascii="宋体" w:hAnsi="宋体" w:eastAsia="宋体" w:cs="宋体"/>
                <w:b/>
                <w:bCs/>
                <w:sz w:val="24"/>
              </w:rPr>
              <w:t>（投标文件中提供承诺函，格式自拟）</w:t>
            </w:r>
          </w:p>
          <w:p w14:paraId="450F303C">
            <w:pPr>
              <w:tabs>
                <w:tab w:val="left" w:pos="567"/>
              </w:tabs>
              <w:ind w:left="4"/>
              <w:rPr>
                <w:rFonts w:ascii="宋体" w:hAnsi="宋体" w:eastAsia="宋体" w:cs="宋体"/>
                <w:sz w:val="24"/>
                <w:highlight w:val="none"/>
              </w:rPr>
            </w:pPr>
            <w:r>
              <w:rPr>
                <w:rFonts w:hint="eastAsia" w:ascii="宋体" w:hAnsi="宋体" w:eastAsia="宋体" w:cs="宋体"/>
                <w:sz w:val="24"/>
                <w:highlight w:val="none"/>
              </w:rPr>
              <w:t>（</w:t>
            </w:r>
            <w:r>
              <w:rPr>
                <w:rFonts w:hint="eastAsia" w:ascii="宋体" w:hAnsi="宋体" w:eastAsia="宋体" w:cs="宋体"/>
                <w:sz w:val="24"/>
                <w:highlight w:val="none"/>
                <w:lang w:val="en-US" w:eastAsia="zh-CN"/>
              </w:rPr>
              <w:t>二</w:t>
            </w:r>
            <w:r>
              <w:rPr>
                <w:rFonts w:hint="eastAsia" w:ascii="宋体" w:hAnsi="宋体" w:eastAsia="宋体" w:cs="宋体"/>
                <w:sz w:val="24"/>
                <w:highlight w:val="none"/>
              </w:rPr>
              <w:t>）投标人需为本项目提供其他相关服务人员，投标人为本项目投入的服务人员应对食品类知识具有相应的了解和专业性，</w:t>
            </w:r>
            <w:r>
              <w:rPr>
                <w:rFonts w:hint="eastAsia" w:ascii="宋体" w:hAnsi="宋体" w:eastAsia="宋体" w:cs="宋体"/>
                <w:sz w:val="24"/>
                <w:highlight w:val="none"/>
                <w:lang w:val="en-US" w:eastAsia="zh-CN"/>
              </w:rPr>
              <w:t>拟投入的食品安全人员至少2名且应</w:t>
            </w:r>
            <w:r>
              <w:rPr>
                <w:rFonts w:hint="eastAsia" w:ascii="宋体" w:hAnsi="宋体" w:eastAsia="宋体" w:cs="宋体"/>
                <w:sz w:val="24"/>
                <w:highlight w:val="none"/>
              </w:rPr>
              <w:t>具备相关的食品安全管理经验（</w:t>
            </w:r>
            <w:r>
              <w:rPr>
                <w:rFonts w:hint="eastAsia" w:ascii="宋体" w:hAnsi="宋体" w:eastAsia="宋体" w:cs="宋体"/>
                <w:sz w:val="24"/>
                <w:highlight w:val="none"/>
                <w:lang w:val="en-US" w:eastAsia="zh-CN"/>
              </w:rPr>
              <w:t>食品安全管理经验</w:t>
            </w:r>
            <w:r>
              <w:rPr>
                <w:rFonts w:hint="eastAsia" w:ascii="宋体" w:hAnsi="宋体" w:eastAsia="宋体" w:cs="宋体"/>
                <w:sz w:val="24"/>
                <w:highlight w:val="none"/>
              </w:rPr>
              <w:t>包括但不限于通过企业任命书、聘书、印发文件等形式任命其为食品安全管理人员或食品安全员证书</w:t>
            </w:r>
            <w:r>
              <w:rPr>
                <w:rFonts w:hint="eastAsia" w:ascii="宋体" w:hAnsi="宋体" w:eastAsia="宋体" w:cs="宋体"/>
                <w:sz w:val="24"/>
                <w:highlight w:val="none"/>
                <w:lang w:eastAsia="zh-CN"/>
              </w:rPr>
              <w:t>。</w:t>
            </w:r>
            <w:r>
              <w:rPr>
                <w:rFonts w:hint="eastAsia" w:ascii="宋体" w:hAnsi="宋体" w:eastAsia="宋体" w:cs="宋体"/>
                <w:sz w:val="24"/>
                <w:highlight w:val="none"/>
              </w:rPr>
              <w:t>同时为了保障项目履约期间的肉品检验工作，服务人员中需具有专业的检验员，</w:t>
            </w:r>
            <w:r>
              <w:rPr>
                <w:rFonts w:hint="eastAsia" w:ascii="宋体" w:hAnsi="宋体" w:eastAsia="宋体" w:cs="宋体"/>
                <w:sz w:val="24"/>
                <w:highlight w:val="none"/>
                <w:lang w:val="en-US" w:eastAsia="zh-CN"/>
              </w:rPr>
              <w:t>拟投入的检验员应</w:t>
            </w:r>
            <w:r>
              <w:rPr>
                <w:rFonts w:hint="eastAsia" w:ascii="宋体" w:hAnsi="宋体" w:eastAsia="宋体" w:cs="宋体"/>
                <w:sz w:val="24"/>
                <w:highlight w:val="none"/>
              </w:rPr>
              <w:t>具备相关的</w:t>
            </w:r>
            <w:r>
              <w:rPr>
                <w:rFonts w:hint="eastAsia" w:ascii="宋体" w:hAnsi="宋体" w:eastAsia="宋体" w:cs="宋体"/>
                <w:sz w:val="24"/>
                <w:highlight w:val="none"/>
                <w:lang w:val="en-US" w:eastAsia="zh-CN"/>
              </w:rPr>
              <w:t>检验</w:t>
            </w:r>
            <w:r>
              <w:rPr>
                <w:rFonts w:hint="eastAsia" w:ascii="宋体" w:hAnsi="宋体" w:eastAsia="宋体" w:cs="宋体"/>
                <w:sz w:val="24"/>
                <w:highlight w:val="none"/>
              </w:rPr>
              <w:t>经验（</w:t>
            </w:r>
            <w:r>
              <w:rPr>
                <w:rFonts w:hint="eastAsia" w:ascii="宋体" w:hAnsi="宋体" w:eastAsia="宋体" w:cs="宋体"/>
                <w:sz w:val="24"/>
                <w:highlight w:val="none"/>
                <w:lang w:val="en-US" w:eastAsia="zh-CN"/>
              </w:rPr>
              <w:t>检验经验</w:t>
            </w:r>
            <w:r>
              <w:rPr>
                <w:rFonts w:hint="eastAsia" w:ascii="宋体" w:hAnsi="宋体" w:eastAsia="宋体" w:cs="宋体"/>
                <w:sz w:val="24"/>
                <w:highlight w:val="none"/>
              </w:rPr>
              <w:t>包括但不限于通过企业任命书、聘书、印发文件等形式任命其为</w:t>
            </w:r>
            <w:r>
              <w:rPr>
                <w:rFonts w:hint="eastAsia" w:ascii="宋体" w:hAnsi="宋体" w:eastAsia="宋体" w:cs="宋体"/>
                <w:sz w:val="24"/>
                <w:highlight w:val="none"/>
                <w:lang w:val="en-US" w:eastAsia="zh-CN"/>
              </w:rPr>
              <w:t>检验</w:t>
            </w:r>
            <w:r>
              <w:rPr>
                <w:rFonts w:hint="eastAsia" w:ascii="宋体" w:hAnsi="宋体" w:eastAsia="宋体" w:cs="宋体"/>
                <w:sz w:val="24"/>
                <w:highlight w:val="none"/>
              </w:rPr>
              <w:t>人员或农产品食品检验员证书，本项目服务人员需配合采购人食堂相关工作，如协助菜谱制定、肉品加工等，</w:t>
            </w:r>
            <w:r>
              <w:rPr>
                <w:rFonts w:hint="eastAsia" w:ascii="宋体" w:hAnsi="宋体" w:eastAsia="宋体" w:cs="宋体"/>
                <w:sz w:val="24"/>
                <w:highlight w:val="none"/>
                <w:lang w:val="en-US" w:eastAsia="zh-CN"/>
              </w:rPr>
              <w:t>拟投入的人员应</w:t>
            </w:r>
            <w:r>
              <w:rPr>
                <w:rFonts w:hint="eastAsia" w:ascii="宋体" w:hAnsi="宋体" w:eastAsia="宋体" w:cs="宋体"/>
                <w:sz w:val="24"/>
                <w:highlight w:val="none"/>
              </w:rPr>
              <w:t>具备相关的食品</w:t>
            </w:r>
            <w:r>
              <w:rPr>
                <w:rFonts w:hint="eastAsia" w:ascii="宋体" w:hAnsi="宋体" w:eastAsia="宋体" w:cs="宋体"/>
                <w:sz w:val="24"/>
                <w:highlight w:val="none"/>
                <w:lang w:val="en-US" w:eastAsia="zh-CN"/>
              </w:rPr>
              <w:t>营养知识</w:t>
            </w:r>
            <w:r>
              <w:rPr>
                <w:rFonts w:hint="eastAsia" w:ascii="宋体" w:hAnsi="宋体" w:eastAsia="宋体" w:cs="宋体"/>
                <w:sz w:val="24"/>
                <w:highlight w:val="none"/>
              </w:rPr>
              <w:t>（食品</w:t>
            </w:r>
            <w:r>
              <w:rPr>
                <w:rFonts w:hint="eastAsia" w:ascii="宋体" w:hAnsi="宋体" w:eastAsia="宋体" w:cs="宋体"/>
                <w:sz w:val="24"/>
                <w:highlight w:val="none"/>
                <w:lang w:val="en-US" w:eastAsia="zh-CN"/>
              </w:rPr>
              <w:t>营养知识</w:t>
            </w:r>
            <w:r>
              <w:rPr>
                <w:rFonts w:hint="eastAsia" w:ascii="宋体" w:hAnsi="宋体" w:eastAsia="宋体" w:cs="宋体"/>
                <w:sz w:val="24"/>
                <w:highlight w:val="none"/>
              </w:rPr>
              <w:t>包括但不限于通过企业任命书、聘书、印发文件等形式任命其为食品</w:t>
            </w:r>
            <w:r>
              <w:rPr>
                <w:rFonts w:hint="eastAsia" w:ascii="宋体" w:hAnsi="宋体" w:eastAsia="宋体" w:cs="宋体"/>
                <w:sz w:val="24"/>
                <w:highlight w:val="none"/>
                <w:lang w:val="en-US" w:eastAsia="zh-CN"/>
              </w:rPr>
              <w:t>营养管理</w:t>
            </w:r>
            <w:r>
              <w:rPr>
                <w:rFonts w:hint="eastAsia" w:ascii="宋体" w:hAnsi="宋体" w:eastAsia="宋体" w:cs="宋体"/>
                <w:sz w:val="24"/>
                <w:highlight w:val="none"/>
              </w:rPr>
              <w:t>人员或公共营养师证书。</w:t>
            </w:r>
          </w:p>
          <w:p w14:paraId="61FF83CC">
            <w:pPr>
              <w:rPr>
                <w:rFonts w:ascii="宋体" w:hAnsi="宋体" w:eastAsia="宋体" w:cs="宋体"/>
                <w:sz w:val="24"/>
                <w:highlight w:val="none"/>
              </w:rPr>
            </w:pPr>
            <w:r>
              <w:rPr>
                <w:rFonts w:hint="eastAsia" w:ascii="宋体" w:hAnsi="宋体" w:eastAsia="宋体" w:cs="宋体"/>
                <w:sz w:val="24"/>
                <w:highlight w:val="none"/>
              </w:rPr>
              <w:t>（五）信息化管理要求：为实现投标人所供肉品的来源可追溯、流向可追踪、风险可预警、产品可召回、责任可追究、提升产品质量安全管理水平，提高服务过程中的信息化管理和服务透明度水平。投标人须具备相关信息化管理工具，投标人的信息化管理需满足以下要求：至少具备生鲜配送保鲜及冷链温湿度监测预警管理功能、肉品自助电子下单功能、肉品安全检测数据查阅调阅功能、肉品出入库管理功能、食品安全质量溯源功能。</w:t>
            </w:r>
          </w:p>
          <w:p w14:paraId="539D50F3">
            <w:pPr>
              <w:rPr>
                <w:rFonts w:ascii="宋体" w:hAnsi="宋体" w:eastAsia="宋体" w:cs="宋体"/>
                <w:sz w:val="24"/>
                <w:highlight w:val="none"/>
              </w:rPr>
            </w:pPr>
            <w:r>
              <w:rPr>
                <w:rFonts w:hint="eastAsia" w:ascii="宋体" w:hAnsi="宋体" w:eastAsia="宋体" w:cs="宋体"/>
                <w:sz w:val="24"/>
                <w:highlight w:val="none"/>
              </w:rPr>
              <w:t>（六）投标人应具备常态化食品检测的能力，应自有或租赁实验室或与第三方检测机构具有合作关系，能为项目食品进行安全检测的，所配置的检测仪器至少具有瘦肉精检测功能、微生物检测功能、重金属检测功能</w:t>
            </w:r>
            <w:r>
              <w:rPr>
                <w:rFonts w:hint="eastAsia" w:ascii="宋体" w:hAnsi="宋体" w:eastAsia="宋体" w:cs="宋体"/>
                <w:sz w:val="24"/>
                <w:szCs w:val="24"/>
                <w:highlight w:val="none"/>
              </w:rPr>
              <w:t>、肉类水分测定功能、肉类兽药物残留检测功能</w:t>
            </w:r>
            <w:r>
              <w:rPr>
                <w:rFonts w:hint="eastAsia" w:ascii="宋体" w:hAnsi="宋体" w:eastAsia="宋体" w:cs="宋体"/>
                <w:b w:val="0"/>
                <w:bCs w:val="0"/>
                <w:sz w:val="24"/>
                <w:szCs w:val="24"/>
                <w:highlight w:val="none"/>
              </w:rPr>
              <w:t>、</w:t>
            </w:r>
            <w:r>
              <w:rPr>
                <w:rFonts w:hint="eastAsia" w:ascii="宋体" w:eastAsia="宋体" w:cs="宋体"/>
                <w:b w:val="0"/>
                <w:bCs w:val="0"/>
                <w:sz w:val="24"/>
                <w:szCs w:val="24"/>
                <w:highlight w:val="none"/>
              </w:rPr>
              <w:t>多功能食品安全检测功能。</w:t>
            </w:r>
          </w:p>
          <w:p w14:paraId="7CCF0623">
            <w:pPr>
              <w:rPr>
                <w:rFonts w:ascii="宋体" w:hAnsi="宋体" w:eastAsia="宋体" w:cs="宋体"/>
                <w:sz w:val="24"/>
              </w:rPr>
            </w:pPr>
            <w:r>
              <w:rPr>
                <w:rFonts w:hint="eastAsia" w:ascii="宋体" w:hAnsi="宋体" w:eastAsia="宋体" w:cs="宋体"/>
                <w:sz w:val="24"/>
              </w:rPr>
              <w:t>（七）中标人应按照食品经营管理规范的相关规定建立健全质量管理体系，在食品采购、验收、贮存、销售、运输等环节采取有效的质量控制措施，保障经营过程中的质量安全，同时做好内控管理，应具备对肉品配送全过程管控的能力以及管理的规范性，在企业质量管理体系方面应完善、规范，具备相应的体系认证证书。</w:t>
            </w:r>
          </w:p>
          <w:p w14:paraId="19142EC9">
            <w:pPr>
              <w:pStyle w:val="2"/>
              <w:rPr>
                <w:rFonts w:ascii="宋体" w:eastAsia="宋体" w:cs="宋体"/>
                <w:b w:val="0"/>
                <w:bCs w:val="0"/>
                <w:sz w:val="24"/>
                <w:szCs w:val="24"/>
              </w:rPr>
            </w:pPr>
            <w:r>
              <w:rPr>
                <w:rFonts w:hint="eastAsia" w:ascii="宋体" w:eastAsia="宋体" w:cs="宋体"/>
                <w:b w:val="0"/>
                <w:bCs w:val="0"/>
                <w:sz w:val="24"/>
                <w:szCs w:val="24"/>
              </w:rPr>
              <w:t>六、服务评价</w:t>
            </w:r>
          </w:p>
          <w:p w14:paraId="32803E1E">
            <w:pPr>
              <w:rPr>
                <w:rFonts w:ascii="宋体" w:hAnsi="宋体" w:eastAsia="宋体" w:cs="宋体"/>
                <w:sz w:val="24"/>
                <w:szCs w:val="24"/>
              </w:rPr>
            </w:pPr>
            <w:r>
              <w:rPr>
                <w:rFonts w:hint="eastAsia" w:ascii="宋体" w:hAnsi="宋体" w:eastAsia="宋体" w:cs="宋体"/>
                <w:sz w:val="24"/>
                <w:szCs w:val="24"/>
              </w:rPr>
              <w:t>每月采购人根据考核表项目进行考核，结合评分结果进行相应扣罚，在当月应结物资金额中扣除相应的罚款。每月度考核得分相加，再除以12个月即月度考核的平均分作为年度考核得分，如考核结果达到优及以上（95分≤年度得分≤100分），经医院同意后可与供应商续签合同，详见附件2《供货商月度考核评分表》、附件3《考核处罚标准及金额》。</w:t>
            </w:r>
          </w:p>
          <w:p w14:paraId="1B3EE5AE">
            <w:pPr>
              <w:pStyle w:val="2"/>
              <w:rPr>
                <w:rFonts w:ascii="宋体" w:eastAsia="宋体" w:cs="宋体"/>
                <w:b w:val="0"/>
                <w:bCs w:val="0"/>
                <w:sz w:val="24"/>
                <w:szCs w:val="24"/>
              </w:rPr>
            </w:pPr>
            <w:r>
              <w:rPr>
                <w:rFonts w:hint="eastAsia" w:ascii="宋体" w:eastAsia="宋体" w:cs="宋体"/>
                <w:b w:val="0"/>
                <w:bCs w:val="0"/>
                <w:sz w:val="24"/>
                <w:szCs w:val="24"/>
              </w:rPr>
              <w:t>七、履约保证金使用</w:t>
            </w:r>
            <w:r>
              <w:rPr>
                <w:rFonts w:hint="eastAsia" w:ascii="宋体" w:eastAsia="宋体" w:cs="宋体"/>
                <w:b w:val="0"/>
                <w:bCs w:val="0"/>
                <w:color w:val="000000" w:themeColor="text1"/>
                <w:sz w:val="24"/>
                <w:szCs w:val="24"/>
                <w14:textFill>
                  <w14:solidFill>
                    <w14:schemeClr w14:val="tx1"/>
                  </w14:solidFill>
                </w14:textFill>
              </w:rPr>
              <w:t>、终止合同</w:t>
            </w:r>
            <w:r>
              <w:rPr>
                <w:rFonts w:hint="eastAsia" w:ascii="宋体" w:eastAsia="宋体" w:cs="宋体"/>
                <w:b w:val="0"/>
                <w:bCs w:val="0"/>
                <w:sz w:val="24"/>
                <w:szCs w:val="24"/>
              </w:rPr>
              <w:t>、法律责任及赔偿经济损失</w:t>
            </w:r>
          </w:p>
          <w:p w14:paraId="6FD70ACB">
            <w:pPr>
              <w:pStyle w:val="2"/>
              <w:rPr>
                <w:rFonts w:ascii="宋体" w:eastAsia="宋体" w:cs="宋体"/>
                <w:b w:val="0"/>
                <w:bCs w:val="0"/>
                <w:sz w:val="24"/>
                <w:szCs w:val="24"/>
              </w:rPr>
            </w:pPr>
            <w:r>
              <w:rPr>
                <w:rFonts w:hint="eastAsia" w:ascii="宋体" w:eastAsia="宋体" w:cs="宋体"/>
                <w:b w:val="0"/>
                <w:bCs w:val="0"/>
                <w:sz w:val="24"/>
                <w:szCs w:val="24"/>
              </w:rPr>
              <w:t>1、发生以下情况每次扣除 2%~10%的履约保证金：</w:t>
            </w:r>
          </w:p>
          <w:p w14:paraId="5F2DAD4E">
            <w:pPr>
              <w:pStyle w:val="2"/>
              <w:rPr>
                <w:rFonts w:ascii="宋体" w:eastAsia="宋体" w:cs="宋体"/>
                <w:b w:val="0"/>
                <w:bCs w:val="0"/>
                <w:sz w:val="24"/>
                <w:szCs w:val="24"/>
              </w:rPr>
            </w:pPr>
            <w:r>
              <w:rPr>
                <w:rFonts w:hint="eastAsia" w:ascii="宋体" w:eastAsia="宋体" w:cs="宋体"/>
                <w:b w:val="0"/>
                <w:bCs w:val="0"/>
                <w:sz w:val="24"/>
                <w:szCs w:val="24"/>
              </w:rPr>
              <w:t>1.1．中标人在送货中，出现质量、数量或货品不符合采购人需求书的，采购人要求更换部分货品，中标人没能在1小时之内，将更换的货品送达指定地点的，每发生一次扣除履约保证金5%；</w:t>
            </w:r>
          </w:p>
          <w:p w14:paraId="59728A8A">
            <w:pPr>
              <w:pStyle w:val="2"/>
              <w:rPr>
                <w:rFonts w:ascii="宋体" w:eastAsia="宋体" w:cs="宋体"/>
                <w:b w:val="0"/>
                <w:bCs w:val="0"/>
                <w:sz w:val="24"/>
                <w:szCs w:val="24"/>
              </w:rPr>
            </w:pPr>
            <w:r>
              <w:rPr>
                <w:rFonts w:hint="eastAsia" w:ascii="宋体" w:eastAsia="宋体" w:cs="宋体"/>
                <w:b w:val="0"/>
                <w:bCs w:val="0"/>
                <w:sz w:val="24"/>
                <w:szCs w:val="24"/>
              </w:rPr>
              <w:t>1.2．中标人未在采购人规定的时间内送达货品的（影响到采购人病人或职工正常餐饮工作），每发生一次扣除履约保证金的10%；</w:t>
            </w:r>
          </w:p>
          <w:p w14:paraId="3F1DE575">
            <w:pPr>
              <w:pStyle w:val="2"/>
              <w:rPr>
                <w:rFonts w:ascii="宋体" w:eastAsia="宋体" w:cs="宋体"/>
                <w:b w:val="0"/>
                <w:bCs w:val="0"/>
                <w:sz w:val="24"/>
                <w:szCs w:val="24"/>
              </w:rPr>
            </w:pPr>
            <w:r>
              <w:rPr>
                <w:rFonts w:hint="eastAsia" w:ascii="宋体" w:eastAsia="宋体" w:cs="宋体"/>
                <w:b w:val="0"/>
                <w:bCs w:val="0"/>
                <w:sz w:val="24"/>
                <w:szCs w:val="24"/>
              </w:rPr>
              <w:t>1.3．因中标人原因，未能及时（节假日顺延）完成货款核对工作，对采购人结账工作进度造成实际影响的，每次扣除履约保证金的2%。</w:t>
            </w:r>
          </w:p>
          <w:p w14:paraId="3A37CFB4">
            <w:pPr>
              <w:pStyle w:val="2"/>
              <w:rPr>
                <w:rFonts w:ascii="宋体" w:eastAsia="宋体" w:cs="宋体"/>
                <w:b w:val="0"/>
                <w:bCs w:val="0"/>
                <w:sz w:val="24"/>
                <w:szCs w:val="24"/>
              </w:rPr>
            </w:pPr>
            <w:r>
              <w:rPr>
                <w:rFonts w:hint="eastAsia" w:ascii="宋体" w:eastAsia="宋体" w:cs="宋体"/>
                <w:b w:val="0"/>
                <w:bCs w:val="0"/>
                <w:sz w:val="24"/>
                <w:szCs w:val="24"/>
              </w:rPr>
              <w:t>2.采购人在本项目合作期内根据本合同约定扣除履约保证金或提取履保函项下的款项的，中标人应确保在采购人扣除或提取后10日内，将履约保证金或履保函数额恢复到本合同约定的数额，且应向采购人提供已足额恢复的相关证明。</w:t>
            </w:r>
          </w:p>
          <w:p w14:paraId="3D1DBB25">
            <w:pPr>
              <w:pStyle w:val="2"/>
              <w:rPr>
                <w:rFonts w:ascii="宋体" w:eastAsia="宋体" w:cs="宋体"/>
                <w:b w:val="0"/>
                <w:bCs w:val="0"/>
                <w:sz w:val="24"/>
                <w:szCs w:val="24"/>
              </w:rPr>
            </w:pPr>
            <w:r>
              <w:rPr>
                <w:rFonts w:hint="eastAsia" w:ascii="宋体" w:eastAsia="宋体" w:cs="宋体"/>
                <w:b w:val="0"/>
                <w:bCs w:val="0"/>
                <w:sz w:val="24"/>
                <w:szCs w:val="24"/>
              </w:rPr>
              <w:t>3.中标人发生以下情况的，采购人将终止合同。由此导致采购人损失的，采购人将追究责任：</w:t>
            </w:r>
          </w:p>
          <w:p w14:paraId="4CA7885E">
            <w:pPr>
              <w:pStyle w:val="2"/>
              <w:rPr>
                <w:rFonts w:ascii="宋体" w:eastAsia="宋体" w:cs="宋体"/>
                <w:b w:val="0"/>
                <w:bCs w:val="0"/>
                <w:sz w:val="24"/>
                <w:szCs w:val="24"/>
              </w:rPr>
            </w:pPr>
            <w:r>
              <w:rPr>
                <w:rFonts w:hint="eastAsia" w:ascii="宋体" w:eastAsia="宋体" w:cs="宋体"/>
                <w:b w:val="0"/>
                <w:bCs w:val="0"/>
                <w:sz w:val="24"/>
                <w:szCs w:val="24"/>
              </w:rPr>
              <w:t>3.1．中标人在招标时以弄虚作假等欺诈手段获得中标的，或经营情况发生变化不符合经营要求的，采购人将立即终止合同；</w:t>
            </w:r>
          </w:p>
          <w:p w14:paraId="70DB69CD">
            <w:pPr>
              <w:pStyle w:val="2"/>
              <w:rPr>
                <w:rFonts w:ascii="宋体" w:eastAsia="宋体" w:cs="宋体"/>
                <w:b w:val="0"/>
                <w:bCs w:val="0"/>
                <w:sz w:val="24"/>
                <w:szCs w:val="24"/>
              </w:rPr>
            </w:pPr>
            <w:r>
              <w:rPr>
                <w:rFonts w:hint="eastAsia" w:ascii="宋体" w:eastAsia="宋体" w:cs="宋体"/>
                <w:b w:val="0"/>
                <w:bCs w:val="0"/>
                <w:sz w:val="24"/>
                <w:szCs w:val="24"/>
              </w:rPr>
              <w:t>3.2．中标人没有按国家质量要求和食品安全卫生标准，供应伪劣或不符合国家有关规定要求的货品，一经发现，采购人将立即终止合同，并保留追究中标人相应的法律责任和刑事责任的权利。</w:t>
            </w:r>
          </w:p>
          <w:p w14:paraId="199ACA28">
            <w:pPr>
              <w:pStyle w:val="2"/>
              <w:rPr>
                <w:rFonts w:ascii="宋体" w:eastAsia="宋体" w:cs="宋体"/>
                <w:b w:val="0"/>
                <w:bCs w:val="0"/>
                <w:sz w:val="24"/>
                <w:szCs w:val="24"/>
              </w:rPr>
            </w:pPr>
            <w:r>
              <w:rPr>
                <w:rFonts w:hint="eastAsia" w:ascii="宋体" w:eastAsia="宋体" w:cs="宋体"/>
                <w:b w:val="0"/>
                <w:bCs w:val="0"/>
                <w:sz w:val="24"/>
                <w:szCs w:val="24"/>
              </w:rPr>
              <w:t>3.3．在履行本合同时发生食物中毒事故，经政府卫生检验检疫部门确认是中标人责任的，采购人将立即终止合同。造成损失的，采购人将追究中标人法律责任和经济赔偿责任；</w:t>
            </w:r>
          </w:p>
          <w:p w14:paraId="3939D5B2">
            <w:pPr>
              <w:pStyle w:val="2"/>
              <w:rPr>
                <w:rFonts w:ascii="宋体" w:eastAsia="宋体" w:cs="宋体"/>
                <w:b w:val="0"/>
                <w:bCs w:val="0"/>
                <w:sz w:val="24"/>
                <w:szCs w:val="24"/>
              </w:rPr>
            </w:pPr>
            <w:r>
              <w:rPr>
                <w:rFonts w:hint="eastAsia" w:ascii="宋体" w:eastAsia="宋体" w:cs="宋体"/>
                <w:b w:val="0"/>
                <w:bCs w:val="0"/>
                <w:sz w:val="24"/>
                <w:szCs w:val="24"/>
              </w:rPr>
              <w:t>3.4．中标人在履行本合同时出现严重影响本医院声誉和形象或造成医院严重损失的其他行为的，采购人将终止合同追究中标人法律责任；</w:t>
            </w:r>
          </w:p>
          <w:p w14:paraId="54F84F84">
            <w:pPr>
              <w:pStyle w:val="2"/>
              <w:rPr>
                <w:rFonts w:ascii="宋体" w:eastAsia="宋体" w:cs="宋体"/>
                <w:b w:val="0"/>
                <w:bCs w:val="0"/>
                <w:sz w:val="24"/>
                <w:szCs w:val="24"/>
              </w:rPr>
            </w:pPr>
            <w:r>
              <w:rPr>
                <w:rFonts w:hint="eastAsia" w:ascii="宋体" w:eastAsia="宋体" w:cs="宋体"/>
                <w:b w:val="0"/>
                <w:bCs w:val="0"/>
                <w:sz w:val="24"/>
                <w:szCs w:val="24"/>
              </w:rPr>
              <w:t>3.5．中标人未能通过采购人月度考核或年度考核的，采购人将终止合同；</w:t>
            </w:r>
          </w:p>
          <w:p w14:paraId="6779B835">
            <w:pPr>
              <w:pStyle w:val="2"/>
              <w:rPr>
                <w:rFonts w:ascii="宋体" w:eastAsia="宋体" w:cs="宋体"/>
                <w:b w:val="0"/>
                <w:bCs w:val="0"/>
                <w:sz w:val="24"/>
                <w:szCs w:val="24"/>
              </w:rPr>
            </w:pPr>
            <w:r>
              <w:rPr>
                <w:rFonts w:hint="eastAsia" w:ascii="宋体" w:eastAsia="宋体" w:cs="宋体"/>
                <w:b w:val="0"/>
                <w:bCs w:val="0"/>
                <w:sz w:val="24"/>
                <w:szCs w:val="24"/>
              </w:rPr>
              <w:t>3.6．中标人在合同期内累计三次以上送货严重迟到，影响医院餐饮工作的，采购人将提前终止合同；</w:t>
            </w:r>
          </w:p>
          <w:p w14:paraId="299DE3AE">
            <w:pPr>
              <w:pStyle w:val="2"/>
              <w:rPr>
                <w:rFonts w:ascii="宋体" w:eastAsia="宋体" w:cs="宋体"/>
                <w:b w:val="0"/>
                <w:bCs w:val="0"/>
                <w:sz w:val="24"/>
                <w:szCs w:val="24"/>
              </w:rPr>
            </w:pPr>
            <w:r>
              <w:rPr>
                <w:rFonts w:hint="eastAsia" w:ascii="宋体" w:eastAsia="宋体" w:cs="宋体"/>
                <w:b w:val="0"/>
                <w:bCs w:val="0"/>
                <w:sz w:val="24"/>
                <w:szCs w:val="24"/>
              </w:rPr>
              <w:t>3.7．中标人在合同期内只要有一次不送货的，采购人将立即终止合同，并追究中标人违约所造成的经济责任。</w:t>
            </w:r>
          </w:p>
          <w:p w14:paraId="0F226502">
            <w:pPr>
              <w:pStyle w:val="2"/>
              <w:rPr>
                <w:rFonts w:ascii="宋体" w:eastAsia="宋体" w:cs="宋体"/>
                <w:b w:val="0"/>
                <w:bCs w:val="0"/>
                <w:sz w:val="24"/>
                <w:szCs w:val="24"/>
              </w:rPr>
            </w:pPr>
            <w:r>
              <w:rPr>
                <w:rFonts w:hint="eastAsia" w:ascii="宋体" w:eastAsia="宋体" w:cs="宋体"/>
                <w:b w:val="0"/>
                <w:bCs w:val="0"/>
                <w:sz w:val="24"/>
                <w:szCs w:val="24"/>
              </w:rPr>
              <w:t>3.8. 中标人接到采购人送货通知后，如果有一次未能在规定的时间内送达采购人指定地点的，则视为不送货，采购人将终止合同；</w:t>
            </w:r>
          </w:p>
          <w:p w14:paraId="04E60DA6">
            <w:pPr>
              <w:pStyle w:val="2"/>
              <w:rPr>
                <w:rFonts w:ascii="宋体" w:eastAsia="宋体" w:cs="宋体"/>
                <w:sz w:val="24"/>
                <w:szCs w:val="24"/>
              </w:rPr>
            </w:pPr>
            <w:r>
              <w:rPr>
                <w:rFonts w:hint="eastAsia" w:ascii="宋体" w:eastAsia="宋体" w:cs="宋体"/>
                <w:b w:val="0"/>
                <w:bCs w:val="0"/>
                <w:sz w:val="24"/>
                <w:szCs w:val="24"/>
              </w:rPr>
              <w:t>3.9.如果因中标人原因未能兑现配送时间承诺，造成未及时（以“产品配送要求”中的“交货方式”约定时间为准，下同）交货现象的，作以下处理：①采购人对未及时交货部分产品可拒绝收货；②按当次交货产品的总值扣除5%违约金；③如采购人需要对未及时交货部分的产品进行自行采购的，中标人负责支付对该部分产品实际采购价格与供应商供货价格之间的差价的10倍金额。“服务要求”中的第5-8点如中标人执行不到位，一个月内发生二次的，扣罚第二次送货金额的20%；一个月内发生三次或以上的，扣罚第三次送货金额的50%；一季度内发生10次的，采购人有权终止合同。</w:t>
            </w:r>
          </w:p>
        </w:tc>
      </w:tr>
      <w:tr w14:paraId="5FE0C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1" w:hRule="atLeast"/>
          <w:jc w:val="center"/>
        </w:trPr>
        <w:tc>
          <w:tcPr>
            <w:tcW w:w="1497" w:type="dxa"/>
            <w:vAlign w:val="center"/>
          </w:tcPr>
          <w:p w14:paraId="7BFE0424">
            <w:pPr>
              <w:jc w:val="center"/>
              <w:rPr>
                <w:rFonts w:ascii="宋体" w:hAnsi="宋体" w:eastAsia="宋体"/>
                <w:sz w:val="24"/>
                <w:szCs w:val="24"/>
              </w:rPr>
            </w:pPr>
          </w:p>
        </w:tc>
        <w:tc>
          <w:tcPr>
            <w:tcW w:w="776" w:type="dxa"/>
            <w:vAlign w:val="center"/>
          </w:tcPr>
          <w:p w14:paraId="27B49640">
            <w:pPr>
              <w:pStyle w:val="20"/>
              <w:numPr>
                <w:ilvl w:val="0"/>
                <w:numId w:val="4"/>
              </w:numPr>
              <w:spacing w:line="240" w:lineRule="auto"/>
              <w:ind w:firstLineChars="0"/>
              <w:jc w:val="center"/>
              <w:rPr>
                <w:rFonts w:ascii="宋体" w:hAnsi="宋体" w:cs="宋体"/>
                <w:sz w:val="24"/>
              </w:rPr>
            </w:pPr>
          </w:p>
        </w:tc>
        <w:tc>
          <w:tcPr>
            <w:tcW w:w="6946" w:type="dxa"/>
            <w:vAlign w:val="center"/>
          </w:tcPr>
          <w:p w14:paraId="2DF727DD">
            <w:pPr>
              <w:ind w:firstLine="104"/>
              <w:jc w:val="both"/>
              <w:rPr>
                <w:rFonts w:ascii="宋体" w:hAnsi="宋体" w:eastAsia="宋体" w:cs="宋体"/>
                <w:sz w:val="24"/>
                <w:szCs w:val="24"/>
              </w:rPr>
            </w:pPr>
            <w:r>
              <w:rPr>
                <w:rFonts w:hint="eastAsia" w:ascii="宋体" w:hAnsi="宋体" w:eastAsia="宋体" w:cs="宋体"/>
                <w:sz w:val="24"/>
                <w:szCs w:val="24"/>
              </w:rPr>
              <w:t>七、项目相关要求</w:t>
            </w:r>
          </w:p>
          <w:p w14:paraId="42C3A530">
            <w:pPr>
              <w:pStyle w:val="2"/>
              <w:rPr>
                <w:rFonts w:ascii="宋体" w:eastAsia="宋体" w:cs="宋体"/>
                <w:b w:val="0"/>
                <w:bCs w:val="0"/>
                <w:sz w:val="24"/>
                <w:szCs w:val="24"/>
              </w:rPr>
            </w:pPr>
            <w:r>
              <w:rPr>
                <w:rFonts w:hint="eastAsia" w:ascii="宋体" w:eastAsia="宋体" w:cs="宋体"/>
                <w:b w:val="0"/>
                <w:bCs w:val="0"/>
                <w:sz w:val="24"/>
                <w:szCs w:val="24"/>
              </w:rPr>
              <w:t>1.双方验收人员卸货前应对场地和验收设备做好准备，并对物品的外观质量进行初步了解。验收标准为前文的相关国家有关质量检测、环保标准、产品出厂标准、生产及经营标准。食品运输必须采用符合安全标准的外包装和运输工具，保持清洁和定期消毒，车厢内无不良气味、异味。冷藏、冷冻食品必须用专用冷藏、冷冻载具运输，在运输过程中保持安全的冷藏、冷冻温度，冷冻食品没有曾经解冻痕迹或软化现象，包装呈干爽状态。食品应清洁，无损伤、腐烂现象，外包装完整，无寄生虫或已受虫害现象。</w:t>
            </w:r>
          </w:p>
          <w:p w14:paraId="75388FC2">
            <w:pPr>
              <w:pStyle w:val="2"/>
              <w:rPr>
                <w:rFonts w:ascii="宋体" w:eastAsia="宋体" w:cs="宋体"/>
                <w:b w:val="0"/>
                <w:bCs w:val="0"/>
                <w:sz w:val="24"/>
                <w:szCs w:val="24"/>
              </w:rPr>
            </w:pPr>
            <w:r>
              <w:rPr>
                <w:rFonts w:hint="eastAsia" w:ascii="宋体" w:eastAsia="宋体" w:cs="宋体"/>
                <w:b w:val="0"/>
                <w:bCs w:val="0"/>
                <w:sz w:val="24"/>
                <w:szCs w:val="24"/>
              </w:rPr>
              <w:t>2.采取现场验收的方式，双方验收人员按索票——验证——抽查——过磅——入库的程序完成验收，中标人可提供原件的留原件，原件只有一份而无法提供给采购人的，查验原件后索取复印件留存，原件与复印件具有同样效力。</w:t>
            </w:r>
          </w:p>
          <w:p w14:paraId="14274BF8">
            <w:pPr>
              <w:pStyle w:val="2"/>
              <w:rPr>
                <w:rFonts w:ascii="宋体" w:eastAsia="宋体" w:cs="宋体"/>
                <w:b w:val="0"/>
                <w:bCs w:val="0"/>
                <w:sz w:val="24"/>
                <w:szCs w:val="24"/>
              </w:rPr>
            </w:pPr>
            <w:r>
              <w:rPr>
                <w:rFonts w:hint="eastAsia" w:ascii="宋体" w:eastAsia="宋体" w:cs="宋体"/>
                <w:b w:val="0"/>
                <w:bCs w:val="0"/>
                <w:sz w:val="24"/>
                <w:szCs w:val="24"/>
              </w:rPr>
              <w:t>3.每批次每种货物均抽查验收，对数量在五十件以上（含五十件）的抽查率为10%，五十件以下的抽查率为15%，七件以下必查一件。由于采购人采取抽查方法进行验收，可能导致部分不合格产品入库后或使用时才能被发现的，如发现不合格产品的，采购人应及时通知中标人，采购人有权对此予以退货处理。</w:t>
            </w:r>
          </w:p>
          <w:p w14:paraId="36E4071B">
            <w:pPr>
              <w:pStyle w:val="2"/>
              <w:rPr>
                <w:rFonts w:ascii="宋体" w:eastAsia="宋体" w:cs="宋体"/>
                <w:b w:val="0"/>
                <w:bCs w:val="0"/>
                <w:sz w:val="24"/>
                <w:szCs w:val="24"/>
              </w:rPr>
            </w:pPr>
            <w:r>
              <w:rPr>
                <w:rFonts w:hint="eastAsia" w:ascii="宋体" w:eastAsia="宋体" w:cs="宋体"/>
                <w:b w:val="0"/>
                <w:bCs w:val="0"/>
                <w:sz w:val="24"/>
                <w:szCs w:val="24"/>
              </w:rPr>
              <w:t>4.如发现货物未达到验收要求的，由采购人和中标人一起确认，并在相关单据上记录，对不合格货品进行拍照存档。</w:t>
            </w:r>
          </w:p>
          <w:p w14:paraId="3F579799">
            <w:pPr>
              <w:pStyle w:val="2"/>
              <w:rPr>
                <w:rFonts w:ascii="宋体" w:eastAsia="宋体" w:cs="宋体"/>
                <w:b w:val="0"/>
                <w:bCs w:val="0"/>
                <w:sz w:val="24"/>
                <w:szCs w:val="24"/>
              </w:rPr>
            </w:pPr>
            <w:r>
              <w:rPr>
                <w:rFonts w:hint="eastAsia" w:ascii="宋体" w:eastAsia="宋体" w:cs="宋体"/>
                <w:b w:val="0"/>
                <w:bCs w:val="0"/>
                <w:sz w:val="24"/>
                <w:szCs w:val="24"/>
              </w:rPr>
              <w:t>5.采购人按招标文件产品质量要求对配送货物质量进行验收。</w:t>
            </w:r>
          </w:p>
          <w:p w14:paraId="096F405E">
            <w:pPr>
              <w:pStyle w:val="2"/>
              <w:rPr>
                <w:rFonts w:ascii="宋体" w:eastAsia="宋体" w:cs="宋体"/>
                <w:b w:val="0"/>
                <w:bCs w:val="0"/>
                <w:sz w:val="24"/>
                <w:szCs w:val="24"/>
              </w:rPr>
            </w:pPr>
            <w:r>
              <w:rPr>
                <w:rFonts w:hint="eastAsia" w:ascii="宋体" w:eastAsia="宋体" w:cs="宋体"/>
                <w:b w:val="0"/>
                <w:bCs w:val="0"/>
                <w:sz w:val="24"/>
                <w:szCs w:val="24"/>
              </w:rPr>
              <w:t>6.如因中标人因素导致当天送达的肉品不能满足采购人验收要求的，采购人有权退货并自行采购当天所需肉品，由此产生的所有费用由中标人承担。</w:t>
            </w:r>
          </w:p>
          <w:p w14:paraId="09BF758C">
            <w:pPr>
              <w:pStyle w:val="2"/>
              <w:rPr>
                <w:rFonts w:ascii="宋体" w:eastAsia="宋体" w:cs="宋体"/>
                <w:b w:val="0"/>
                <w:bCs w:val="0"/>
                <w:sz w:val="24"/>
                <w:szCs w:val="24"/>
              </w:rPr>
            </w:pPr>
            <w:r>
              <w:rPr>
                <w:rFonts w:hint="eastAsia" w:ascii="宋体" w:eastAsia="宋体" w:cs="宋体"/>
                <w:b w:val="0"/>
                <w:bCs w:val="0"/>
                <w:sz w:val="24"/>
                <w:szCs w:val="24"/>
              </w:rPr>
              <w:t>7.如供货当日不能满足采购人验收要求的肉品达到当日采购总额30%的，当日所有肉品货款不予结算。</w:t>
            </w:r>
          </w:p>
          <w:p w14:paraId="550E9335">
            <w:pPr>
              <w:pStyle w:val="2"/>
              <w:rPr>
                <w:rFonts w:ascii="宋体" w:eastAsia="宋体" w:cs="宋体"/>
                <w:b w:val="0"/>
                <w:bCs w:val="0"/>
                <w:sz w:val="24"/>
                <w:szCs w:val="24"/>
              </w:rPr>
            </w:pPr>
            <w:r>
              <w:rPr>
                <w:rFonts w:hint="eastAsia" w:ascii="宋体" w:eastAsia="宋体" w:cs="宋体"/>
                <w:b w:val="0"/>
                <w:bCs w:val="0"/>
                <w:sz w:val="24"/>
                <w:szCs w:val="24"/>
              </w:rPr>
              <w:t>8.如当月单个品种肉品累计5次不能满足采购人验收要求的，在第7条款的基础上另需额外扣除当月所有肉品费用总价的5%。</w:t>
            </w:r>
          </w:p>
          <w:p w14:paraId="4E696085">
            <w:pPr>
              <w:pStyle w:val="2"/>
              <w:rPr>
                <w:rFonts w:ascii="宋体" w:eastAsia="宋体" w:cs="宋体"/>
                <w:b w:val="0"/>
                <w:bCs w:val="0"/>
                <w:sz w:val="24"/>
                <w:szCs w:val="24"/>
              </w:rPr>
            </w:pPr>
            <w:r>
              <w:rPr>
                <w:rFonts w:hint="eastAsia" w:ascii="宋体" w:eastAsia="宋体" w:cs="宋体"/>
                <w:b w:val="0"/>
                <w:bCs w:val="0"/>
                <w:sz w:val="24"/>
                <w:szCs w:val="24"/>
              </w:rPr>
              <w:t>9.抽查发现食品安全质量问题的处理</w:t>
            </w:r>
          </w:p>
          <w:p w14:paraId="693D429A">
            <w:pPr>
              <w:pStyle w:val="2"/>
              <w:rPr>
                <w:rFonts w:ascii="宋体" w:eastAsia="宋体" w:cs="宋体"/>
                <w:b w:val="0"/>
                <w:bCs w:val="0"/>
                <w:sz w:val="24"/>
                <w:szCs w:val="24"/>
              </w:rPr>
            </w:pPr>
            <w:r>
              <w:rPr>
                <w:rFonts w:hint="eastAsia" w:ascii="宋体" w:eastAsia="宋体" w:cs="宋体"/>
                <w:b w:val="0"/>
                <w:bCs w:val="0"/>
                <w:sz w:val="24"/>
                <w:szCs w:val="24"/>
              </w:rPr>
              <w:t>9.1.对危及人身安全的食品质量问题采取零容忍措施，一经发现，当日所送同批次产品全部退货，如水产品中发现河豚鱼，发现腐败变质肉类等。</w:t>
            </w:r>
          </w:p>
          <w:p w14:paraId="1EC6B291">
            <w:pPr>
              <w:pStyle w:val="2"/>
              <w:rPr>
                <w:rFonts w:ascii="宋体" w:eastAsia="宋体" w:cs="宋体"/>
                <w:b w:val="0"/>
                <w:bCs w:val="0"/>
                <w:sz w:val="24"/>
                <w:szCs w:val="24"/>
              </w:rPr>
            </w:pPr>
            <w:r>
              <w:rPr>
                <w:rFonts w:hint="eastAsia" w:ascii="宋体" w:eastAsia="宋体" w:cs="宋体"/>
                <w:b w:val="0"/>
                <w:bCs w:val="0"/>
                <w:sz w:val="24"/>
                <w:szCs w:val="24"/>
              </w:rPr>
              <w:t>9.2.若抽查未发现问题，而在加工食用前发现部分产品质量问题，采购人应立即通知中标人，将问题产品退货处理。</w:t>
            </w:r>
          </w:p>
          <w:p w14:paraId="33FF3099">
            <w:pPr>
              <w:pStyle w:val="2"/>
              <w:rPr>
                <w:rFonts w:ascii="宋体" w:eastAsia="宋体" w:cs="宋体"/>
                <w:b w:val="0"/>
                <w:bCs w:val="0"/>
                <w:sz w:val="24"/>
                <w:szCs w:val="24"/>
              </w:rPr>
            </w:pPr>
            <w:r>
              <w:rPr>
                <w:rFonts w:hint="eastAsia" w:ascii="宋体" w:eastAsia="宋体" w:cs="宋体"/>
                <w:b w:val="0"/>
                <w:bCs w:val="0"/>
                <w:sz w:val="24"/>
                <w:szCs w:val="24"/>
              </w:rPr>
              <w:t>10.抽查发现资质证照不全问题的处理</w:t>
            </w:r>
          </w:p>
          <w:p w14:paraId="08024C4A">
            <w:pPr>
              <w:pStyle w:val="2"/>
              <w:rPr>
                <w:rFonts w:ascii="宋体" w:eastAsia="宋体" w:cs="宋体"/>
                <w:b w:val="0"/>
                <w:bCs w:val="0"/>
                <w:sz w:val="24"/>
                <w:szCs w:val="24"/>
              </w:rPr>
            </w:pPr>
            <w:r>
              <w:rPr>
                <w:rFonts w:hint="eastAsia" w:ascii="宋体" w:eastAsia="宋体" w:cs="宋体"/>
                <w:b w:val="0"/>
                <w:bCs w:val="0"/>
                <w:sz w:val="24"/>
                <w:szCs w:val="24"/>
              </w:rPr>
              <w:t>畜禽冻肉类抽查发现未提供完整的政府部门出具的动植物检疫合格证明和随车跟肉联厂“放心肉”证的全部退货。</w:t>
            </w:r>
          </w:p>
          <w:p w14:paraId="5C1E21B7">
            <w:pPr>
              <w:pStyle w:val="2"/>
              <w:rPr>
                <w:rFonts w:ascii="宋体" w:eastAsia="宋体" w:cs="宋体"/>
                <w:b w:val="0"/>
                <w:bCs w:val="0"/>
                <w:sz w:val="24"/>
                <w:szCs w:val="24"/>
              </w:rPr>
            </w:pPr>
            <w:r>
              <w:rPr>
                <w:rFonts w:hint="eastAsia" w:ascii="宋体" w:eastAsia="宋体" w:cs="宋体"/>
                <w:b w:val="0"/>
                <w:bCs w:val="0"/>
                <w:sz w:val="24"/>
                <w:szCs w:val="24"/>
              </w:rPr>
              <w:t>11.▲退（补）货流程</w:t>
            </w:r>
          </w:p>
          <w:p w14:paraId="20C87E0A">
            <w:pPr>
              <w:pStyle w:val="2"/>
              <w:rPr>
                <w:rFonts w:ascii="宋体" w:eastAsia="宋体" w:cs="宋体"/>
                <w:b w:val="0"/>
                <w:bCs w:val="0"/>
                <w:sz w:val="24"/>
                <w:szCs w:val="24"/>
              </w:rPr>
            </w:pPr>
            <w:r>
              <w:rPr>
                <w:rFonts w:hint="eastAsia" w:ascii="宋体" w:eastAsia="宋体" w:cs="宋体"/>
                <w:b w:val="0"/>
                <w:bCs w:val="0"/>
                <w:sz w:val="24"/>
                <w:szCs w:val="24"/>
              </w:rPr>
              <w:t>对不符合质量要求的货物由采购人使用部门验收人员提出退货，如双方对质量或重量有争议的可送具有检验资质的部门检测，同时留样备检，如经检测肉品重量达标且质量符合相关质量、安全卫生标准的，检测费用由采购人承担，如经检测肉品重量不达标或质量不符合相关质量、安全卫生标准的，检测费用由投标人承担，采购人有权退货，对数量不足或部分退货的，责成中标人以不影响伙食供应为前提在1个小时内完成补送。在退货过程中，对有碍公共卫生安全的食品，应按国家有关规定处理或进行协议销毁，不退货给中标人，中标人对此表示明确理解及接受，无需采购人承担任何责任。（投标文件中提供承诺函，格式自拟）</w:t>
            </w:r>
          </w:p>
          <w:p w14:paraId="191E5919">
            <w:pPr>
              <w:pStyle w:val="2"/>
              <w:rPr>
                <w:rFonts w:ascii="宋体" w:eastAsia="宋体" w:cs="宋体"/>
                <w:b w:val="0"/>
                <w:bCs w:val="0"/>
                <w:sz w:val="24"/>
                <w:szCs w:val="24"/>
              </w:rPr>
            </w:pPr>
            <w:r>
              <w:rPr>
                <w:rFonts w:hint="eastAsia" w:ascii="宋体" w:eastAsia="宋体" w:cs="宋体"/>
                <w:b w:val="0"/>
                <w:bCs w:val="0"/>
                <w:sz w:val="24"/>
                <w:szCs w:val="24"/>
              </w:rPr>
              <w:t>12.验收记录</w:t>
            </w:r>
          </w:p>
          <w:p w14:paraId="2B42390D">
            <w:pPr>
              <w:pStyle w:val="2"/>
              <w:rPr>
                <w:rFonts w:ascii="宋体" w:eastAsia="宋体" w:cs="宋体"/>
                <w:b w:val="0"/>
                <w:bCs w:val="0"/>
                <w:sz w:val="24"/>
                <w:szCs w:val="24"/>
              </w:rPr>
            </w:pPr>
            <w:r>
              <w:rPr>
                <w:rFonts w:hint="eastAsia" w:ascii="宋体" w:eastAsia="宋体" w:cs="宋体"/>
                <w:b w:val="0"/>
                <w:bCs w:val="0"/>
                <w:sz w:val="24"/>
                <w:szCs w:val="24"/>
              </w:rPr>
              <w:t>12.1.对每次验收的货物均记录货物名称、数量、验收情况等事项，并由双方验收人员签名确认并作为结算依据。</w:t>
            </w:r>
          </w:p>
          <w:p w14:paraId="3CCD11E8">
            <w:pPr>
              <w:rPr>
                <w:rFonts w:ascii="宋体" w:hAnsi="宋体" w:eastAsia="宋体" w:cs="宋体"/>
                <w:sz w:val="24"/>
                <w:szCs w:val="24"/>
              </w:rPr>
            </w:pPr>
            <w:r>
              <w:rPr>
                <w:rFonts w:hint="eastAsia" w:ascii="宋体" w:hAnsi="宋体" w:eastAsia="宋体" w:cs="宋体"/>
                <w:sz w:val="24"/>
                <w:szCs w:val="24"/>
              </w:rPr>
              <w:t>12.2.中标人配送货物要按时按量按质送到采购人指定地点，并当面核实数量、克重。验收完毕后，双方要在货物收货清单（格式按采购人要求，但要包括货物单价、数量、重量、合价等内容）上签名确认，货物收货清单作为采购人支付货款的依据之一。</w:t>
            </w:r>
          </w:p>
          <w:p w14:paraId="741461CD">
            <w:pPr>
              <w:rPr>
                <w:rFonts w:ascii="宋体" w:hAnsi="宋体" w:eastAsia="宋体" w:cs="宋体"/>
                <w:sz w:val="24"/>
                <w:szCs w:val="24"/>
              </w:rPr>
            </w:pPr>
            <w:r>
              <w:rPr>
                <w:rFonts w:hint="eastAsia" w:ascii="宋体" w:hAnsi="宋体" w:eastAsia="宋体" w:cs="宋体"/>
                <w:sz w:val="24"/>
                <w:szCs w:val="24"/>
              </w:rPr>
              <w:t>13.其他验收要求</w:t>
            </w:r>
          </w:p>
          <w:p w14:paraId="20D499F6">
            <w:pPr>
              <w:rPr>
                <w:rFonts w:ascii="宋体" w:hAnsi="宋体" w:eastAsia="宋体" w:cs="宋体"/>
                <w:sz w:val="24"/>
                <w:szCs w:val="24"/>
              </w:rPr>
            </w:pPr>
            <w:r>
              <w:rPr>
                <w:rFonts w:hint="eastAsia" w:ascii="宋体" w:hAnsi="宋体" w:eastAsia="宋体" w:cs="宋体"/>
                <w:sz w:val="24"/>
                <w:szCs w:val="24"/>
              </w:rPr>
              <w:t>13.1.中标人所提供的食品必须符合《中华人民共和国食品安全法》和相关法律法规及标准要求。</w:t>
            </w:r>
          </w:p>
          <w:p w14:paraId="1CE59D79">
            <w:pPr>
              <w:rPr>
                <w:rFonts w:ascii="宋体" w:hAnsi="宋体" w:eastAsia="宋体" w:cs="宋体"/>
                <w:sz w:val="24"/>
                <w:szCs w:val="24"/>
              </w:rPr>
            </w:pPr>
            <w:r>
              <w:rPr>
                <w:rFonts w:hint="eastAsia" w:ascii="宋体" w:hAnsi="宋体" w:eastAsia="宋体" w:cs="宋体"/>
                <w:sz w:val="24"/>
                <w:szCs w:val="24"/>
              </w:rPr>
              <w:t>13.2.中标人所提供的肉品必须符合国家行业生产及经营标准，货真价实，均能提供相应批次的合格检验证明；</w:t>
            </w:r>
          </w:p>
          <w:p w14:paraId="75049356">
            <w:pPr>
              <w:rPr>
                <w:rFonts w:ascii="宋体" w:hAnsi="宋体" w:eastAsia="宋体" w:cs="宋体"/>
                <w:sz w:val="24"/>
                <w:szCs w:val="24"/>
              </w:rPr>
            </w:pPr>
            <w:r>
              <w:rPr>
                <w:rFonts w:hint="eastAsia" w:ascii="宋体" w:hAnsi="宋体" w:eastAsia="宋体" w:cs="宋体"/>
                <w:sz w:val="24"/>
                <w:szCs w:val="24"/>
              </w:rPr>
              <w:t>13.3.中标人所提供的食品各项技术指标必须完全符合国家有关质量和安全检测、环保标准及产品出厂标准。</w:t>
            </w:r>
          </w:p>
          <w:p w14:paraId="5AD5E846">
            <w:pPr>
              <w:rPr>
                <w:rFonts w:ascii="宋体" w:hAnsi="宋体" w:eastAsia="宋体" w:cs="宋体"/>
                <w:sz w:val="24"/>
                <w:szCs w:val="24"/>
              </w:rPr>
            </w:pPr>
            <w:r>
              <w:rPr>
                <w:rFonts w:hint="eastAsia" w:ascii="宋体" w:hAnsi="宋体" w:eastAsia="宋体" w:cs="宋体"/>
                <w:sz w:val="24"/>
                <w:szCs w:val="24"/>
              </w:rPr>
              <w:t>13.4.所有货物指标要符合国家强制性标准要求。</w:t>
            </w:r>
          </w:p>
          <w:p w14:paraId="237D881F">
            <w:pPr>
              <w:rPr>
                <w:rFonts w:ascii="宋体" w:hAnsi="宋体" w:eastAsia="宋体" w:cs="宋体"/>
                <w:sz w:val="24"/>
                <w:szCs w:val="24"/>
              </w:rPr>
            </w:pPr>
            <w:r>
              <w:rPr>
                <w:rFonts w:hint="eastAsia" w:ascii="宋体" w:hAnsi="宋体" w:eastAsia="宋体" w:cs="宋体"/>
                <w:sz w:val="24"/>
                <w:szCs w:val="24"/>
              </w:rPr>
              <w:t>13.5.中标人必须负责中标货物的运输、质量和安全检测等工作，所产生的费用包含在本项目报价中。</w:t>
            </w:r>
          </w:p>
          <w:p w14:paraId="4B50B1C3">
            <w:pPr>
              <w:rPr>
                <w:rFonts w:ascii="宋体" w:hAnsi="宋体" w:eastAsia="宋体" w:cs="宋体"/>
                <w:sz w:val="24"/>
                <w:szCs w:val="24"/>
              </w:rPr>
            </w:pPr>
            <w:r>
              <w:rPr>
                <w:rFonts w:hint="eastAsia" w:ascii="宋体" w:hAnsi="宋体" w:eastAsia="宋体" w:cs="宋体"/>
                <w:sz w:val="24"/>
                <w:szCs w:val="24"/>
              </w:rPr>
              <w:t>14.产品配送要求</w:t>
            </w:r>
          </w:p>
          <w:p w14:paraId="128F1FC4">
            <w:pPr>
              <w:rPr>
                <w:rFonts w:ascii="宋体" w:hAnsi="宋体" w:eastAsia="宋体" w:cs="宋体"/>
                <w:sz w:val="24"/>
                <w:szCs w:val="24"/>
              </w:rPr>
            </w:pPr>
            <w:r>
              <w:rPr>
                <w:rFonts w:hint="eastAsia" w:ascii="宋体" w:hAnsi="宋体" w:eastAsia="宋体" w:cs="宋体"/>
                <w:sz w:val="24"/>
                <w:szCs w:val="24"/>
              </w:rPr>
              <w:t>（一）供应商须严格执行食品卫生法律、法规，确保供应的品种完全符合国家食品安全卫生检疫及相关标准要求，提供所供产品的相关证明。不得供应变质、劣质产品（食品）；不得短斤少两；不得以假充真、以次充好。</w:t>
            </w:r>
          </w:p>
          <w:p w14:paraId="23655926">
            <w:pPr>
              <w:rPr>
                <w:rFonts w:ascii="宋体" w:hAnsi="宋体" w:eastAsia="宋体" w:cs="宋体"/>
                <w:sz w:val="24"/>
                <w:szCs w:val="24"/>
              </w:rPr>
            </w:pPr>
            <w:r>
              <w:rPr>
                <w:rFonts w:hint="eastAsia" w:ascii="宋体" w:hAnsi="宋体" w:eastAsia="宋体" w:cs="宋体"/>
                <w:sz w:val="24"/>
                <w:szCs w:val="24"/>
              </w:rPr>
              <w:t>（二）交货方式：每日常规送货两次，采购人于每天17:00--22:00向供应商发出通知，供应商应在1小时内响应，并根据采购人发出通知中的订购品种、数量等要求，在接到采购人每批次订货信息后，上午的物资必须在次日早晨5:30前（下午的物资必须在次日13:30前）严格按时、按质、按量运送物品到指定地点，如供应商在送货过程中损坏采购人的设备、设施，则采购人有权要求供应商照价赔偿。采购人一年365天均有采购计划，中标人必须全年365天每日送货，不得间断。</w:t>
            </w:r>
          </w:p>
          <w:p w14:paraId="2820BFA7">
            <w:pPr>
              <w:rPr>
                <w:rFonts w:ascii="宋体" w:hAnsi="宋体" w:eastAsia="宋体" w:cs="宋体"/>
                <w:sz w:val="24"/>
                <w:szCs w:val="24"/>
              </w:rPr>
            </w:pPr>
            <w:r>
              <w:rPr>
                <w:rFonts w:hint="eastAsia" w:ascii="宋体" w:hAnsi="宋体" w:eastAsia="宋体" w:cs="宋体"/>
                <w:sz w:val="24"/>
                <w:szCs w:val="24"/>
              </w:rPr>
              <w:t>（三）交货地点：广州市白云区机场路16号大院广州中医药大学第一附属医院膳食管理科。</w:t>
            </w:r>
          </w:p>
          <w:p w14:paraId="1678190F">
            <w:pPr>
              <w:rPr>
                <w:rFonts w:ascii="宋体" w:hAnsi="宋体" w:eastAsia="宋体" w:cs="宋体"/>
                <w:sz w:val="24"/>
                <w:szCs w:val="24"/>
              </w:rPr>
            </w:pPr>
            <w:r>
              <w:rPr>
                <w:rFonts w:hint="eastAsia" w:ascii="宋体" w:hAnsi="宋体" w:eastAsia="宋体" w:cs="宋体"/>
                <w:sz w:val="24"/>
                <w:szCs w:val="24"/>
              </w:rPr>
              <w:t>（四）供应商须根据采购人的要求，按时、按质、按量将所需品种送至采购人指定地点/仓库并通过采购人的验收。</w:t>
            </w:r>
          </w:p>
          <w:p w14:paraId="207D04BC">
            <w:pPr>
              <w:rPr>
                <w:rFonts w:ascii="宋体" w:hAnsi="宋体" w:eastAsia="宋体" w:cs="宋体"/>
                <w:sz w:val="24"/>
                <w:szCs w:val="24"/>
              </w:rPr>
            </w:pPr>
            <w:r>
              <w:rPr>
                <w:rFonts w:hint="eastAsia" w:ascii="宋体" w:hAnsi="宋体" w:eastAsia="宋体" w:cs="宋体"/>
                <w:sz w:val="24"/>
                <w:szCs w:val="24"/>
              </w:rPr>
              <w:t>（五）包装要求：容器（框、箱、袋）要求清洁、干燥、牢固、透气，无污染、无异味、无霉变现象。不同类别产品按不同颜色容器分别盛装。</w:t>
            </w:r>
          </w:p>
          <w:p w14:paraId="46DF3340">
            <w:pPr>
              <w:rPr>
                <w:rFonts w:ascii="宋体" w:hAnsi="宋体" w:eastAsia="宋体" w:cs="宋体"/>
                <w:sz w:val="24"/>
                <w:szCs w:val="24"/>
              </w:rPr>
            </w:pPr>
            <w:r>
              <w:rPr>
                <w:rFonts w:hint="eastAsia" w:ascii="宋体" w:hAnsi="宋体" w:eastAsia="宋体" w:cs="宋体"/>
                <w:sz w:val="24"/>
                <w:szCs w:val="24"/>
              </w:rPr>
              <w:t>（六）标识要求：如所供产品适用《食品标识管理规定》《农产品包装和标识管理办法》等有关标识监管要求（如有最新规定的，按照最新规定执行），则每件产品包装必须按有关规定印刷或加贴标签。所有包装产品必须标明产地、品种、净含量、生产单位及地址和生产/采收日期。</w:t>
            </w:r>
          </w:p>
          <w:p w14:paraId="21B8CE30">
            <w:pPr>
              <w:rPr>
                <w:rFonts w:ascii="宋体" w:hAnsi="宋体" w:eastAsia="宋体" w:cs="宋体"/>
                <w:sz w:val="24"/>
                <w:szCs w:val="24"/>
              </w:rPr>
            </w:pPr>
            <w:r>
              <w:rPr>
                <w:rFonts w:hint="eastAsia" w:ascii="宋体" w:hAnsi="宋体" w:eastAsia="宋体" w:cs="宋体"/>
                <w:sz w:val="24"/>
                <w:szCs w:val="24"/>
              </w:rPr>
              <w:t>（七）运输要求：运输工具应清洁卫生无污染。食品运输必须采用符合卫生标准的外包装和运载工具，并且要保持清洁和定期消毒。所有配送产品应分类包装好并做好密封措施，不能直接外露，防止交叉污染及环境污染。盛装工具必须保持洁净，无泥渍、污渍；盛装原材料的容器及包装必须符合食品级要求。运输车厢的内仓（包括地面、墙面及顶面）应使用抗腐蚀、防潮，易清洁消毒的材料。车厢内无不良气味、异味；运输途中严防日晒、雨淋，注意通风散热；产品堆放科学合理，避免造成食品的交叉污染；如对温度有要求的产品应确定产品适宜的储存温度，记录送货车辆温度，并记录存档。</w:t>
            </w:r>
          </w:p>
          <w:p w14:paraId="618F581A">
            <w:pPr>
              <w:rPr>
                <w:rFonts w:ascii="宋体" w:hAnsi="宋体" w:eastAsia="宋体" w:cs="宋体"/>
                <w:sz w:val="24"/>
                <w:szCs w:val="24"/>
              </w:rPr>
            </w:pPr>
            <w:r>
              <w:rPr>
                <w:rFonts w:hint="eastAsia" w:ascii="宋体" w:hAnsi="宋体" w:eastAsia="宋体" w:cs="宋体"/>
                <w:sz w:val="24"/>
                <w:szCs w:val="24"/>
              </w:rPr>
              <w:t>（八）数量要求：配送产品的具体需求量以实际供应前采购人发出的通知为准。供应商应保证配送产品数量的准确性，每次根据采购人通知的订购品种和数量配送，由采购人指定负责人验收过秤记录并以此验收的数量为准（标准差不大于2%）。不符合质量的产品采购人可退货或换货（由于产品质量问题而造成采购人就餐人员发生安全事故时，供应商须承担全部责任）。</w:t>
            </w:r>
          </w:p>
          <w:p w14:paraId="4D98563A">
            <w:pPr>
              <w:rPr>
                <w:rFonts w:ascii="宋体" w:hAnsi="宋体" w:eastAsia="宋体" w:cs="宋体"/>
                <w:sz w:val="24"/>
                <w:szCs w:val="24"/>
              </w:rPr>
            </w:pPr>
            <w:r>
              <w:rPr>
                <w:rFonts w:hint="eastAsia" w:ascii="宋体" w:hAnsi="宋体" w:eastAsia="宋体" w:cs="宋体"/>
                <w:sz w:val="24"/>
                <w:szCs w:val="24"/>
              </w:rPr>
              <w:t>（九）凭据要求（在配送过程中提交的以下凭据均须加盖供应商公章）：</w:t>
            </w:r>
          </w:p>
          <w:p w14:paraId="72D87E36">
            <w:pPr>
              <w:rPr>
                <w:rFonts w:ascii="宋体" w:hAnsi="宋体" w:eastAsia="宋体" w:cs="宋体"/>
                <w:sz w:val="24"/>
                <w:szCs w:val="24"/>
              </w:rPr>
            </w:pPr>
            <w:r>
              <w:rPr>
                <w:rFonts w:hint="eastAsia" w:ascii="宋体" w:hAnsi="宋体" w:eastAsia="宋体" w:cs="宋体"/>
                <w:sz w:val="24"/>
                <w:szCs w:val="24"/>
              </w:rPr>
              <w:t>15.供应商在每次配送过程中随货提供如下凭据：</w:t>
            </w:r>
          </w:p>
          <w:p w14:paraId="0FBE58F8">
            <w:pPr>
              <w:rPr>
                <w:rFonts w:ascii="宋体" w:hAnsi="宋体" w:eastAsia="宋体" w:cs="宋体"/>
                <w:sz w:val="24"/>
                <w:szCs w:val="24"/>
              </w:rPr>
            </w:pPr>
            <w:r>
              <w:rPr>
                <w:rFonts w:hint="eastAsia" w:ascii="宋体" w:hAnsi="宋体" w:eastAsia="宋体" w:cs="宋体"/>
                <w:sz w:val="24"/>
                <w:szCs w:val="24"/>
              </w:rPr>
              <w:t>（1）一式四份注明货物名称、单位、数量、售价及总金额的商品送货清单，供双方验货后签字确认，双方各持二份，作为采购人入库验收之凭证，并由采购人指定负责人验收记录。</w:t>
            </w:r>
          </w:p>
          <w:p w14:paraId="49EB3691">
            <w:pPr>
              <w:rPr>
                <w:rFonts w:ascii="宋体" w:hAnsi="宋体" w:eastAsia="宋体" w:cs="宋体"/>
                <w:sz w:val="24"/>
                <w:szCs w:val="24"/>
              </w:rPr>
            </w:pPr>
            <w:r>
              <w:rPr>
                <w:rFonts w:hint="eastAsia" w:ascii="宋体" w:hAnsi="宋体" w:eastAsia="宋体" w:cs="宋体"/>
                <w:sz w:val="24"/>
                <w:szCs w:val="24"/>
              </w:rPr>
              <w:t>（2）配送货物相应批次的合格检验证明（自检报告或第三方具有相关检测资质的检测机构的检测报告）。</w:t>
            </w:r>
          </w:p>
          <w:p w14:paraId="7FB74006">
            <w:pPr>
              <w:rPr>
                <w:rFonts w:ascii="宋体" w:hAnsi="宋体" w:eastAsia="宋体" w:cs="宋体"/>
                <w:sz w:val="24"/>
                <w:szCs w:val="24"/>
              </w:rPr>
            </w:pPr>
            <w:r>
              <w:rPr>
                <w:rFonts w:hint="eastAsia" w:ascii="宋体" w:hAnsi="宋体" w:eastAsia="宋体" w:cs="宋体"/>
                <w:sz w:val="24"/>
                <w:szCs w:val="24"/>
              </w:rPr>
              <w:t>（3）供应商在每个结算周期进行结算前提供“已提供配送货物相应批次的验收单、合格检验证明等有效证明资料”说明函及“该结算周期所供物品”质量保证书（质量保证书的格式和内容在签订合同后由双方共同确定）。</w:t>
            </w:r>
          </w:p>
          <w:p w14:paraId="1EC831A7">
            <w:pPr>
              <w:rPr>
                <w:rFonts w:ascii="宋体" w:hAnsi="宋体" w:eastAsia="宋体" w:cs="宋体"/>
                <w:sz w:val="24"/>
                <w:szCs w:val="24"/>
              </w:rPr>
            </w:pPr>
            <w:r>
              <w:rPr>
                <w:rFonts w:hint="eastAsia" w:ascii="宋体" w:hAnsi="宋体" w:eastAsia="宋体" w:cs="宋体"/>
                <w:sz w:val="24"/>
                <w:szCs w:val="24"/>
              </w:rPr>
              <w:t>（十）如果因供应商原因未能兑现配送时间承诺，造成未及时（以“产品配送要求”中的“交货方式”约定时间为准，下同）交货现象的，作以下处理：①采购人对未及时交货部分产品可拒绝收货；②按当次交货产品的总值扣除5%违约金；③如采购人需要对未及时交货部分的产品进行自行采购的，供应商负责支付对该部分产品实际采购价格与供应商供货价格之间的差价的10倍金额。“产品配送要求”中的第（五）至（八）条如供应商执行不到位，一个月内发生第二次的，扣罚第二次送货金额的20%；一个月内发生三次或以上的，扣罚第三次送货金额的50%；一季度内发生10次的，采购人有权终止合同。</w:t>
            </w:r>
          </w:p>
          <w:p w14:paraId="0DC8276A">
            <w:pPr>
              <w:pStyle w:val="2"/>
              <w:rPr>
                <w:rFonts w:ascii="宋体" w:eastAsia="宋体" w:cs="宋体"/>
                <w:sz w:val="24"/>
                <w:szCs w:val="24"/>
              </w:rPr>
            </w:pPr>
            <w:r>
              <w:rPr>
                <w:rFonts w:hint="eastAsia" w:ascii="宋体" w:eastAsia="宋体" w:cs="宋体"/>
                <w:sz w:val="24"/>
                <w:szCs w:val="24"/>
              </w:rPr>
              <w:t>16.质量及安全保障要求</w:t>
            </w:r>
          </w:p>
          <w:p w14:paraId="20DEEA9D">
            <w:pPr>
              <w:pStyle w:val="2"/>
              <w:rPr>
                <w:rFonts w:ascii="宋体" w:eastAsia="宋体" w:cs="宋体"/>
                <w:b w:val="0"/>
                <w:bCs w:val="0"/>
                <w:sz w:val="24"/>
                <w:szCs w:val="24"/>
              </w:rPr>
            </w:pPr>
            <w:r>
              <w:rPr>
                <w:rFonts w:hint="eastAsia" w:ascii="宋体" w:eastAsia="宋体" w:cs="宋体"/>
                <w:b w:val="0"/>
                <w:bCs w:val="0"/>
                <w:sz w:val="24"/>
                <w:szCs w:val="24"/>
              </w:rPr>
              <w:t>16.1一经发现投标人供应对人体健康有害的物资，除全部退货外，由此造成的经济损失由投标人承担，情节严重的，终止合同并追究投标人法律责任。</w:t>
            </w:r>
          </w:p>
          <w:p w14:paraId="7F1ED00E">
            <w:pPr>
              <w:pStyle w:val="2"/>
              <w:rPr>
                <w:rFonts w:ascii="宋体" w:eastAsia="宋体" w:cs="宋体"/>
                <w:b w:val="0"/>
                <w:bCs w:val="0"/>
                <w:sz w:val="24"/>
                <w:szCs w:val="24"/>
              </w:rPr>
            </w:pPr>
            <w:r>
              <w:rPr>
                <w:rFonts w:hint="eastAsia" w:ascii="宋体" w:eastAsia="宋体" w:cs="宋体"/>
                <w:b w:val="0"/>
                <w:bCs w:val="0"/>
                <w:sz w:val="24"/>
                <w:szCs w:val="24"/>
              </w:rPr>
              <w:t>16.2采购人在使用投标人提供的物资中，发现投标人的物资不符合要求或不符合国家食品质量、卫生安全标准的，投标人的人员立即到场进行确认，对物资进行拍照、固定证据、封存，并在封存后的工作时间内送检测部门进行检测。</w:t>
            </w:r>
          </w:p>
          <w:p w14:paraId="22289107">
            <w:pPr>
              <w:pStyle w:val="2"/>
              <w:rPr>
                <w:rFonts w:ascii="宋体" w:eastAsia="宋体" w:cs="宋体"/>
                <w:b w:val="0"/>
                <w:bCs w:val="0"/>
                <w:sz w:val="24"/>
                <w:szCs w:val="24"/>
              </w:rPr>
            </w:pPr>
            <w:r>
              <w:rPr>
                <w:rFonts w:hint="eastAsia" w:ascii="宋体" w:eastAsia="宋体" w:cs="宋体"/>
                <w:b w:val="0"/>
                <w:bCs w:val="0"/>
                <w:sz w:val="24"/>
                <w:szCs w:val="24"/>
              </w:rPr>
              <w:t>16.3投标人应有食品质量保证和食品安全保障措施。服务期间，投标人在本单位或其他配送单位出现安全（监管和食品卫生）事故的，采购人有权终止合同，并无需因此承担违约责任，由此造成的采购人经济损失由投标人承担。</w:t>
            </w:r>
          </w:p>
          <w:p w14:paraId="50061B0F">
            <w:pPr>
              <w:pStyle w:val="2"/>
              <w:rPr>
                <w:rFonts w:ascii="宋体" w:eastAsia="宋体" w:cs="宋体"/>
                <w:b w:val="0"/>
                <w:bCs w:val="0"/>
                <w:sz w:val="24"/>
                <w:szCs w:val="24"/>
              </w:rPr>
            </w:pPr>
            <w:r>
              <w:rPr>
                <w:rFonts w:hint="eastAsia" w:ascii="宋体" w:eastAsia="宋体" w:cs="宋体"/>
                <w:b w:val="0"/>
                <w:bCs w:val="0"/>
                <w:sz w:val="24"/>
                <w:szCs w:val="24"/>
              </w:rPr>
              <w:t>16.4食品来源应当是受到地方政府部门监管的专业流通市场或具有相关资质的厂家生产，严禁收购非标准产品供应。肉品的来源、生长环境、加工、包装、保存各环节均应制定相应的质量安全保障措施。</w:t>
            </w:r>
          </w:p>
          <w:p w14:paraId="060B3405">
            <w:pPr>
              <w:pStyle w:val="2"/>
              <w:rPr>
                <w:rFonts w:ascii="宋体" w:eastAsia="宋体" w:cs="宋体"/>
                <w:sz w:val="24"/>
                <w:szCs w:val="24"/>
                <w:highlight w:val="none"/>
              </w:rPr>
            </w:pPr>
            <w:r>
              <w:rPr>
                <w:rFonts w:hint="eastAsia" w:ascii="宋体" w:eastAsia="宋体" w:cs="宋体"/>
                <w:sz w:val="24"/>
                <w:szCs w:val="24"/>
                <w:highlight w:val="none"/>
              </w:rPr>
              <w:t>17.应急要求</w:t>
            </w:r>
          </w:p>
          <w:p w14:paraId="0043707F">
            <w:pPr>
              <w:pStyle w:val="2"/>
              <w:rPr>
                <w:rFonts w:ascii="宋体" w:eastAsia="宋体" w:cs="宋体"/>
                <w:b w:val="0"/>
                <w:bCs w:val="0"/>
                <w:sz w:val="24"/>
                <w:szCs w:val="24"/>
                <w:highlight w:val="none"/>
              </w:rPr>
            </w:pPr>
            <w:r>
              <w:rPr>
                <w:rFonts w:hint="eastAsia" w:ascii="宋体" w:eastAsia="宋体" w:cs="宋体"/>
                <w:b w:val="0"/>
                <w:bCs w:val="0"/>
                <w:sz w:val="24"/>
                <w:szCs w:val="24"/>
                <w:highlight w:val="none"/>
              </w:rPr>
              <w:t>投标人需设立应急工作小组并明确人员的组织架构。针对流行性疾病、极端天气、采购人肉品临时紧急供应要求、食物中毒或其他食源性疾患事故等特殊情况制定应急方案。明确对流行性疾病的应急措施，对台风、暴雨等极端气候条件下应急措施，以及针对采购人临时紧急的供货要求制定应急措施，确保突发情况下的物资供应不受影响。同时，需针对食物中毒或其他食源性疾患事故制定应急措施，预防食物安全问题，降低食物问题导致的风险。</w:t>
            </w:r>
          </w:p>
          <w:p w14:paraId="3F6E3DE1">
            <w:pPr>
              <w:pStyle w:val="2"/>
              <w:rPr>
                <w:rFonts w:ascii="宋体" w:eastAsia="宋体" w:cs="宋体"/>
                <w:sz w:val="24"/>
                <w:szCs w:val="24"/>
                <w:highlight w:val="none"/>
              </w:rPr>
            </w:pPr>
            <w:r>
              <w:rPr>
                <w:rFonts w:hint="eastAsia" w:ascii="宋体" w:eastAsia="宋体" w:cs="宋体"/>
                <w:sz w:val="24"/>
                <w:szCs w:val="24"/>
                <w:highlight w:val="none"/>
              </w:rPr>
              <w:t>18.其他要求</w:t>
            </w:r>
          </w:p>
          <w:p w14:paraId="33666810">
            <w:pPr>
              <w:pStyle w:val="2"/>
              <w:rPr>
                <w:rFonts w:ascii="宋体" w:eastAsia="宋体" w:cs="宋体"/>
                <w:b w:val="0"/>
                <w:bCs w:val="0"/>
                <w:sz w:val="24"/>
                <w:szCs w:val="24"/>
                <w:highlight w:val="none"/>
              </w:rPr>
            </w:pPr>
            <w:r>
              <w:rPr>
                <w:rFonts w:hint="eastAsia" w:ascii="宋体" w:eastAsia="宋体" w:cs="宋体"/>
                <w:b w:val="0"/>
                <w:bCs w:val="0"/>
                <w:sz w:val="24"/>
                <w:szCs w:val="24"/>
                <w:highlight w:val="none"/>
              </w:rPr>
              <w:t>18.1为保障本项目食品安全，在肉品采购、存储、配送过程中发生了财产人身安全责任事故的情况下，供应商须具备一定的风险抵御能力和偿付能力，在本项目服务期内，供应商需为本项目购买食品安全责任险，同时，供应商所供应的肉品可通过溯源平台追溯，从源头保证食品安全。</w:t>
            </w:r>
          </w:p>
          <w:p w14:paraId="21A44E0F">
            <w:pPr>
              <w:pStyle w:val="2"/>
              <w:rPr>
                <w:rFonts w:ascii="宋体" w:eastAsia="宋体" w:cs="宋体"/>
                <w:b w:val="0"/>
                <w:bCs w:val="0"/>
                <w:sz w:val="24"/>
                <w:szCs w:val="24"/>
                <w:highlight w:val="none"/>
              </w:rPr>
            </w:pPr>
            <w:r>
              <w:rPr>
                <w:rFonts w:hint="eastAsia" w:ascii="宋体" w:eastAsia="宋体" w:cs="宋体"/>
                <w:b w:val="0"/>
                <w:bCs w:val="0"/>
                <w:sz w:val="24"/>
                <w:szCs w:val="24"/>
                <w:highlight w:val="none"/>
              </w:rPr>
              <w:t>18.2供应商需具有同类项目履约经验，同时能为本项目投入肉类检测仪器，包含</w:t>
            </w:r>
            <w:r>
              <w:rPr>
                <w:rFonts w:hint="eastAsia" w:ascii="宋体" w:hAnsi="宋体" w:eastAsia="宋体" w:cs="宋体"/>
                <w:b w:val="0"/>
                <w:bCs w:val="0"/>
                <w:sz w:val="24"/>
                <w:szCs w:val="24"/>
                <w:highlight w:val="none"/>
                <w:lang w:val="en-US" w:eastAsia="zh-CN"/>
              </w:rPr>
              <w:t>瘦肉精检测仪、食品微生物检测仪、</w:t>
            </w:r>
            <w:r>
              <w:rPr>
                <w:rFonts w:hint="eastAsia" w:ascii="宋体" w:eastAsia="宋体" w:cs="宋体"/>
                <w:b w:val="0"/>
                <w:bCs w:val="0"/>
                <w:sz w:val="24"/>
                <w:szCs w:val="24"/>
                <w:highlight w:val="none"/>
              </w:rPr>
              <w:t>食品重金属检测仪、肉类水分测定仪、多功能食品安全检测仪、肉类兽药物残留检测仪，为本项目的肉品安全提供检测保障。</w:t>
            </w:r>
          </w:p>
          <w:p w14:paraId="0EA529A5">
            <w:pPr>
              <w:pStyle w:val="2"/>
              <w:rPr>
                <w:rFonts w:ascii="宋体" w:eastAsia="宋体" w:cs="宋体"/>
                <w:sz w:val="24"/>
                <w:szCs w:val="24"/>
              </w:rPr>
            </w:pPr>
            <w:r>
              <w:rPr>
                <w:rFonts w:hint="eastAsia" w:ascii="宋体" w:eastAsia="宋体" w:cs="宋体"/>
                <w:b w:val="0"/>
                <w:bCs w:val="0"/>
                <w:sz w:val="24"/>
                <w:szCs w:val="24"/>
                <w:highlight w:val="none"/>
              </w:rPr>
              <w:t>18.3本项目供货周期较长且采购量较大，供应商需具有稳定的供货保障能力，如具有养殖基地或者有稳定的鲜肉供货渠道保障。为保障鲜肉类的品质，供应商需为本项目投入冷藏库房。</w:t>
            </w:r>
          </w:p>
        </w:tc>
      </w:tr>
      <w:tr w14:paraId="7CE305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1" w:hRule="atLeast"/>
          <w:jc w:val="center"/>
        </w:trPr>
        <w:tc>
          <w:tcPr>
            <w:tcW w:w="1497" w:type="dxa"/>
            <w:vAlign w:val="center"/>
          </w:tcPr>
          <w:p w14:paraId="7CE64210">
            <w:pPr>
              <w:jc w:val="center"/>
              <w:rPr>
                <w:rFonts w:ascii="宋体" w:hAnsi="宋体" w:eastAsia="宋体" w:cs="宋体"/>
                <w:sz w:val="24"/>
                <w:szCs w:val="24"/>
                <w:highlight w:val="none"/>
              </w:rPr>
            </w:pPr>
            <w:r>
              <w:rPr>
                <w:rFonts w:ascii="宋体" w:hAnsi="宋体" w:eastAsia="宋体" w:cs="宋体"/>
                <w:spacing w:val="-4"/>
                <w:sz w:val="24"/>
                <w:szCs w:val="24"/>
                <w:highlight w:val="none"/>
              </w:rPr>
              <w:t>说明</w:t>
            </w:r>
          </w:p>
        </w:tc>
        <w:tc>
          <w:tcPr>
            <w:tcW w:w="7722" w:type="dxa"/>
            <w:gridSpan w:val="2"/>
          </w:tcPr>
          <w:p w14:paraId="72B79DB3">
            <w:pPr>
              <w:jc w:val="both"/>
              <w:rPr>
                <w:rFonts w:ascii="宋体" w:hAnsi="宋体" w:eastAsia="宋体" w:cs="宋体"/>
                <w:sz w:val="24"/>
                <w:szCs w:val="24"/>
                <w:highlight w:val="none"/>
              </w:rPr>
            </w:pPr>
            <w:r>
              <w:rPr>
                <w:rFonts w:ascii="宋体" w:hAnsi="宋体" w:eastAsia="宋体" w:cs="宋体"/>
                <w:sz w:val="24"/>
                <w:szCs w:val="24"/>
                <w:highlight w:val="none"/>
              </w:rPr>
              <w:t>打</w:t>
            </w:r>
            <w:r>
              <w:rPr>
                <w:rFonts w:ascii="宋体" w:hAnsi="宋体" w:eastAsia="宋体" w:cs="Lucida Sans Unicode"/>
                <w:sz w:val="24"/>
                <w:szCs w:val="24"/>
                <w:highlight w:val="none"/>
              </w:rPr>
              <w:t>“</w:t>
            </w:r>
            <w:r>
              <w:rPr>
                <w:rFonts w:ascii="宋体" w:hAnsi="宋体" w:eastAsia="宋体" w:cs="Microsoft JhengHei"/>
                <w:sz w:val="24"/>
                <w:szCs w:val="24"/>
                <w:highlight w:val="none"/>
              </w:rPr>
              <w:t>★</w:t>
            </w:r>
            <w:r>
              <w:rPr>
                <w:rFonts w:ascii="宋体" w:hAnsi="宋体" w:eastAsia="宋体" w:cs="Lucida Sans Unicode"/>
                <w:sz w:val="24"/>
                <w:szCs w:val="24"/>
                <w:highlight w:val="none"/>
              </w:rPr>
              <w:t>”</w:t>
            </w:r>
            <w:r>
              <w:rPr>
                <w:rFonts w:ascii="宋体" w:hAnsi="宋体" w:eastAsia="宋体" w:cs="宋体"/>
                <w:sz w:val="24"/>
                <w:szCs w:val="24"/>
                <w:highlight w:val="none"/>
              </w:rPr>
              <w:t>号条款为实质性条款，若有任何一条负偏离或不满足则导致投标无效。</w:t>
            </w:r>
          </w:p>
          <w:p w14:paraId="441FC0B9">
            <w:pPr>
              <w:ind w:right="194"/>
              <w:jc w:val="both"/>
              <w:rPr>
                <w:rFonts w:ascii="宋体" w:hAnsi="宋体" w:eastAsia="宋体" w:cs="宋体"/>
                <w:sz w:val="24"/>
                <w:szCs w:val="24"/>
                <w:highlight w:val="none"/>
              </w:rPr>
            </w:pPr>
            <w:r>
              <w:rPr>
                <w:rFonts w:hint="eastAsia" w:ascii="宋体" w:hAnsi="宋体" w:eastAsia="宋体" w:cs="宋体"/>
                <w:sz w:val="24"/>
                <w:szCs w:val="24"/>
                <w:highlight w:val="none"/>
              </w:rPr>
              <w:t>打“▲”号条款为重要技术参数，若有部分“▲”条款未响应或不满足，将导致其响应性评审加重扣分，但不作为无效投标条款。</w:t>
            </w:r>
          </w:p>
        </w:tc>
      </w:tr>
    </w:tbl>
    <w:p w14:paraId="3999B4C2">
      <w:pPr>
        <w:rPr>
          <w:rFonts w:asciiTheme="minorEastAsia" w:hAnsiTheme="minorEastAsia" w:eastAsiaTheme="minorEastAsia"/>
        </w:rPr>
        <w:sectPr>
          <w:footerReference r:id="rId3" w:type="default"/>
          <w:pgSz w:w="11900" w:h="16840"/>
          <w:pgMar w:top="1134" w:right="1127" w:bottom="1560" w:left="1134" w:header="0" w:footer="694" w:gutter="0"/>
          <w:cols w:space="720" w:num="1"/>
        </w:sectPr>
      </w:pPr>
      <w:r>
        <w:rPr>
          <w:rFonts w:ascii="仿宋_GB2312" w:hAnsi="仿宋_GB2312" w:eastAsia="仿宋_GB2312" w:cs="仿宋_GB2312"/>
          <w:sz w:val="24"/>
        </w:rPr>
        <w:br w:type="page"/>
      </w:r>
    </w:p>
    <w:p w14:paraId="1E5C5AC4">
      <w:pPr>
        <w:pStyle w:val="40"/>
        <w:outlineLvl w:val="2"/>
        <w:rPr>
          <w:rFonts w:hint="default" w:ascii="仿宋_GB2312" w:hAnsi="宋体" w:eastAsia="仿宋_GB2312" w:cs="宋体"/>
          <w:b/>
          <w:sz w:val="28"/>
          <w:szCs w:val="28"/>
        </w:rPr>
      </w:pPr>
      <w:r>
        <w:rPr>
          <w:rFonts w:ascii="仿宋_GB2312" w:hAnsi="宋体" w:eastAsia="仿宋_GB2312"/>
          <w:b/>
          <w:sz w:val="28"/>
          <w:szCs w:val="28"/>
        </w:rPr>
        <w:t>附件2：供货商月度考核评分表</w:t>
      </w:r>
    </w:p>
    <w:p w14:paraId="36DAD424">
      <w:pPr>
        <w:widowControl w:val="0"/>
        <w:tabs>
          <w:tab w:val="left" w:pos="567"/>
        </w:tabs>
        <w:kinsoku/>
        <w:autoSpaceDE/>
        <w:autoSpaceDN/>
        <w:adjustRightInd/>
        <w:snapToGrid/>
        <w:jc w:val="center"/>
        <w:textAlignment w:val="auto"/>
        <w:rPr>
          <w:rFonts w:ascii="仿宋_GB2312" w:hAnsi="Calibri" w:eastAsia="仿宋_GB2312" w:cs="宋体"/>
          <w:b/>
          <w:snapToGrid/>
          <w:color w:val="auto"/>
          <w:kern w:val="2"/>
          <w:sz w:val="24"/>
          <w:szCs w:val="24"/>
        </w:rPr>
      </w:pPr>
      <w:r>
        <w:rPr>
          <w:rFonts w:hint="eastAsia" w:ascii="仿宋_GB2312" w:hAnsi="宋体" w:eastAsia="仿宋_GB2312" w:cs="宋体"/>
          <w:b/>
          <w:snapToGrid/>
          <w:color w:val="auto"/>
          <w:kern w:val="2"/>
          <w:sz w:val="24"/>
          <w:szCs w:val="24"/>
        </w:rPr>
        <w:t>供货商月度考核评分表</w:t>
      </w:r>
    </w:p>
    <w:p w14:paraId="1DC8E7BF">
      <w:pPr>
        <w:widowControl w:val="0"/>
        <w:tabs>
          <w:tab w:val="left" w:pos="567"/>
        </w:tabs>
        <w:kinsoku/>
        <w:autoSpaceDE/>
        <w:autoSpaceDN/>
        <w:adjustRightInd/>
        <w:snapToGrid/>
        <w:ind w:left="4"/>
        <w:textAlignment w:val="auto"/>
        <w:rPr>
          <w:rFonts w:ascii="仿宋_GB2312" w:hAnsi="Calibri" w:eastAsia="仿宋_GB2312" w:cs="宋体"/>
          <w:b/>
          <w:snapToGrid/>
          <w:color w:val="auto"/>
          <w:kern w:val="2"/>
          <w:sz w:val="24"/>
          <w:szCs w:val="24"/>
        </w:rPr>
      </w:pPr>
      <w:r>
        <w:rPr>
          <w:rFonts w:hint="eastAsia" w:ascii="仿宋_GB2312" w:hAnsi="宋体" w:eastAsia="仿宋_GB2312" w:cs="宋体"/>
          <w:b/>
          <w:snapToGrid/>
          <w:color w:val="auto"/>
          <w:kern w:val="2"/>
          <w:sz w:val="24"/>
          <w:szCs w:val="24"/>
        </w:rPr>
        <w:t>供应商名称：</w:t>
      </w:r>
      <w:r>
        <w:rPr>
          <w:rFonts w:hint="eastAsia" w:ascii="仿宋_GB2312" w:hAnsi="Calibri" w:eastAsia="仿宋_GB2312" w:cs="宋体"/>
          <w:b/>
          <w:snapToGrid/>
          <w:color w:val="auto"/>
          <w:kern w:val="2"/>
          <w:sz w:val="24"/>
          <w:szCs w:val="24"/>
        </w:rPr>
        <w:t xml:space="preserve">                                                                  </w:t>
      </w:r>
    </w:p>
    <w:p w14:paraId="0CAEAA67">
      <w:pPr>
        <w:widowControl w:val="0"/>
        <w:tabs>
          <w:tab w:val="left" w:pos="567"/>
        </w:tabs>
        <w:kinsoku/>
        <w:autoSpaceDE/>
        <w:autoSpaceDN/>
        <w:adjustRightInd/>
        <w:snapToGrid/>
        <w:ind w:left="4"/>
        <w:textAlignment w:val="auto"/>
        <w:rPr>
          <w:rFonts w:ascii="仿宋_GB2312" w:hAnsi="Calibri" w:eastAsia="仿宋_GB2312" w:cs="宋体"/>
          <w:b/>
          <w:snapToGrid/>
          <w:color w:val="auto"/>
          <w:kern w:val="2"/>
          <w:sz w:val="24"/>
          <w:szCs w:val="24"/>
        </w:rPr>
      </w:pPr>
      <w:r>
        <w:rPr>
          <w:rFonts w:hint="eastAsia" w:ascii="仿宋_GB2312" w:hAnsi="宋体" w:eastAsia="仿宋_GB2312" w:cs="宋体"/>
          <w:b/>
          <w:snapToGrid/>
          <w:color w:val="auto"/>
          <w:kern w:val="2"/>
          <w:sz w:val="24"/>
          <w:szCs w:val="24"/>
        </w:rPr>
        <w:t>考</w:t>
      </w:r>
      <w:r>
        <w:rPr>
          <w:rFonts w:hint="eastAsia" w:ascii="仿宋_GB2312" w:hAnsi="Calibri" w:eastAsia="仿宋_GB2312" w:cs="宋体"/>
          <w:b/>
          <w:snapToGrid/>
          <w:color w:val="auto"/>
          <w:kern w:val="2"/>
          <w:sz w:val="24"/>
          <w:szCs w:val="24"/>
        </w:rPr>
        <w:t xml:space="preserve"> </w:t>
      </w:r>
      <w:r>
        <w:rPr>
          <w:rFonts w:hint="eastAsia" w:ascii="仿宋_GB2312" w:hAnsi="宋体" w:eastAsia="仿宋_GB2312" w:cs="宋体"/>
          <w:b/>
          <w:snapToGrid/>
          <w:color w:val="auto"/>
          <w:kern w:val="2"/>
          <w:sz w:val="24"/>
          <w:szCs w:val="24"/>
        </w:rPr>
        <w:t>核</w:t>
      </w:r>
      <w:r>
        <w:rPr>
          <w:rFonts w:hint="eastAsia" w:ascii="仿宋_GB2312" w:hAnsi="Calibri" w:eastAsia="仿宋_GB2312" w:cs="宋体"/>
          <w:b/>
          <w:snapToGrid/>
          <w:color w:val="auto"/>
          <w:kern w:val="2"/>
          <w:sz w:val="24"/>
          <w:szCs w:val="24"/>
        </w:rPr>
        <w:t xml:space="preserve"> </w:t>
      </w:r>
      <w:r>
        <w:rPr>
          <w:rFonts w:hint="eastAsia" w:ascii="仿宋_GB2312" w:hAnsi="宋体" w:eastAsia="仿宋_GB2312" w:cs="宋体"/>
          <w:b/>
          <w:snapToGrid/>
          <w:color w:val="auto"/>
          <w:kern w:val="2"/>
          <w:sz w:val="24"/>
          <w:szCs w:val="24"/>
        </w:rPr>
        <w:t>项</w:t>
      </w:r>
      <w:r>
        <w:rPr>
          <w:rFonts w:hint="eastAsia" w:ascii="仿宋_GB2312" w:hAnsi="Calibri" w:eastAsia="仿宋_GB2312" w:cs="宋体"/>
          <w:b/>
          <w:snapToGrid/>
          <w:color w:val="auto"/>
          <w:kern w:val="2"/>
          <w:sz w:val="24"/>
          <w:szCs w:val="24"/>
        </w:rPr>
        <w:t xml:space="preserve"> </w:t>
      </w:r>
      <w:r>
        <w:rPr>
          <w:rFonts w:hint="eastAsia" w:ascii="仿宋_GB2312" w:hAnsi="宋体" w:eastAsia="仿宋_GB2312" w:cs="宋体"/>
          <w:b/>
          <w:snapToGrid/>
          <w:color w:val="auto"/>
          <w:kern w:val="2"/>
          <w:sz w:val="24"/>
          <w:szCs w:val="24"/>
        </w:rPr>
        <w:t>目：</w:t>
      </w:r>
      <w:r>
        <w:rPr>
          <w:rFonts w:hint="eastAsia" w:ascii="仿宋_GB2312" w:hAnsi="Calibri" w:eastAsia="仿宋_GB2312" w:cs="宋体"/>
          <w:b/>
          <w:snapToGrid/>
          <w:color w:val="auto"/>
          <w:kern w:val="2"/>
          <w:sz w:val="24"/>
          <w:szCs w:val="24"/>
        </w:rPr>
        <w:t xml:space="preserve">                    </w:t>
      </w:r>
    </w:p>
    <w:p w14:paraId="3F0A0DEB">
      <w:pPr>
        <w:widowControl w:val="0"/>
        <w:tabs>
          <w:tab w:val="left" w:pos="567"/>
        </w:tabs>
        <w:kinsoku/>
        <w:autoSpaceDE/>
        <w:autoSpaceDN/>
        <w:adjustRightInd/>
        <w:snapToGrid/>
        <w:ind w:left="4"/>
        <w:textAlignment w:val="auto"/>
        <w:rPr>
          <w:rFonts w:ascii="仿宋_GB2312" w:hAnsi="Calibri" w:eastAsia="仿宋_GB2312" w:cs="宋体"/>
          <w:b/>
          <w:snapToGrid/>
          <w:color w:val="auto"/>
          <w:kern w:val="2"/>
          <w:sz w:val="24"/>
          <w:szCs w:val="24"/>
        </w:rPr>
      </w:pPr>
      <w:r>
        <w:rPr>
          <w:rFonts w:hint="eastAsia" w:ascii="仿宋_GB2312" w:hAnsi="宋体" w:eastAsia="仿宋_GB2312" w:cs="宋体"/>
          <w:b/>
          <w:snapToGrid/>
          <w:color w:val="auto"/>
          <w:kern w:val="2"/>
          <w:sz w:val="24"/>
          <w:szCs w:val="24"/>
        </w:rPr>
        <w:t>考核月度：</w:t>
      </w:r>
      <w:r>
        <w:rPr>
          <w:rFonts w:hint="eastAsia" w:ascii="仿宋_GB2312" w:hAnsi="Calibri" w:eastAsia="仿宋_GB2312" w:cs="宋体"/>
          <w:b/>
          <w:snapToGrid/>
          <w:color w:val="auto"/>
          <w:kern w:val="2"/>
          <w:sz w:val="24"/>
          <w:szCs w:val="24"/>
        </w:rPr>
        <w:t xml:space="preserve">   </w:t>
      </w:r>
      <w:r>
        <w:rPr>
          <w:rFonts w:hint="eastAsia" w:ascii="仿宋_GB2312" w:hAnsi="宋体" w:eastAsia="仿宋_GB2312" w:cs="宋体"/>
          <w:b/>
          <w:snapToGrid/>
          <w:color w:val="auto"/>
          <w:kern w:val="2"/>
          <w:sz w:val="24"/>
          <w:szCs w:val="24"/>
        </w:rPr>
        <w:t>年</w:t>
      </w:r>
      <w:r>
        <w:rPr>
          <w:rFonts w:hint="eastAsia" w:ascii="仿宋_GB2312" w:hAnsi="Calibri" w:eastAsia="仿宋_GB2312" w:cs="宋体"/>
          <w:b/>
          <w:snapToGrid/>
          <w:color w:val="auto"/>
          <w:kern w:val="2"/>
          <w:sz w:val="24"/>
          <w:szCs w:val="24"/>
        </w:rPr>
        <w:t xml:space="preserve">      </w:t>
      </w:r>
      <w:r>
        <w:rPr>
          <w:rFonts w:hint="eastAsia" w:ascii="仿宋_GB2312" w:hAnsi="宋体" w:eastAsia="仿宋_GB2312" w:cs="宋体"/>
          <w:b/>
          <w:snapToGrid/>
          <w:color w:val="auto"/>
          <w:kern w:val="2"/>
          <w:sz w:val="24"/>
          <w:szCs w:val="24"/>
        </w:rPr>
        <w:t>月</w:t>
      </w:r>
      <w:r>
        <w:rPr>
          <w:rFonts w:hint="eastAsia" w:ascii="仿宋_GB2312" w:hAnsi="Calibri" w:eastAsia="仿宋_GB2312" w:cs="宋体"/>
          <w:b/>
          <w:snapToGrid/>
          <w:color w:val="auto"/>
          <w:kern w:val="2"/>
          <w:sz w:val="24"/>
          <w:szCs w:val="24"/>
        </w:rPr>
        <w:t xml:space="preserve">             </w:t>
      </w:r>
    </w:p>
    <w:p w14:paraId="1FC4B44C">
      <w:pPr>
        <w:widowControl w:val="0"/>
        <w:tabs>
          <w:tab w:val="left" w:pos="567"/>
        </w:tabs>
        <w:kinsoku/>
        <w:autoSpaceDE/>
        <w:autoSpaceDN/>
        <w:adjustRightInd/>
        <w:snapToGrid/>
        <w:ind w:left="4"/>
        <w:textAlignment w:val="auto"/>
        <w:rPr>
          <w:rFonts w:ascii="仿宋_GB2312" w:hAnsi="宋体" w:eastAsia="仿宋_GB2312" w:cs="宋体"/>
          <w:b/>
          <w:snapToGrid/>
          <w:color w:val="auto"/>
          <w:kern w:val="2"/>
          <w:sz w:val="24"/>
          <w:szCs w:val="24"/>
        </w:rPr>
      </w:pPr>
      <w:r>
        <w:rPr>
          <w:rFonts w:hint="eastAsia" w:ascii="仿宋_GB2312" w:hAnsi="宋体" w:eastAsia="仿宋_GB2312" w:cs="宋体"/>
          <w:b/>
          <w:snapToGrid/>
          <w:color w:val="auto"/>
          <w:kern w:val="2"/>
          <w:sz w:val="24"/>
          <w:szCs w:val="24"/>
        </w:rPr>
        <w:t>考核人员（膳食管理科考核小组）签名：</w:t>
      </w:r>
    </w:p>
    <w:p w14:paraId="3DEB4B17">
      <w:pPr>
        <w:widowControl w:val="0"/>
        <w:tabs>
          <w:tab w:val="left" w:pos="567"/>
        </w:tabs>
        <w:kinsoku/>
        <w:autoSpaceDE/>
        <w:autoSpaceDN/>
        <w:adjustRightInd/>
        <w:snapToGrid/>
        <w:ind w:left="4"/>
        <w:textAlignment w:val="auto"/>
        <w:rPr>
          <w:rFonts w:ascii="仿宋_GB2312" w:hAnsi="宋体" w:eastAsia="仿宋_GB2312" w:cs="宋体"/>
          <w:b/>
          <w:bCs/>
          <w:snapToGrid/>
          <w:color w:val="auto"/>
          <w:kern w:val="2"/>
          <w:sz w:val="24"/>
          <w:szCs w:val="24"/>
        </w:rPr>
      </w:pPr>
    </w:p>
    <w:tbl>
      <w:tblPr>
        <w:tblStyle w:val="11"/>
        <w:tblW w:w="10258" w:type="dxa"/>
        <w:tblInd w:w="-99"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1307"/>
        <w:gridCol w:w="2027"/>
        <w:gridCol w:w="843"/>
        <w:gridCol w:w="5068"/>
        <w:gridCol w:w="1013"/>
      </w:tblGrid>
      <w:tr w14:paraId="70E8FBC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433" w:hRule="atLeast"/>
        </w:trPr>
        <w:tc>
          <w:tcPr>
            <w:tcW w:w="1307"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718CAD42">
            <w:pPr>
              <w:kinsoku/>
              <w:autoSpaceDE/>
              <w:autoSpaceDN/>
              <w:adjustRightInd/>
              <w:snapToGrid/>
              <w:ind w:left="90" w:right="75" w:firstLine="1"/>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color w:val="auto"/>
                <w:sz w:val="24"/>
                <w:szCs w:val="24"/>
                <w:lang w:eastAsia="zh-Hans"/>
              </w:rPr>
              <w:t>项目</w:t>
            </w:r>
          </w:p>
        </w:tc>
        <w:tc>
          <w:tcPr>
            <w:tcW w:w="2027"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6F30B788">
            <w:pPr>
              <w:kinsoku/>
              <w:autoSpaceDE/>
              <w:autoSpaceDN/>
              <w:adjustRightInd/>
              <w:snapToGrid/>
              <w:ind w:left="90" w:right="75" w:firstLine="1"/>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color w:val="auto"/>
                <w:sz w:val="24"/>
                <w:szCs w:val="24"/>
                <w:lang w:eastAsia="zh-Hans"/>
              </w:rPr>
              <w:t>考核内容</w:t>
            </w:r>
          </w:p>
        </w:tc>
        <w:tc>
          <w:tcPr>
            <w:tcW w:w="84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766028FB">
            <w:pPr>
              <w:kinsoku/>
              <w:autoSpaceDE/>
              <w:autoSpaceDN/>
              <w:adjustRightInd/>
              <w:snapToGrid/>
              <w:ind w:left="90" w:right="75" w:firstLine="1"/>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color w:val="auto"/>
                <w:sz w:val="24"/>
                <w:szCs w:val="24"/>
                <w:lang w:eastAsia="zh-Hans"/>
              </w:rPr>
              <w:t>分值</w:t>
            </w:r>
          </w:p>
        </w:tc>
        <w:tc>
          <w:tcPr>
            <w:tcW w:w="5068"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3DC8E66D">
            <w:pPr>
              <w:kinsoku/>
              <w:autoSpaceDE/>
              <w:autoSpaceDN/>
              <w:adjustRightInd/>
              <w:snapToGrid/>
              <w:ind w:left="90" w:right="75" w:firstLine="1"/>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color w:val="auto"/>
                <w:sz w:val="24"/>
                <w:szCs w:val="24"/>
                <w:lang w:eastAsia="zh-Hans"/>
              </w:rPr>
              <w:t>评分标准</w:t>
            </w:r>
          </w:p>
        </w:tc>
        <w:tc>
          <w:tcPr>
            <w:tcW w:w="101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6E84B263">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得分</w:t>
            </w:r>
          </w:p>
        </w:tc>
      </w:tr>
      <w:tr w14:paraId="4326895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277" w:hRule="atLeast"/>
        </w:trPr>
        <w:tc>
          <w:tcPr>
            <w:tcW w:w="130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3F670A58">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供应情况</w:t>
            </w:r>
          </w:p>
        </w:tc>
        <w:tc>
          <w:tcPr>
            <w:tcW w:w="202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44519ECC">
            <w:pPr>
              <w:kinsoku/>
              <w:autoSpaceDE/>
              <w:autoSpaceDN/>
              <w:adjustRightInd/>
              <w:snapToGrid/>
              <w:ind w:left="90" w:right="75"/>
              <w:jc w:val="both"/>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供货是否足斤足两，是否存在差错</w:t>
            </w:r>
          </w:p>
        </w:tc>
        <w:tc>
          <w:tcPr>
            <w:tcW w:w="843"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72FE7A51">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20</w:t>
            </w:r>
          </w:p>
        </w:tc>
        <w:tc>
          <w:tcPr>
            <w:tcW w:w="5068"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78A373A9">
            <w:pPr>
              <w:kinsoku/>
              <w:autoSpaceDE/>
              <w:autoSpaceDN/>
              <w:adjustRightInd/>
              <w:snapToGrid/>
              <w:ind w:left="90" w:right="75" w:firstLine="1"/>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供应商供应的</w:t>
            </w: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w:t>
            </w:r>
            <w:r>
              <w:rPr>
                <w:rFonts w:ascii="仿宋_GB2312" w:hAnsi="Calibri" w:eastAsia="仿宋_GB2312" w:cs="Times New Roman"/>
                <w:snapToGrid/>
                <w:color w:val="auto"/>
                <w:sz w:val="24"/>
                <w:szCs w:val="24"/>
                <w:lang w:eastAsia="zh-Hans"/>
              </w:rPr>
              <w:t>出现短斤缺两，</w:t>
            </w:r>
            <w:r>
              <w:rPr>
                <w:rFonts w:ascii="仿宋_GB2312" w:hAnsi="Calibri" w:eastAsia="仿宋_GB2312" w:cs="Times New Roman"/>
                <w:snapToGrid/>
                <w:sz w:val="24"/>
                <w:szCs w:val="24"/>
                <w:lang w:eastAsia="zh-Hans"/>
              </w:rPr>
              <w:t>单次送货的全部或部分</w:t>
            </w: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品重量少于采购计划的要求，且</w:t>
            </w:r>
            <w:r>
              <w:rPr>
                <w:rFonts w:ascii="仿宋_GB2312" w:hAnsi="Calibri" w:eastAsia="仿宋_GB2312" w:cs="Times New Roman"/>
                <w:snapToGrid/>
                <w:color w:val="auto"/>
                <w:sz w:val="24"/>
                <w:szCs w:val="24"/>
                <w:lang w:eastAsia="zh-Hans"/>
              </w:rPr>
              <w:t>未能按时补充，每次扣1分。</w:t>
            </w:r>
          </w:p>
        </w:tc>
        <w:tc>
          <w:tcPr>
            <w:tcW w:w="1013" w:type="dxa"/>
            <w:tcBorders>
              <w:top w:val="nil"/>
              <w:left w:val="single" w:color="000000" w:sz="4" w:space="0"/>
              <w:bottom w:val="single" w:color="000000" w:sz="4" w:space="0"/>
              <w:right w:val="single" w:color="000000" w:sz="4" w:space="0"/>
            </w:tcBorders>
            <w:tcMar>
              <w:top w:w="0" w:type="dxa"/>
              <w:left w:w="0" w:type="dxa"/>
              <w:bottom w:w="0" w:type="dxa"/>
              <w:right w:w="0" w:type="dxa"/>
            </w:tcMar>
          </w:tcPr>
          <w:p w14:paraId="6A7A8625">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46CD146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277" w:hRule="atLeast"/>
        </w:trPr>
        <w:tc>
          <w:tcPr>
            <w:tcW w:w="130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3748F35A">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质量情况</w:t>
            </w:r>
          </w:p>
        </w:tc>
        <w:tc>
          <w:tcPr>
            <w:tcW w:w="202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4E9AB4CA">
            <w:pPr>
              <w:kinsoku/>
              <w:autoSpaceDE/>
              <w:autoSpaceDN/>
              <w:adjustRightInd/>
              <w:snapToGrid/>
              <w:ind w:left="90" w:right="75" w:firstLine="14"/>
              <w:jc w:val="both"/>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品质量是否达到</w:t>
            </w:r>
            <w:r>
              <w:rPr>
                <w:rFonts w:ascii="仿宋_GB2312" w:hAnsi="Calibri" w:eastAsia="仿宋_GB2312" w:cs="Times New Roman"/>
                <w:snapToGrid/>
                <w:sz w:val="24"/>
                <w:szCs w:val="24"/>
              </w:rPr>
              <w:t>采购</w:t>
            </w:r>
            <w:r>
              <w:rPr>
                <w:rFonts w:ascii="仿宋_GB2312" w:hAnsi="Calibri" w:eastAsia="仿宋_GB2312" w:cs="Times New Roman"/>
                <w:snapToGrid/>
                <w:sz w:val="24"/>
                <w:szCs w:val="24"/>
                <w:lang w:eastAsia="zh-Hans"/>
              </w:rPr>
              <w:t>的要求</w:t>
            </w:r>
          </w:p>
        </w:tc>
        <w:tc>
          <w:tcPr>
            <w:tcW w:w="843"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407BF771">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20</w:t>
            </w:r>
          </w:p>
        </w:tc>
        <w:tc>
          <w:tcPr>
            <w:tcW w:w="5068"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33B35CE9">
            <w:pPr>
              <w:kinsoku/>
              <w:autoSpaceDE/>
              <w:autoSpaceDN/>
              <w:adjustRightInd/>
              <w:snapToGrid/>
              <w:ind w:left="90" w:right="30"/>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按招标</w:t>
            </w: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品的质量标准以及市场公认的</w:t>
            </w: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品质量标准，</w:t>
            </w:r>
            <w:r>
              <w:rPr>
                <w:rFonts w:ascii="仿宋_GB2312" w:hAnsi="Calibri" w:eastAsia="仿宋_GB2312" w:cs="Times New Roman"/>
                <w:snapToGrid/>
                <w:sz w:val="24"/>
                <w:szCs w:val="24"/>
              </w:rPr>
              <w:t>甲方</w:t>
            </w:r>
            <w:r>
              <w:rPr>
                <w:rFonts w:ascii="仿宋_GB2312" w:hAnsi="Calibri" w:eastAsia="仿宋_GB2312" w:cs="Times New Roman"/>
                <w:snapToGrid/>
                <w:sz w:val="24"/>
                <w:szCs w:val="24"/>
                <w:lang w:eastAsia="zh-Hans"/>
              </w:rPr>
              <w:t>对</w:t>
            </w:r>
            <w:r>
              <w:rPr>
                <w:rFonts w:ascii="仿宋_GB2312" w:hAnsi="Calibri" w:eastAsia="仿宋_GB2312" w:cs="Times New Roman"/>
                <w:snapToGrid/>
                <w:sz w:val="24"/>
                <w:szCs w:val="24"/>
              </w:rPr>
              <w:t>乙方</w:t>
            </w:r>
            <w:r>
              <w:rPr>
                <w:rFonts w:ascii="仿宋_GB2312" w:hAnsi="Calibri" w:eastAsia="仿宋_GB2312" w:cs="Times New Roman"/>
                <w:snapToGrid/>
                <w:sz w:val="24"/>
                <w:szCs w:val="24"/>
                <w:lang w:eastAsia="zh-Hans"/>
              </w:rPr>
              <w:t>一个月以来所送的</w:t>
            </w: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品进行评价，判断其质量优劣，肉品质量不达标每次扣2分。</w:t>
            </w:r>
          </w:p>
        </w:tc>
        <w:tc>
          <w:tcPr>
            <w:tcW w:w="1013" w:type="dxa"/>
            <w:tcBorders>
              <w:top w:val="nil"/>
              <w:left w:val="single" w:color="000000" w:sz="4" w:space="0"/>
              <w:bottom w:val="single" w:color="000000" w:sz="4" w:space="0"/>
              <w:right w:val="single" w:color="000000" w:sz="4" w:space="0"/>
            </w:tcBorders>
            <w:tcMar>
              <w:top w:w="0" w:type="dxa"/>
              <w:left w:w="0" w:type="dxa"/>
              <w:bottom w:w="0" w:type="dxa"/>
              <w:right w:w="0" w:type="dxa"/>
            </w:tcMar>
          </w:tcPr>
          <w:p w14:paraId="5A1291C8">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215C487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910" w:hRule="atLeast"/>
        </w:trPr>
        <w:tc>
          <w:tcPr>
            <w:tcW w:w="130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31ABEDD2">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配送车辆情况</w:t>
            </w:r>
          </w:p>
        </w:tc>
        <w:tc>
          <w:tcPr>
            <w:tcW w:w="202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642CC76D">
            <w:pPr>
              <w:kinsoku/>
              <w:autoSpaceDE/>
              <w:autoSpaceDN/>
              <w:adjustRightInd/>
              <w:snapToGrid/>
              <w:ind w:left="90" w:right="75"/>
              <w:jc w:val="both"/>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配送肉品的运输车辆、储物筐箱是否保持卫生清洁、是否能符合运输标准</w:t>
            </w:r>
          </w:p>
        </w:tc>
        <w:tc>
          <w:tcPr>
            <w:tcW w:w="843"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7D371BAC">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10</w:t>
            </w:r>
          </w:p>
        </w:tc>
        <w:tc>
          <w:tcPr>
            <w:tcW w:w="5068"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23CC9D29">
            <w:pPr>
              <w:kinsoku/>
              <w:autoSpaceDE/>
              <w:autoSpaceDN/>
              <w:adjustRightInd/>
              <w:snapToGrid/>
              <w:ind w:left="90" w:right="30"/>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抽查发现不符合卫生清洁要求、</w:t>
            </w:r>
            <w:r>
              <w:rPr>
                <w:rFonts w:ascii="仿宋_GB2312" w:hAnsi="Calibri" w:eastAsia="仿宋_GB2312" w:cs="Times New Roman"/>
                <w:snapToGrid/>
                <w:sz w:val="24"/>
                <w:szCs w:val="24"/>
              </w:rPr>
              <w:t>肉品</w:t>
            </w:r>
            <w:r>
              <w:rPr>
                <w:rFonts w:ascii="仿宋_GB2312" w:hAnsi="Calibri" w:eastAsia="仿宋_GB2312" w:cs="Times New Roman"/>
                <w:snapToGrid/>
                <w:sz w:val="24"/>
                <w:szCs w:val="24"/>
                <w:lang w:eastAsia="zh-Hans"/>
              </w:rPr>
              <w:t>运输</w:t>
            </w:r>
            <w:r>
              <w:rPr>
                <w:rFonts w:ascii="仿宋_GB2312" w:hAnsi="Calibri" w:eastAsia="仿宋_GB2312" w:cs="Times New Roman"/>
                <w:snapToGrid/>
                <w:sz w:val="24"/>
                <w:szCs w:val="24"/>
              </w:rPr>
              <w:t>标准</w:t>
            </w:r>
            <w:r>
              <w:rPr>
                <w:rFonts w:ascii="仿宋_GB2312" w:hAnsi="Calibri" w:eastAsia="仿宋_GB2312" w:cs="Times New Roman"/>
                <w:snapToGrid/>
                <w:sz w:val="24"/>
                <w:szCs w:val="24"/>
                <w:lang w:eastAsia="zh-Hans"/>
              </w:rPr>
              <w:t>，每次扣1分/次</w:t>
            </w:r>
          </w:p>
        </w:tc>
        <w:tc>
          <w:tcPr>
            <w:tcW w:w="1013" w:type="dxa"/>
            <w:tcBorders>
              <w:top w:val="nil"/>
              <w:left w:val="single" w:color="000000" w:sz="4" w:space="0"/>
              <w:bottom w:val="single" w:color="000000" w:sz="4" w:space="0"/>
              <w:right w:val="single" w:color="000000" w:sz="4" w:space="0"/>
            </w:tcBorders>
            <w:tcMar>
              <w:top w:w="0" w:type="dxa"/>
              <w:left w:w="0" w:type="dxa"/>
              <w:bottom w:w="0" w:type="dxa"/>
              <w:right w:w="0" w:type="dxa"/>
            </w:tcMar>
          </w:tcPr>
          <w:p w14:paraId="60D711F3">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6478DC9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594" w:hRule="atLeast"/>
        </w:trPr>
        <w:tc>
          <w:tcPr>
            <w:tcW w:w="130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21992A54">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到货时间</w:t>
            </w:r>
          </w:p>
        </w:tc>
        <w:tc>
          <w:tcPr>
            <w:tcW w:w="202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1C3DE9F1">
            <w:pPr>
              <w:kinsoku/>
              <w:autoSpaceDE/>
              <w:autoSpaceDN/>
              <w:adjustRightInd/>
              <w:snapToGrid/>
              <w:ind w:left="90"/>
              <w:jc w:val="both"/>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供货时间是否准时</w:t>
            </w:r>
          </w:p>
        </w:tc>
        <w:tc>
          <w:tcPr>
            <w:tcW w:w="843"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3FEFF76F">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10</w:t>
            </w:r>
          </w:p>
        </w:tc>
        <w:tc>
          <w:tcPr>
            <w:tcW w:w="5068"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62FB9804">
            <w:pPr>
              <w:kinsoku/>
              <w:autoSpaceDE/>
              <w:autoSpaceDN/>
              <w:adjustRightInd/>
              <w:snapToGrid/>
              <w:ind w:left="90" w:right="75"/>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供货商未能在用户规定的时间内将</w:t>
            </w: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品送达指定的地点（影响到病人正常餐饮时间），每次迟到半小时扣1分；迟到1小时扣2分，迟到1小时以上视为不送货处理，本项不得分。</w:t>
            </w:r>
          </w:p>
        </w:tc>
        <w:tc>
          <w:tcPr>
            <w:tcW w:w="1013" w:type="dxa"/>
            <w:tcBorders>
              <w:top w:val="nil"/>
              <w:left w:val="single" w:color="000000" w:sz="4" w:space="0"/>
              <w:bottom w:val="single" w:color="000000" w:sz="4" w:space="0"/>
              <w:right w:val="single" w:color="000000" w:sz="4" w:space="0"/>
            </w:tcBorders>
            <w:tcMar>
              <w:top w:w="0" w:type="dxa"/>
              <w:left w:w="0" w:type="dxa"/>
              <w:bottom w:w="0" w:type="dxa"/>
              <w:right w:w="0" w:type="dxa"/>
            </w:tcMar>
          </w:tcPr>
          <w:p w14:paraId="25CF3102">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34BE227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594" w:hRule="atLeast"/>
        </w:trPr>
        <w:tc>
          <w:tcPr>
            <w:tcW w:w="130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494EA1E8">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换货情况</w:t>
            </w:r>
          </w:p>
        </w:tc>
        <w:tc>
          <w:tcPr>
            <w:tcW w:w="202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3C740F9A">
            <w:pPr>
              <w:kinsoku/>
              <w:autoSpaceDE/>
              <w:autoSpaceDN/>
              <w:adjustRightInd/>
              <w:snapToGrid/>
              <w:ind w:left="90" w:right="75"/>
              <w:jc w:val="both"/>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是否及时换货</w:t>
            </w:r>
          </w:p>
        </w:tc>
        <w:tc>
          <w:tcPr>
            <w:tcW w:w="843"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05A60430">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10</w:t>
            </w:r>
          </w:p>
        </w:tc>
        <w:tc>
          <w:tcPr>
            <w:tcW w:w="5068"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6D7022B7">
            <w:pPr>
              <w:kinsoku/>
              <w:autoSpaceDE/>
              <w:autoSpaceDN/>
              <w:adjustRightInd/>
              <w:snapToGrid/>
              <w:ind w:left="90" w:right="75"/>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在送货中，如果出现质量、数量或货品不符合用户要求，需要更换</w:t>
            </w:r>
            <w:r>
              <w:rPr>
                <w:rFonts w:ascii="仿宋_GB2312" w:hAnsi="Calibri" w:eastAsia="仿宋_GB2312" w:cs="Times New Roman"/>
                <w:snapToGrid/>
                <w:color w:val="auto"/>
                <w:sz w:val="24"/>
                <w:szCs w:val="24"/>
                <w:lang w:eastAsia="zh-Hans"/>
              </w:rPr>
              <w:t xml:space="preserve"> </w:t>
            </w:r>
            <w:r>
              <w:rPr>
                <w:rFonts w:ascii="仿宋_GB2312" w:hAnsi="Calibri" w:eastAsia="仿宋_GB2312" w:cs="Times New Roman"/>
                <w:snapToGrid/>
                <w:sz w:val="24"/>
                <w:szCs w:val="24"/>
                <w:lang w:eastAsia="zh-Hans"/>
              </w:rPr>
              <w:t>货品时，供货商未能在1小时之内将更换的货品送达指定地点的，每次扣1</w:t>
            </w:r>
            <w:r>
              <w:rPr>
                <w:rFonts w:ascii="仿宋_GB2312" w:hAnsi="Calibri" w:eastAsia="仿宋_GB2312" w:cs="Times New Roman"/>
                <w:snapToGrid/>
                <w:color w:val="auto"/>
                <w:sz w:val="24"/>
                <w:szCs w:val="24"/>
                <w:lang w:eastAsia="zh-Hans"/>
              </w:rPr>
              <w:t xml:space="preserve"> </w:t>
            </w:r>
            <w:r>
              <w:rPr>
                <w:rFonts w:ascii="仿宋_GB2312" w:hAnsi="Calibri" w:eastAsia="仿宋_GB2312" w:cs="Times New Roman"/>
                <w:snapToGrid/>
                <w:sz w:val="24"/>
                <w:szCs w:val="24"/>
                <w:lang w:eastAsia="zh-Hans"/>
              </w:rPr>
              <w:t>分。</w:t>
            </w:r>
          </w:p>
        </w:tc>
        <w:tc>
          <w:tcPr>
            <w:tcW w:w="1013" w:type="dxa"/>
            <w:tcBorders>
              <w:top w:val="nil"/>
              <w:left w:val="single" w:color="000000" w:sz="4" w:space="0"/>
              <w:bottom w:val="single" w:color="000000" w:sz="4" w:space="0"/>
              <w:right w:val="single" w:color="000000" w:sz="4" w:space="0"/>
            </w:tcBorders>
            <w:tcMar>
              <w:top w:w="0" w:type="dxa"/>
              <w:left w:w="0" w:type="dxa"/>
              <w:bottom w:w="0" w:type="dxa"/>
              <w:right w:w="0" w:type="dxa"/>
            </w:tcMar>
          </w:tcPr>
          <w:p w14:paraId="6820323D">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32F6BB8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130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6164552A">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品来源</w:t>
            </w:r>
          </w:p>
        </w:tc>
        <w:tc>
          <w:tcPr>
            <w:tcW w:w="202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79C00409">
            <w:pPr>
              <w:kinsoku/>
              <w:autoSpaceDE/>
              <w:autoSpaceDN/>
              <w:adjustRightInd/>
              <w:snapToGrid/>
              <w:ind w:left="90" w:right="75"/>
              <w:jc w:val="both"/>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品是否来源清晰</w:t>
            </w:r>
          </w:p>
        </w:tc>
        <w:tc>
          <w:tcPr>
            <w:tcW w:w="843"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5176F580">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10</w:t>
            </w:r>
          </w:p>
        </w:tc>
        <w:tc>
          <w:tcPr>
            <w:tcW w:w="5068"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13E167BC">
            <w:pPr>
              <w:kinsoku/>
              <w:autoSpaceDE/>
              <w:autoSpaceDN/>
              <w:adjustRightInd/>
              <w:snapToGrid/>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供应商供应的</w:t>
            </w:r>
            <w:r>
              <w:rPr>
                <w:rFonts w:ascii="仿宋_GB2312" w:hAnsi="Calibri" w:eastAsia="仿宋_GB2312" w:cs="Times New Roman"/>
                <w:snapToGrid/>
                <w:sz w:val="24"/>
                <w:szCs w:val="24"/>
              </w:rPr>
              <w:t>货</w:t>
            </w:r>
            <w:r>
              <w:rPr>
                <w:rFonts w:ascii="仿宋_GB2312" w:hAnsi="Calibri" w:eastAsia="仿宋_GB2312" w:cs="Times New Roman"/>
                <w:snapToGrid/>
                <w:sz w:val="24"/>
                <w:szCs w:val="24"/>
                <w:lang w:eastAsia="zh-Hans"/>
              </w:rPr>
              <w:t>品来源不清，无法提供相关证明材料，每次扣1分。</w:t>
            </w:r>
          </w:p>
        </w:tc>
        <w:tc>
          <w:tcPr>
            <w:tcW w:w="1013" w:type="dxa"/>
            <w:tcBorders>
              <w:top w:val="nil"/>
              <w:left w:val="single" w:color="000000" w:sz="4" w:space="0"/>
              <w:bottom w:val="single" w:color="000000" w:sz="4" w:space="0"/>
              <w:right w:val="single" w:color="000000" w:sz="4" w:space="0"/>
            </w:tcBorders>
            <w:tcMar>
              <w:top w:w="0" w:type="dxa"/>
              <w:left w:w="0" w:type="dxa"/>
              <w:bottom w:w="0" w:type="dxa"/>
              <w:right w:w="0" w:type="dxa"/>
            </w:tcMar>
          </w:tcPr>
          <w:p w14:paraId="51F6ED06">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75C975A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959" w:hRule="atLeast"/>
        </w:trPr>
        <w:tc>
          <w:tcPr>
            <w:tcW w:w="130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674B42EA">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应急响应</w:t>
            </w:r>
          </w:p>
        </w:tc>
        <w:tc>
          <w:tcPr>
            <w:tcW w:w="2027"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43A3BC7D">
            <w:pPr>
              <w:kinsoku/>
              <w:autoSpaceDE/>
              <w:autoSpaceDN/>
              <w:adjustRightInd/>
              <w:snapToGrid/>
              <w:ind w:left="90" w:right="75"/>
              <w:jc w:val="both"/>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是否能及时响应特殊应急的供应</w:t>
            </w:r>
          </w:p>
        </w:tc>
        <w:tc>
          <w:tcPr>
            <w:tcW w:w="843"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21B0D282">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10</w:t>
            </w:r>
          </w:p>
        </w:tc>
        <w:tc>
          <w:tcPr>
            <w:tcW w:w="5068" w:type="dxa"/>
            <w:tcBorders>
              <w:top w:val="nil"/>
              <w:left w:val="single" w:color="000000" w:sz="4" w:space="0"/>
              <w:bottom w:val="single" w:color="000000" w:sz="4" w:space="0"/>
              <w:right w:val="single" w:color="000000" w:sz="4" w:space="0"/>
            </w:tcBorders>
            <w:tcMar>
              <w:top w:w="0" w:type="dxa"/>
              <w:left w:w="0" w:type="dxa"/>
              <w:bottom w:w="0" w:type="dxa"/>
              <w:right w:w="0" w:type="dxa"/>
            </w:tcMar>
            <w:vAlign w:val="center"/>
          </w:tcPr>
          <w:p w14:paraId="0252D429">
            <w:pPr>
              <w:kinsoku/>
              <w:autoSpaceDE/>
              <w:autoSpaceDN/>
              <w:adjustRightInd/>
              <w:snapToGrid/>
              <w:ind w:left="90" w:right="30"/>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供应商应急配送未能在2小时内响应的，每次扣1分。</w:t>
            </w:r>
          </w:p>
        </w:tc>
        <w:tc>
          <w:tcPr>
            <w:tcW w:w="1013" w:type="dxa"/>
            <w:tcBorders>
              <w:top w:val="nil"/>
              <w:left w:val="single" w:color="000000" w:sz="4" w:space="0"/>
              <w:bottom w:val="single" w:color="000000" w:sz="4" w:space="0"/>
              <w:right w:val="single" w:color="000000" w:sz="4" w:space="0"/>
            </w:tcBorders>
            <w:tcMar>
              <w:top w:w="0" w:type="dxa"/>
              <w:left w:w="0" w:type="dxa"/>
              <w:bottom w:w="0" w:type="dxa"/>
              <w:right w:w="0" w:type="dxa"/>
            </w:tcMar>
          </w:tcPr>
          <w:p w14:paraId="60C4EC2A">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5E8F800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277" w:hRule="atLeast"/>
        </w:trPr>
        <w:tc>
          <w:tcPr>
            <w:tcW w:w="1307" w:type="dxa"/>
            <w:tcBorders>
              <w:top w:val="nil"/>
              <w:left w:val="single" w:color="000000" w:sz="4" w:space="0"/>
              <w:bottom w:val="single" w:color="auto" w:sz="4" w:space="0"/>
              <w:right w:val="single" w:color="000000" w:sz="4" w:space="0"/>
            </w:tcBorders>
            <w:tcMar>
              <w:top w:w="0" w:type="dxa"/>
              <w:left w:w="0" w:type="dxa"/>
              <w:bottom w:w="0" w:type="dxa"/>
              <w:right w:w="0" w:type="dxa"/>
            </w:tcMar>
            <w:vAlign w:val="center"/>
          </w:tcPr>
          <w:p w14:paraId="63EFDB80">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配送人员工作态度</w:t>
            </w:r>
          </w:p>
        </w:tc>
        <w:tc>
          <w:tcPr>
            <w:tcW w:w="2027" w:type="dxa"/>
            <w:tcBorders>
              <w:top w:val="nil"/>
              <w:left w:val="single" w:color="000000" w:sz="4" w:space="0"/>
              <w:bottom w:val="single" w:color="auto" w:sz="4" w:space="0"/>
              <w:right w:val="single" w:color="000000" w:sz="4" w:space="0"/>
            </w:tcBorders>
            <w:tcMar>
              <w:top w:w="0" w:type="dxa"/>
              <w:left w:w="0" w:type="dxa"/>
              <w:bottom w:w="0" w:type="dxa"/>
              <w:right w:w="0" w:type="dxa"/>
            </w:tcMar>
            <w:vAlign w:val="center"/>
          </w:tcPr>
          <w:p w14:paraId="71D4B87F">
            <w:pPr>
              <w:kinsoku/>
              <w:autoSpaceDE/>
              <w:autoSpaceDN/>
              <w:adjustRightInd/>
              <w:snapToGrid/>
              <w:ind w:left="90" w:right="75"/>
              <w:jc w:val="both"/>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配送人员工作是否认真负责，服从安排。</w:t>
            </w:r>
          </w:p>
        </w:tc>
        <w:tc>
          <w:tcPr>
            <w:tcW w:w="843" w:type="dxa"/>
            <w:tcBorders>
              <w:top w:val="nil"/>
              <w:left w:val="single" w:color="000000" w:sz="4" w:space="0"/>
              <w:bottom w:val="single" w:color="auto" w:sz="4" w:space="0"/>
              <w:right w:val="single" w:color="000000" w:sz="4" w:space="0"/>
            </w:tcBorders>
            <w:tcMar>
              <w:top w:w="0" w:type="dxa"/>
              <w:left w:w="0" w:type="dxa"/>
              <w:bottom w:w="0" w:type="dxa"/>
              <w:right w:w="0" w:type="dxa"/>
            </w:tcMar>
            <w:vAlign w:val="center"/>
          </w:tcPr>
          <w:p w14:paraId="33920901">
            <w:pPr>
              <w:kinsoku/>
              <w:autoSpaceDE/>
              <w:autoSpaceDN/>
              <w:adjustRightInd/>
              <w:snapToGrid/>
              <w:ind w:left="90"/>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10</w:t>
            </w:r>
          </w:p>
        </w:tc>
        <w:tc>
          <w:tcPr>
            <w:tcW w:w="5068" w:type="dxa"/>
            <w:tcBorders>
              <w:top w:val="nil"/>
              <w:left w:val="single" w:color="000000" w:sz="4" w:space="0"/>
              <w:bottom w:val="single" w:color="auto" w:sz="4" w:space="0"/>
              <w:right w:val="single" w:color="000000" w:sz="4" w:space="0"/>
            </w:tcBorders>
            <w:tcMar>
              <w:top w:w="0" w:type="dxa"/>
              <w:left w:w="0" w:type="dxa"/>
              <w:bottom w:w="0" w:type="dxa"/>
              <w:right w:w="0" w:type="dxa"/>
            </w:tcMar>
            <w:vAlign w:val="center"/>
          </w:tcPr>
          <w:p w14:paraId="31227A5C">
            <w:pPr>
              <w:kinsoku/>
              <w:autoSpaceDE/>
              <w:autoSpaceDN/>
              <w:adjustRightInd/>
              <w:snapToGrid/>
              <w:ind w:left="90" w:right="30"/>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配送人员工作不认真，装卸不文明，不服从安排，无故与厨房工作人员发生争执的，每次扣2分。</w:t>
            </w:r>
          </w:p>
        </w:tc>
        <w:tc>
          <w:tcPr>
            <w:tcW w:w="1013" w:type="dxa"/>
            <w:tcBorders>
              <w:top w:val="nil"/>
              <w:left w:val="single" w:color="000000" w:sz="4" w:space="0"/>
              <w:bottom w:val="single" w:color="auto" w:sz="4" w:space="0"/>
              <w:right w:val="single" w:color="000000" w:sz="4" w:space="0"/>
            </w:tcBorders>
            <w:tcMar>
              <w:top w:w="0" w:type="dxa"/>
              <w:left w:w="0" w:type="dxa"/>
              <w:bottom w:w="0" w:type="dxa"/>
              <w:right w:w="0" w:type="dxa"/>
            </w:tcMar>
          </w:tcPr>
          <w:p w14:paraId="244A717A">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4B86FDB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410" w:hRule="atLeast"/>
        </w:trPr>
        <w:tc>
          <w:tcPr>
            <w:tcW w:w="9245" w:type="dxa"/>
            <w:gridSpan w:val="4"/>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576495C3">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snapToGrid/>
                <w:sz w:val="24"/>
                <w:szCs w:val="24"/>
                <w:lang w:eastAsia="zh-Hans"/>
              </w:rPr>
              <w:t>最终得分：</w:t>
            </w:r>
          </w:p>
        </w:tc>
        <w:tc>
          <w:tcPr>
            <w:tcW w:w="1013"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tcPr>
          <w:p w14:paraId="1D48525E">
            <w:pPr>
              <w:kinsoku/>
              <w:autoSpaceDE/>
              <w:autoSpaceDN/>
              <w:adjustRightInd/>
              <w:snapToGrid/>
              <w:textAlignment w:val="auto"/>
              <w:rPr>
                <w:rFonts w:ascii="仿宋_GB2312" w:hAnsi="Calibri" w:eastAsia="仿宋_GB2312" w:cs="Times New Roman"/>
                <w:snapToGrid/>
                <w:color w:val="auto"/>
                <w:sz w:val="24"/>
                <w:szCs w:val="24"/>
                <w:lang w:eastAsia="zh-Hans"/>
              </w:rPr>
            </w:pPr>
          </w:p>
        </w:tc>
      </w:tr>
      <w:tr w14:paraId="6DF5C67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555" w:hRule="atLeast"/>
        </w:trPr>
        <w:tc>
          <w:tcPr>
            <w:tcW w:w="1307" w:type="dxa"/>
            <w:tcBorders>
              <w:top w:val="single" w:color="auto"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2BAE24D8">
            <w:pPr>
              <w:kinsoku/>
              <w:autoSpaceDE/>
              <w:autoSpaceDN/>
              <w:adjustRightInd/>
              <w:snapToGrid/>
              <w:jc w:val="center"/>
              <w:textAlignment w:val="auto"/>
              <w:rPr>
                <w:rFonts w:ascii="仿宋_GB2312" w:hAnsi="Calibri" w:eastAsia="仿宋_GB2312" w:cs="Times New Roman"/>
                <w:snapToGrid/>
                <w:color w:val="auto"/>
                <w:sz w:val="24"/>
                <w:szCs w:val="24"/>
                <w:lang w:eastAsia="zh-Hans"/>
              </w:rPr>
            </w:pPr>
            <w:r>
              <w:rPr>
                <w:rFonts w:ascii="仿宋_GB2312" w:hAnsi="Calibri" w:eastAsia="仿宋_GB2312" w:cs="Times New Roman"/>
                <w:b/>
                <w:snapToGrid/>
                <w:sz w:val="24"/>
                <w:szCs w:val="24"/>
                <w:lang w:eastAsia="zh-Hans"/>
              </w:rPr>
              <w:t>备 注</w:t>
            </w:r>
          </w:p>
        </w:tc>
        <w:tc>
          <w:tcPr>
            <w:tcW w:w="8951" w:type="dxa"/>
            <w:gridSpan w:val="4"/>
            <w:tcBorders>
              <w:top w:val="single" w:color="auto" w:sz="4" w:space="0"/>
              <w:left w:val="single" w:color="000000" w:sz="4" w:space="0"/>
              <w:bottom w:val="single" w:color="000000" w:sz="4" w:space="0"/>
              <w:right w:val="single" w:color="000000" w:sz="4" w:space="0"/>
            </w:tcBorders>
            <w:tcMar>
              <w:top w:w="0" w:type="dxa"/>
              <w:left w:w="0" w:type="dxa"/>
              <w:bottom w:w="0" w:type="dxa"/>
              <w:right w:w="0" w:type="dxa"/>
            </w:tcMar>
          </w:tcPr>
          <w:p w14:paraId="3F67C758">
            <w:pPr>
              <w:kinsoku/>
              <w:autoSpaceDE/>
              <w:autoSpaceDN/>
              <w:adjustRightInd/>
              <w:snapToGrid/>
              <w:ind w:left="105"/>
              <w:textAlignment w:val="auto"/>
              <w:rPr>
                <w:rFonts w:ascii="仿宋_GB2312" w:hAnsi="Calibri" w:eastAsia="仿宋_GB2312" w:cs="Times New Roman"/>
                <w:b/>
                <w:snapToGrid/>
                <w:color w:val="auto"/>
                <w:sz w:val="24"/>
                <w:szCs w:val="24"/>
                <w:lang w:eastAsia="zh-Hans"/>
              </w:rPr>
            </w:pPr>
            <w:r>
              <w:rPr>
                <w:rFonts w:ascii="仿宋_GB2312" w:hAnsi="Calibri" w:eastAsia="仿宋_GB2312" w:cs="Times New Roman"/>
                <w:b/>
                <w:snapToGrid/>
                <w:sz w:val="24"/>
                <w:szCs w:val="24"/>
                <w:lang w:eastAsia="zh-Hans"/>
              </w:rPr>
              <w:t>说明：</w:t>
            </w:r>
            <w:r>
              <w:rPr>
                <w:rFonts w:ascii="仿宋_GB2312" w:hAnsi="Calibri" w:eastAsia="仿宋_GB2312" w:cs="Times New Roman"/>
                <w:b/>
                <w:snapToGrid/>
                <w:color w:val="auto"/>
                <w:sz w:val="24"/>
                <w:szCs w:val="24"/>
                <w:lang w:eastAsia="zh-Hans"/>
              </w:rPr>
              <w:br w:type="textWrapping"/>
            </w:r>
            <w:r>
              <w:rPr>
                <w:rFonts w:ascii="仿宋_GB2312" w:hAnsi="Calibri" w:eastAsia="仿宋_GB2312" w:cs="Times New Roman"/>
                <w:b/>
                <w:snapToGrid/>
                <w:sz w:val="24"/>
                <w:szCs w:val="24"/>
                <w:lang w:eastAsia="zh-Hans"/>
              </w:rPr>
              <w:t>每月采购人根据考核表项目进行考核，结合评分结果进行相应扣罚，在当月应结物资金额中扣除相应的罚款。</w:t>
            </w:r>
          </w:p>
          <w:p w14:paraId="5F479DD3">
            <w:pPr>
              <w:kinsoku/>
              <w:autoSpaceDE/>
              <w:autoSpaceDN/>
              <w:adjustRightInd/>
              <w:snapToGrid/>
              <w:ind w:left="105"/>
              <w:textAlignment w:val="auto"/>
              <w:rPr>
                <w:rFonts w:ascii="仿宋_GB2312" w:hAnsi="Calibri" w:eastAsia="仿宋_GB2312" w:cs="Times New Roman"/>
                <w:b/>
                <w:snapToGrid/>
                <w:color w:val="auto"/>
                <w:sz w:val="24"/>
                <w:szCs w:val="24"/>
                <w:lang w:eastAsia="zh-Hans"/>
              </w:rPr>
            </w:pPr>
            <w:r>
              <w:rPr>
                <w:rFonts w:ascii="仿宋_GB2312" w:hAnsi="Calibri" w:eastAsia="仿宋_GB2312" w:cs="Times New Roman"/>
                <w:b/>
                <w:snapToGrid/>
                <w:sz w:val="24"/>
                <w:szCs w:val="24"/>
                <w:lang w:eastAsia="zh-Hans"/>
              </w:rPr>
              <w:t>95分≤当月得分≤100分，全额支付当月实际结算金额；</w:t>
            </w:r>
          </w:p>
          <w:p w14:paraId="7FF2DC3A">
            <w:pPr>
              <w:kinsoku/>
              <w:autoSpaceDE/>
              <w:autoSpaceDN/>
              <w:adjustRightInd/>
              <w:snapToGrid/>
              <w:ind w:left="105"/>
              <w:textAlignment w:val="auto"/>
              <w:rPr>
                <w:rFonts w:ascii="仿宋_GB2312" w:hAnsi="Calibri" w:eastAsia="仿宋_GB2312" w:cs="Times New Roman"/>
                <w:b/>
                <w:snapToGrid/>
                <w:color w:val="auto"/>
                <w:sz w:val="24"/>
                <w:szCs w:val="24"/>
                <w:lang w:eastAsia="zh-Hans"/>
              </w:rPr>
            </w:pPr>
            <w:r>
              <w:rPr>
                <w:rFonts w:ascii="仿宋_GB2312" w:hAnsi="Calibri" w:eastAsia="仿宋_GB2312" w:cs="Times New Roman"/>
                <w:b/>
                <w:snapToGrid/>
                <w:sz w:val="24"/>
                <w:szCs w:val="24"/>
                <w:lang w:eastAsia="zh-Hans"/>
              </w:rPr>
              <w:t>90分≤当月得分＜95分 扣罚当月实际结算金额的2%；</w:t>
            </w:r>
          </w:p>
          <w:p w14:paraId="73680266">
            <w:pPr>
              <w:kinsoku/>
              <w:autoSpaceDE/>
              <w:autoSpaceDN/>
              <w:adjustRightInd/>
              <w:snapToGrid/>
              <w:ind w:left="105"/>
              <w:textAlignment w:val="auto"/>
              <w:rPr>
                <w:rFonts w:ascii="仿宋_GB2312" w:hAnsi="Calibri" w:eastAsia="仿宋_GB2312" w:cs="Times New Roman"/>
                <w:b/>
                <w:snapToGrid/>
                <w:color w:val="auto"/>
                <w:sz w:val="24"/>
                <w:szCs w:val="24"/>
                <w:lang w:eastAsia="zh-Hans"/>
              </w:rPr>
            </w:pPr>
            <w:r>
              <w:rPr>
                <w:rFonts w:ascii="仿宋_GB2312" w:hAnsi="Calibri" w:eastAsia="仿宋_GB2312" w:cs="Times New Roman"/>
                <w:b/>
                <w:snapToGrid/>
                <w:sz w:val="24"/>
                <w:szCs w:val="24"/>
                <w:lang w:eastAsia="zh-Hans"/>
              </w:rPr>
              <w:t>85分≤当月得分＜90分 扣罚当月实际结算金额的3%；</w:t>
            </w:r>
          </w:p>
          <w:p w14:paraId="1CC9CA84">
            <w:pPr>
              <w:kinsoku/>
              <w:autoSpaceDE/>
              <w:autoSpaceDN/>
              <w:adjustRightInd/>
              <w:snapToGrid/>
              <w:ind w:left="105"/>
              <w:textAlignment w:val="auto"/>
              <w:rPr>
                <w:rFonts w:ascii="仿宋_GB2312" w:hAnsi="Calibri" w:eastAsia="仿宋_GB2312" w:cs="Times New Roman"/>
                <w:b/>
                <w:snapToGrid/>
                <w:color w:val="auto"/>
                <w:sz w:val="24"/>
                <w:szCs w:val="24"/>
                <w:lang w:eastAsia="zh-Hans"/>
              </w:rPr>
            </w:pPr>
            <w:r>
              <w:rPr>
                <w:rFonts w:ascii="仿宋_GB2312" w:hAnsi="Calibri" w:eastAsia="仿宋_GB2312" w:cs="Times New Roman"/>
                <w:b/>
                <w:snapToGrid/>
                <w:sz w:val="24"/>
                <w:szCs w:val="24"/>
                <w:lang w:eastAsia="zh-Hans"/>
              </w:rPr>
              <w:t>80分≤当月得分＜85分 扣罚当月实际结算金额的4%；</w:t>
            </w:r>
          </w:p>
          <w:p w14:paraId="29BC64FE">
            <w:pPr>
              <w:kinsoku/>
              <w:autoSpaceDE/>
              <w:autoSpaceDN/>
              <w:adjustRightInd/>
              <w:snapToGrid/>
              <w:ind w:left="105"/>
              <w:textAlignment w:val="auto"/>
              <w:rPr>
                <w:rFonts w:ascii="仿宋_GB2312" w:hAnsi="Calibri" w:eastAsia="仿宋_GB2312" w:cs="Times New Roman"/>
                <w:snapToGrid/>
                <w:color w:val="auto"/>
                <w:sz w:val="24"/>
                <w:szCs w:val="24"/>
              </w:rPr>
            </w:pPr>
            <w:r>
              <w:rPr>
                <w:rFonts w:ascii="仿宋_GB2312" w:hAnsi="Calibri" w:eastAsia="仿宋_GB2312" w:cs="Times New Roman"/>
                <w:b/>
                <w:snapToGrid/>
                <w:sz w:val="24"/>
                <w:szCs w:val="24"/>
                <w:lang w:eastAsia="zh-Hans"/>
              </w:rPr>
              <w:t>月度考核80分以下，立即解除合同。</w:t>
            </w:r>
          </w:p>
        </w:tc>
      </w:tr>
    </w:tbl>
    <w:p w14:paraId="1DFCFC3D">
      <w:pPr>
        <w:widowControl w:val="0"/>
        <w:kinsoku/>
        <w:autoSpaceDE/>
        <w:autoSpaceDN/>
        <w:adjustRightInd/>
        <w:snapToGrid/>
        <w:textAlignment w:val="auto"/>
        <w:rPr>
          <w:rFonts w:ascii="仿宋_GB2312" w:hAnsi="仿宋_GB2312" w:eastAsia="仿宋_GB2312" w:cs="仿宋_GB2312"/>
          <w:snapToGrid/>
          <w:color w:val="auto"/>
          <w:kern w:val="2"/>
          <w:sz w:val="24"/>
          <w:szCs w:val="24"/>
        </w:rPr>
      </w:pPr>
    </w:p>
    <w:p w14:paraId="6698DD37">
      <w:pPr>
        <w:widowControl w:val="0"/>
        <w:kinsoku/>
        <w:autoSpaceDE/>
        <w:autoSpaceDN/>
        <w:adjustRightInd/>
        <w:snapToGrid/>
        <w:jc w:val="both"/>
        <w:textAlignment w:val="auto"/>
        <w:rPr>
          <w:rFonts w:ascii="Calibri" w:hAnsi="Calibri" w:eastAsia="宋体" w:cs="宋体"/>
          <w:snapToGrid/>
          <w:color w:val="auto"/>
          <w:kern w:val="2"/>
          <w:szCs w:val="24"/>
        </w:rPr>
      </w:pPr>
      <w:r>
        <w:rPr>
          <w:rFonts w:ascii="Calibri" w:hAnsi="Calibri" w:eastAsia="宋体" w:cs="宋体"/>
          <w:snapToGrid/>
          <w:color w:val="auto"/>
          <w:kern w:val="2"/>
          <w:szCs w:val="24"/>
        </w:rPr>
        <w:br w:type="page"/>
      </w:r>
    </w:p>
    <w:p w14:paraId="3373B1CA">
      <w:pPr>
        <w:kinsoku/>
        <w:autoSpaceDE/>
        <w:autoSpaceDN/>
        <w:adjustRightInd/>
        <w:snapToGrid/>
        <w:textAlignment w:val="auto"/>
        <w:outlineLvl w:val="2"/>
        <w:rPr>
          <w:rFonts w:ascii="仿宋_GB2312" w:eastAsia="仿宋_GB2312"/>
          <w:b/>
          <w:sz w:val="28"/>
          <w:szCs w:val="28"/>
        </w:rPr>
      </w:pPr>
      <w:r>
        <w:rPr>
          <w:rFonts w:ascii="仿宋_GB2312" w:hAnsi="宋体" w:eastAsia="仿宋_GB2312"/>
          <w:b/>
          <w:snapToGrid/>
          <w:sz w:val="28"/>
          <w:szCs w:val="28"/>
        </w:rPr>
        <w:t>附件3：</w:t>
      </w:r>
      <w:r>
        <w:rPr>
          <w:rFonts w:ascii="仿宋_GB2312" w:eastAsia="仿宋_GB2312"/>
          <w:b/>
          <w:sz w:val="28"/>
          <w:szCs w:val="28"/>
        </w:rPr>
        <w:t>考核处罚标准及金额</w:t>
      </w:r>
    </w:p>
    <w:tbl>
      <w:tblPr>
        <w:tblStyle w:val="11"/>
        <w:tblW w:w="102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6"/>
        <w:gridCol w:w="934"/>
        <w:gridCol w:w="2235"/>
        <w:gridCol w:w="3934"/>
        <w:gridCol w:w="1478"/>
      </w:tblGrid>
      <w:tr w14:paraId="13878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4" w:hRule="atLeast"/>
        </w:trPr>
        <w:tc>
          <w:tcPr>
            <w:tcW w:w="1676" w:type="dxa"/>
            <w:vAlign w:val="center"/>
          </w:tcPr>
          <w:p w14:paraId="4E98B0C5">
            <w:pPr>
              <w:widowControl w:val="0"/>
              <w:kinsoku/>
              <w:autoSpaceDE/>
              <w:autoSpaceDN/>
              <w:adjustRightInd/>
              <w:snapToGrid/>
              <w:jc w:val="center"/>
              <w:textAlignment w:val="auto"/>
              <w:rPr>
                <w:rFonts w:ascii="仿宋_GB2312" w:hAnsi="Calibri" w:eastAsia="仿宋_GB2312" w:cs="Times New Roman"/>
                <w:b/>
                <w:snapToGrid/>
                <w:color w:val="auto"/>
                <w:kern w:val="2"/>
                <w:sz w:val="24"/>
                <w:szCs w:val="24"/>
                <w:lang w:eastAsia="zh-Hans"/>
              </w:rPr>
            </w:pPr>
            <w:r>
              <w:rPr>
                <w:rFonts w:hint="eastAsia" w:ascii="仿宋_GB2312" w:hAnsi="Calibri" w:eastAsia="仿宋_GB2312" w:cs="Times New Roman"/>
                <w:b/>
                <w:snapToGrid/>
                <w:color w:val="auto"/>
                <w:kern w:val="2"/>
                <w:sz w:val="24"/>
                <w:szCs w:val="24"/>
                <w:lang w:eastAsia="zh-Hans"/>
              </w:rPr>
              <w:t>类别</w:t>
            </w:r>
          </w:p>
        </w:tc>
        <w:tc>
          <w:tcPr>
            <w:tcW w:w="934" w:type="dxa"/>
            <w:vAlign w:val="center"/>
          </w:tcPr>
          <w:p w14:paraId="22126070">
            <w:pPr>
              <w:widowControl w:val="0"/>
              <w:kinsoku/>
              <w:autoSpaceDE/>
              <w:autoSpaceDN/>
              <w:adjustRightInd/>
              <w:snapToGrid/>
              <w:jc w:val="center"/>
              <w:textAlignment w:val="auto"/>
              <w:rPr>
                <w:rFonts w:ascii="仿宋_GB2312" w:hAnsi="Calibri" w:eastAsia="仿宋_GB2312" w:cs="Times New Roman"/>
                <w:b/>
                <w:snapToGrid/>
                <w:color w:val="auto"/>
                <w:kern w:val="2"/>
                <w:sz w:val="24"/>
                <w:szCs w:val="24"/>
                <w:lang w:eastAsia="zh-Hans"/>
              </w:rPr>
            </w:pPr>
            <w:r>
              <w:rPr>
                <w:rFonts w:hint="eastAsia" w:ascii="仿宋_GB2312" w:hAnsi="Calibri" w:eastAsia="仿宋_GB2312" w:cs="Times New Roman"/>
                <w:b/>
                <w:snapToGrid/>
                <w:color w:val="auto"/>
                <w:kern w:val="2"/>
                <w:sz w:val="24"/>
                <w:szCs w:val="24"/>
                <w:lang w:eastAsia="zh-Hans"/>
              </w:rPr>
              <w:t>序号</w:t>
            </w:r>
          </w:p>
        </w:tc>
        <w:tc>
          <w:tcPr>
            <w:tcW w:w="2235" w:type="dxa"/>
            <w:vAlign w:val="center"/>
          </w:tcPr>
          <w:p w14:paraId="707669DC">
            <w:pPr>
              <w:widowControl w:val="0"/>
              <w:kinsoku/>
              <w:autoSpaceDE/>
              <w:autoSpaceDN/>
              <w:adjustRightInd/>
              <w:snapToGrid/>
              <w:jc w:val="center"/>
              <w:textAlignment w:val="auto"/>
              <w:rPr>
                <w:rFonts w:ascii="仿宋_GB2312" w:hAnsi="Calibri" w:eastAsia="仿宋_GB2312" w:cs="Times New Roman"/>
                <w:b/>
                <w:snapToGrid/>
                <w:color w:val="auto"/>
                <w:kern w:val="2"/>
                <w:sz w:val="24"/>
                <w:szCs w:val="24"/>
                <w:lang w:eastAsia="zh-Hans"/>
              </w:rPr>
            </w:pPr>
            <w:r>
              <w:rPr>
                <w:rFonts w:hint="eastAsia" w:ascii="仿宋_GB2312" w:hAnsi="Calibri" w:eastAsia="仿宋_GB2312" w:cs="Times New Roman"/>
                <w:b/>
                <w:snapToGrid/>
                <w:color w:val="auto"/>
                <w:kern w:val="2"/>
                <w:sz w:val="24"/>
                <w:szCs w:val="24"/>
                <w:lang w:eastAsia="zh-Hans"/>
              </w:rPr>
              <w:t>考核内容</w:t>
            </w:r>
          </w:p>
        </w:tc>
        <w:tc>
          <w:tcPr>
            <w:tcW w:w="3934" w:type="dxa"/>
            <w:vAlign w:val="center"/>
          </w:tcPr>
          <w:p w14:paraId="166E5762">
            <w:pPr>
              <w:widowControl w:val="0"/>
              <w:kinsoku/>
              <w:autoSpaceDE/>
              <w:autoSpaceDN/>
              <w:adjustRightInd/>
              <w:snapToGrid/>
              <w:jc w:val="center"/>
              <w:textAlignment w:val="auto"/>
              <w:rPr>
                <w:rFonts w:ascii="仿宋_GB2312" w:hAnsi="Calibri" w:eastAsia="仿宋_GB2312" w:cs="Times New Roman"/>
                <w:b/>
                <w:snapToGrid/>
                <w:color w:val="auto"/>
                <w:kern w:val="2"/>
                <w:sz w:val="24"/>
                <w:szCs w:val="24"/>
                <w:lang w:eastAsia="zh-Hans"/>
              </w:rPr>
            </w:pPr>
            <w:r>
              <w:rPr>
                <w:rFonts w:hint="eastAsia" w:ascii="仿宋_GB2312" w:hAnsi="Calibri" w:eastAsia="仿宋_GB2312" w:cs="Times New Roman"/>
                <w:b/>
                <w:snapToGrid/>
                <w:color w:val="auto"/>
                <w:kern w:val="2"/>
                <w:sz w:val="24"/>
                <w:szCs w:val="24"/>
                <w:lang w:eastAsia="zh-Hans"/>
              </w:rPr>
              <w:t>考核标准</w:t>
            </w:r>
          </w:p>
        </w:tc>
        <w:tc>
          <w:tcPr>
            <w:tcW w:w="1478" w:type="dxa"/>
            <w:vAlign w:val="center"/>
          </w:tcPr>
          <w:p w14:paraId="316617D6">
            <w:pPr>
              <w:widowControl w:val="0"/>
              <w:kinsoku/>
              <w:autoSpaceDE/>
              <w:autoSpaceDN/>
              <w:adjustRightInd/>
              <w:snapToGrid/>
              <w:jc w:val="center"/>
              <w:textAlignment w:val="auto"/>
              <w:rPr>
                <w:rFonts w:ascii="仿宋_GB2312" w:hAnsi="Calibri" w:eastAsia="仿宋_GB2312" w:cs="Times New Roman"/>
                <w:b/>
                <w:snapToGrid/>
                <w:color w:val="auto"/>
                <w:kern w:val="2"/>
                <w:sz w:val="24"/>
                <w:szCs w:val="24"/>
                <w:lang w:eastAsia="zh-Hans"/>
              </w:rPr>
            </w:pPr>
            <w:r>
              <w:rPr>
                <w:rFonts w:hint="eastAsia" w:ascii="仿宋_GB2312" w:hAnsi="Calibri" w:eastAsia="仿宋_GB2312" w:cs="Times New Roman"/>
                <w:b/>
                <w:snapToGrid/>
                <w:color w:val="auto"/>
                <w:kern w:val="2"/>
                <w:sz w:val="24"/>
                <w:szCs w:val="24"/>
                <w:lang w:eastAsia="zh-Hans"/>
              </w:rPr>
              <w:t>扣罚标准</w:t>
            </w:r>
          </w:p>
          <w:p w14:paraId="1C77EBA0">
            <w:pPr>
              <w:widowControl w:val="0"/>
              <w:kinsoku/>
              <w:autoSpaceDE/>
              <w:autoSpaceDN/>
              <w:adjustRightInd/>
              <w:snapToGrid/>
              <w:jc w:val="center"/>
              <w:textAlignment w:val="auto"/>
              <w:rPr>
                <w:rFonts w:ascii="仿宋_GB2312" w:hAnsi="Calibri" w:eastAsia="仿宋_GB2312" w:cs="Times New Roman"/>
                <w:b/>
                <w:snapToGrid/>
                <w:color w:val="auto"/>
                <w:kern w:val="2"/>
                <w:sz w:val="24"/>
                <w:szCs w:val="24"/>
                <w:lang w:eastAsia="zh-Hans"/>
              </w:rPr>
            </w:pPr>
            <w:r>
              <w:rPr>
                <w:rFonts w:hint="eastAsia" w:ascii="仿宋_GB2312" w:hAnsi="Calibri" w:eastAsia="仿宋_GB2312" w:cs="Times New Roman"/>
                <w:b/>
                <w:snapToGrid/>
                <w:color w:val="auto"/>
                <w:kern w:val="2"/>
                <w:sz w:val="24"/>
                <w:szCs w:val="24"/>
              </w:rPr>
              <w:t>（</w:t>
            </w:r>
            <w:r>
              <w:rPr>
                <w:rFonts w:hint="eastAsia" w:ascii="仿宋_GB2312" w:hAnsi="Calibri" w:eastAsia="仿宋_GB2312" w:cs="Times New Roman"/>
                <w:b/>
                <w:snapToGrid/>
                <w:color w:val="auto"/>
                <w:kern w:val="2"/>
                <w:sz w:val="24"/>
                <w:szCs w:val="24"/>
                <w:lang w:eastAsia="zh-Hans"/>
              </w:rPr>
              <w:t>人民币）</w:t>
            </w:r>
          </w:p>
        </w:tc>
      </w:tr>
      <w:tr w14:paraId="3D199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trPr>
        <w:tc>
          <w:tcPr>
            <w:tcW w:w="1676" w:type="dxa"/>
            <w:vMerge w:val="restart"/>
            <w:vAlign w:val="center"/>
          </w:tcPr>
          <w:p w14:paraId="25184905">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产品质量</w:t>
            </w:r>
          </w:p>
        </w:tc>
        <w:tc>
          <w:tcPr>
            <w:tcW w:w="934" w:type="dxa"/>
            <w:vAlign w:val="center"/>
          </w:tcPr>
          <w:p w14:paraId="767E5DBC">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1</w:t>
            </w:r>
          </w:p>
        </w:tc>
        <w:tc>
          <w:tcPr>
            <w:tcW w:w="2235" w:type="dxa"/>
            <w:vAlign w:val="center"/>
          </w:tcPr>
          <w:p w14:paraId="59AFB41F">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产品的包装、外观</w:t>
            </w:r>
          </w:p>
        </w:tc>
        <w:tc>
          <w:tcPr>
            <w:tcW w:w="3934" w:type="dxa"/>
            <w:vAlign w:val="center"/>
          </w:tcPr>
          <w:p w14:paraId="581C1D8F">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包装完整；产品无破损，表面无划痕。</w:t>
            </w:r>
          </w:p>
        </w:tc>
        <w:tc>
          <w:tcPr>
            <w:tcW w:w="1478" w:type="dxa"/>
            <w:vAlign w:val="center"/>
          </w:tcPr>
          <w:p w14:paraId="0514E1EE">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违反考核标准扣罚200元/件</w:t>
            </w:r>
          </w:p>
        </w:tc>
      </w:tr>
      <w:tr w14:paraId="38F97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6" w:hRule="atLeast"/>
        </w:trPr>
        <w:tc>
          <w:tcPr>
            <w:tcW w:w="1676" w:type="dxa"/>
            <w:vMerge w:val="continue"/>
            <w:vAlign w:val="center"/>
          </w:tcPr>
          <w:p w14:paraId="0713F565">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p>
        </w:tc>
        <w:tc>
          <w:tcPr>
            <w:tcW w:w="934" w:type="dxa"/>
            <w:vAlign w:val="center"/>
          </w:tcPr>
          <w:p w14:paraId="003305E0">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2</w:t>
            </w:r>
          </w:p>
        </w:tc>
        <w:tc>
          <w:tcPr>
            <w:tcW w:w="2235" w:type="dxa"/>
            <w:vAlign w:val="center"/>
          </w:tcPr>
          <w:p w14:paraId="6F33599D">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产品质量</w:t>
            </w:r>
          </w:p>
        </w:tc>
        <w:tc>
          <w:tcPr>
            <w:tcW w:w="3934" w:type="dxa"/>
            <w:vAlign w:val="center"/>
          </w:tcPr>
          <w:p w14:paraId="6DCBF2D5">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产品规格、型号应满足使用科室要求，不得擅自更换，以次充好</w:t>
            </w:r>
          </w:p>
        </w:tc>
        <w:tc>
          <w:tcPr>
            <w:tcW w:w="1478" w:type="dxa"/>
            <w:vAlign w:val="center"/>
          </w:tcPr>
          <w:p w14:paraId="7123906C">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违反考核</w:t>
            </w:r>
          </w:p>
          <w:p w14:paraId="3F0461B7">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标准扣罚5000元/件</w:t>
            </w:r>
          </w:p>
        </w:tc>
      </w:tr>
      <w:tr w14:paraId="27212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4" w:hRule="atLeast"/>
        </w:trPr>
        <w:tc>
          <w:tcPr>
            <w:tcW w:w="1676" w:type="dxa"/>
            <w:vMerge w:val="restart"/>
            <w:vAlign w:val="center"/>
          </w:tcPr>
          <w:p w14:paraId="24078045">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服务质量</w:t>
            </w:r>
          </w:p>
        </w:tc>
        <w:tc>
          <w:tcPr>
            <w:tcW w:w="934" w:type="dxa"/>
            <w:vAlign w:val="center"/>
          </w:tcPr>
          <w:p w14:paraId="26B32902">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3</w:t>
            </w:r>
          </w:p>
        </w:tc>
        <w:tc>
          <w:tcPr>
            <w:tcW w:w="2235" w:type="dxa"/>
            <w:vAlign w:val="center"/>
          </w:tcPr>
          <w:p w14:paraId="1FF844D0">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服务的专业性</w:t>
            </w:r>
          </w:p>
        </w:tc>
        <w:tc>
          <w:tcPr>
            <w:tcW w:w="3934" w:type="dxa"/>
            <w:vAlign w:val="center"/>
          </w:tcPr>
          <w:p w14:paraId="38644A48">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（1）耐心解答使用科室的问题不得隐瞒产品价格、产品质量方面的问题。</w:t>
            </w:r>
          </w:p>
          <w:p w14:paraId="74BB16C3">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（2）着装整齐、文明用语、态度端正。</w:t>
            </w:r>
          </w:p>
          <w:p w14:paraId="2A720CEC">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（3）用心聆听，不推卸责任不推卸工作。</w:t>
            </w:r>
          </w:p>
        </w:tc>
        <w:tc>
          <w:tcPr>
            <w:tcW w:w="1478" w:type="dxa"/>
            <w:vAlign w:val="center"/>
          </w:tcPr>
          <w:p w14:paraId="06D6DE00">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违反考核标准扣罚200元/次</w:t>
            </w:r>
          </w:p>
        </w:tc>
      </w:tr>
      <w:tr w14:paraId="503B1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4" w:hRule="atLeast"/>
        </w:trPr>
        <w:tc>
          <w:tcPr>
            <w:tcW w:w="1676" w:type="dxa"/>
            <w:vMerge w:val="continue"/>
            <w:vAlign w:val="center"/>
          </w:tcPr>
          <w:p w14:paraId="716CBED0">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p>
        </w:tc>
        <w:tc>
          <w:tcPr>
            <w:tcW w:w="934" w:type="dxa"/>
            <w:vAlign w:val="center"/>
          </w:tcPr>
          <w:p w14:paraId="1A813DFA">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4</w:t>
            </w:r>
          </w:p>
        </w:tc>
        <w:tc>
          <w:tcPr>
            <w:tcW w:w="2235" w:type="dxa"/>
            <w:vAlign w:val="center"/>
          </w:tcPr>
          <w:p w14:paraId="5C7A4958">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产品配送的及时性</w:t>
            </w:r>
          </w:p>
        </w:tc>
        <w:tc>
          <w:tcPr>
            <w:tcW w:w="3934" w:type="dxa"/>
            <w:vAlign w:val="center"/>
          </w:tcPr>
          <w:p w14:paraId="72D24395">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（1）产品配送响应及时，按照采购人管理部门及各需求科室要求的时间配送，不得影响各需求科室的正常使用。</w:t>
            </w:r>
          </w:p>
          <w:p w14:paraId="511B8400">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（2）除特殊情况外，同一订单应同一时间送货，不得影响各需求科室的正常使用。</w:t>
            </w:r>
          </w:p>
        </w:tc>
        <w:tc>
          <w:tcPr>
            <w:tcW w:w="1478" w:type="dxa"/>
            <w:vAlign w:val="center"/>
          </w:tcPr>
          <w:p w14:paraId="7ADB4AF3">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违反考核标准扣罚1000元/件</w:t>
            </w:r>
          </w:p>
        </w:tc>
      </w:tr>
      <w:tr w14:paraId="3B634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6" w:hRule="atLeast"/>
        </w:trPr>
        <w:tc>
          <w:tcPr>
            <w:tcW w:w="1676" w:type="dxa"/>
            <w:vMerge w:val="continue"/>
            <w:vAlign w:val="center"/>
          </w:tcPr>
          <w:p w14:paraId="7B37F4AB">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p>
        </w:tc>
        <w:tc>
          <w:tcPr>
            <w:tcW w:w="934" w:type="dxa"/>
            <w:vAlign w:val="center"/>
          </w:tcPr>
          <w:p w14:paraId="78162E6D">
            <w:pPr>
              <w:widowControl w:val="0"/>
              <w:kinsoku/>
              <w:autoSpaceDE/>
              <w:autoSpaceDN/>
              <w:adjustRightInd/>
              <w:snapToGrid/>
              <w:jc w:val="center"/>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5</w:t>
            </w:r>
          </w:p>
        </w:tc>
        <w:tc>
          <w:tcPr>
            <w:tcW w:w="2235" w:type="dxa"/>
            <w:vAlign w:val="center"/>
          </w:tcPr>
          <w:p w14:paraId="56440041">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问题投诉处理及时性</w:t>
            </w:r>
          </w:p>
        </w:tc>
        <w:tc>
          <w:tcPr>
            <w:tcW w:w="3934" w:type="dxa"/>
            <w:vAlign w:val="center"/>
          </w:tcPr>
          <w:p w14:paraId="1667F04F">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接到书面、微信、电话等合理投诉，中标人应立即处理，及时跟进、解决，并及时向甲方管理部门反馈处理情况及相关改进措施</w:t>
            </w:r>
          </w:p>
        </w:tc>
        <w:tc>
          <w:tcPr>
            <w:tcW w:w="1478" w:type="dxa"/>
            <w:vAlign w:val="center"/>
          </w:tcPr>
          <w:p w14:paraId="73AD56B0">
            <w:pPr>
              <w:widowControl w:val="0"/>
              <w:kinsoku/>
              <w:autoSpaceDE/>
              <w:autoSpaceDN/>
              <w:adjustRightInd/>
              <w:snapToGrid/>
              <w:jc w:val="both"/>
              <w:textAlignment w:val="auto"/>
              <w:rPr>
                <w:rFonts w:ascii="仿宋_GB2312" w:hAnsi="Calibri" w:eastAsia="仿宋_GB2312" w:cs="Times New Roman"/>
                <w:snapToGrid/>
                <w:color w:val="auto"/>
                <w:kern w:val="2"/>
                <w:sz w:val="24"/>
                <w:szCs w:val="24"/>
                <w:lang w:eastAsia="zh-Hans"/>
              </w:rPr>
            </w:pPr>
            <w:r>
              <w:rPr>
                <w:rFonts w:hint="eastAsia" w:ascii="仿宋_GB2312" w:hAnsi="Calibri" w:eastAsia="仿宋_GB2312" w:cs="Times New Roman"/>
                <w:snapToGrid/>
                <w:color w:val="auto"/>
                <w:kern w:val="2"/>
                <w:sz w:val="24"/>
                <w:szCs w:val="24"/>
                <w:lang w:eastAsia="zh-Hans"/>
              </w:rPr>
              <w:t>违反考核标准扣罚1000元/次</w:t>
            </w:r>
          </w:p>
        </w:tc>
      </w:tr>
      <w:tr w14:paraId="028D4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0" w:hRule="atLeast"/>
        </w:trPr>
        <w:tc>
          <w:tcPr>
            <w:tcW w:w="10257" w:type="dxa"/>
            <w:gridSpan w:val="5"/>
            <w:vAlign w:val="center"/>
          </w:tcPr>
          <w:p w14:paraId="44538D35">
            <w:pPr>
              <w:kinsoku/>
              <w:autoSpaceDE/>
              <w:autoSpaceDN/>
              <w:adjustRightInd/>
              <w:snapToGrid/>
              <w:ind w:left="105"/>
              <w:textAlignment w:val="auto"/>
              <w:rPr>
                <w:rFonts w:ascii="仿宋_GB2312" w:hAnsi="Calibri" w:eastAsia="仿宋_GB2312" w:cs="Times New Roman"/>
                <w:b/>
                <w:snapToGrid/>
                <w:sz w:val="24"/>
                <w:szCs w:val="24"/>
                <w:lang w:eastAsia="zh-Hans"/>
              </w:rPr>
            </w:pPr>
            <w:r>
              <w:rPr>
                <w:rFonts w:ascii="仿宋_GB2312" w:hAnsi="Calibri" w:eastAsia="仿宋_GB2312" w:cs="Times New Roman"/>
                <w:b/>
                <w:snapToGrid/>
                <w:sz w:val="24"/>
                <w:szCs w:val="24"/>
                <w:lang w:eastAsia="zh-Hans"/>
              </w:rPr>
              <w:t>说明：采购人管理部门在每个付款周期内对以上内容进行考核；</w:t>
            </w:r>
          </w:p>
          <w:p w14:paraId="2144DCE5">
            <w:pPr>
              <w:kinsoku/>
              <w:autoSpaceDE/>
              <w:autoSpaceDN/>
              <w:adjustRightInd/>
              <w:snapToGrid/>
              <w:ind w:left="105"/>
              <w:textAlignment w:val="auto"/>
              <w:rPr>
                <w:rFonts w:ascii="仿宋_GB2312" w:hAnsi="Calibri" w:eastAsia="仿宋_GB2312" w:cs="Times New Roman"/>
                <w:b/>
                <w:snapToGrid/>
                <w:sz w:val="24"/>
                <w:szCs w:val="24"/>
              </w:rPr>
            </w:pPr>
            <w:r>
              <w:rPr>
                <w:rFonts w:ascii="仿宋_GB2312" w:hAnsi="Calibri" w:eastAsia="仿宋_GB2312" w:cs="Times New Roman"/>
                <w:b/>
                <w:snapToGrid/>
                <w:sz w:val="24"/>
                <w:szCs w:val="24"/>
                <w:lang w:eastAsia="zh-Hans"/>
              </w:rPr>
              <w:t>以上问题出现一次的，批评教育</w:t>
            </w:r>
            <w:r>
              <w:rPr>
                <w:rFonts w:hint="eastAsia" w:ascii="仿宋_GB2312" w:hAnsi="Calibri" w:eastAsia="仿宋_GB2312" w:cs="Times New Roman"/>
                <w:b/>
                <w:snapToGrid/>
                <w:sz w:val="24"/>
                <w:szCs w:val="24"/>
              </w:rPr>
              <w:t>；</w:t>
            </w:r>
          </w:p>
          <w:p w14:paraId="5E262B30">
            <w:pPr>
              <w:kinsoku/>
              <w:autoSpaceDE/>
              <w:autoSpaceDN/>
              <w:adjustRightInd/>
              <w:snapToGrid/>
              <w:ind w:left="105"/>
              <w:textAlignment w:val="auto"/>
              <w:rPr>
                <w:rFonts w:ascii="仿宋_GB2312" w:hAnsi="Calibri" w:eastAsia="仿宋_GB2312" w:cs="Times New Roman"/>
                <w:b/>
                <w:snapToGrid/>
                <w:sz w:val="24"/>
                <w:szCs w:val="24"/>
                <w:lang w:eastAsia="zh-Hans"/>
              </w:rPr>
            </w:pPr>
            <w:r>
              <w:rPr>
                <w:rFonts w:ascii="仿宋_GB2312" w:hAnsi="Calibri" w:eastAsia="仿宋_GB2312" w:cs="Times New Roman"/>
                <w:b/>
                <w:snapToGrid/>
                <w:sz w:val="24"/>
                <w:szCs w:val="24"/>
                <w:lang w:eastAsia="zh-Hans"/>
              </w:rPr>
              <w:t>出现二次的按扣罚标准扣罚；</w:t>
            </w:r>
          </w:p>
          <w:p w14:paraId="7CF07B76">
            <w:pPr>
              <w:kinsoku/>
              <w:autoSpaceDE/>
              <w:autoSpaceDN/>
              <w:adjustRightInd/>
              <w:snapToGrid/>
              <w:ind w:left="105"/>
              <w:textAlignment w:val="auto"/>
              <w:rPr>
                <w:rFonts w:ascii="仿宋_GB2312" w:hAnsi="Calibri" w:eastAsia="仿宋_GB2312" w:cs="Times New Roman"/>
                <w:b/>
                <w:snapToGrid/>
                <w:sz w:val="24"/>
                <w:szCs w:val="24"/>
                <w:lang w:eastAsia="zh-Hans"/>
              </w:rPr>
            </w:pPr>
            <w:r>
              <w:rPr>
                <w:rFonts w:ascii="仿宋_GB2312" w:hAnsi="Calibri" w:eastAsia="仿宋_GB2312" w:cs="Times New Roman"/>
                <w:b/>
                <w:snapToGrid/>
                <w:sz w:val="24"/>
                <w:szCs w:val="24"/>
                <w:lang w:eastAsia="zh-Hans"/>
              </w:rPr>
              <w:t>同一问题出现三次合理投诉的，按扣罚标准的2倍扣罚；</w:t>
            </w:r>
          </w:p>
          <w:p w14:paraId="49922F7E">
            <w:pPr>
              <w:kinsoku/>
              <w:autoSpaceDE/>
              <w:autoSpaceDN/>
              <w:adjustRightInd/>
              <w:snapToGrid/>
              <w:ind w:left="105"/>
              <w:textAlignment w:val="auto"/>
              <w:rPr>
                <w:rFonts w:ascii="仿宋_GB2312" w:hAnsi="Calibri" w:eastAsia="仿宋_GB2312" w:cs="Times New Roman"/>
                <w:color w:val="auto"/>
                <w:sz w:val="24"/>
                <w:szCs w:val="24"/>
                <w:lang w:eastAsia="zh-Hans"/>
              </w:rPr>
            </w:pPr>
            <w:r>
              <w:rPr>
                <w:rFonts w:ascii="仿宋_GB2312" w:hAnsi="Calibri" w:eastAsia="仿宋_GB2312" w:cs="Times New Roman"/>
                <w:b/>
                <w:snapToGrid/>
                <w:sz w:val="24"/>
                <w:szCs w:val="24"/>
                <w:lang w:eastAsia="zh-Hans"/>
              </w:rPr>
              <w:t>连续出现四次合理投诉的，采购人有权终止合同，由此产生的损失由中标人承担。</w:t>
            </w:r>
          </w:p>
        </w:tc>
      </w:tr>
    </w:tbl>
    <w:p w14:paraId="5634CCD8"/>
    <w:sectPr>
      <w:footerReference r:id="rId4" w:type="default"/>
      <w:pgSz w:w="11900" w:h="16840"/>
      <w:pgMar w:top="1418" w:right="851" w:bottom="1418" w:left="851" w:header="0" w:footer="86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仿宋_GB2312">
    <w:panose1 w:val="02000000000000000000"/>
    <w:charset w:val="86"/>
    <w:family w:val="auto"/>
    <w:pitch w:val="default"/>
    <w:sig w:usb0="A00002BF" w:usb1="184F6CFA" w:usb2="00000012" w:usb3="00000000" w:csb0="00040001" w:csb1="00000000"/>
  </w:font>
  <w:font w:name="Lucida Sans Unicode">
    <w:panose1 w:val="020B0602030504020204"/>
    <w:charset w:val="00"/>
    <w:family w:val="swiss"/>
    <w:pitch w:val="default"/>
    <w:sig w:usb0="80001AFF" w:usb1="0000396B" w:usb2="00000000" w:usb3="00000000" w:csb0="200000BF" w:csb1="D7F70000"/>
  </w:font>
  <w:font w:name="Microsoft JhengHei">
    <w:panose1 w:val="020B0604030504040204"/>
    <w:charset w:val="88"/>
    <w:family w:val="swiss"/>
    <w:pitch w:val="default"/>
    <w:sig w:usb0="000002A7" w:usb1="28CF4400" w:usb2="00000016" w:usb3="00000000" w:csb0="00100009"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40688746"/>
    </w:sdtPr>
    <w:sdtContent>
      <w:sdt>
        <w:sdtPr>
          <w:id w:val="1136765283"/>
        </w:sdtPr>
        <w:sdtContent>
          <w:p w14:paraId="68442947">
            <w:pPr>
              <w:pStyle w:val="8"/>
              <w:jc w:val="center"/>
            </w:pPr>
            <w:r>
              <w:rPr>
                <w:sz w:val="24"/>
                <w:szCs w:val="24"/>
                <w:lang w:val="zh-CN"/>
              </w:rPr>
              <w:t xml:space="preserve"> </w:t>
            </w:r>
            <w:r>
              <w:rPr>
                <w:b/>
                <w:bCs/>
                <w:sz w:val="24"/>
                <w:szCs w:val="24"/>
              </w:rPr>
              <w:fldChar w:fldCharType="begin"/>
            </w:r>
            <w:r>
              <w:rPr>
                <w:b/>
                <w:bCs/>
                <w:sz w:val="24"/>
                <w:szCs w:val="24"/>
              </w:rPr>
              <w:instrText xml:space="preserve">PAGE</w:instrText>
            </w:r>
            <w:r>
              <w:rPr>
                <w:b/>
                <w:bCs/>
                <w:sz w:val="24"/>
                <w:szCs w:val="24"/>
              </w:rPr>
              <w:fldChar w:fldCharType="separate"/>
            </w:r>
            <w:r>
              <w:rPr>
                <w:b/>
                <w:bCs/>
                <w:sz w:val="24"/>
                <w:szCs w:val="24"/>
              </w:rPr>
              <w:t>22</w:t>
            </w:r>
            <w:r>
              <w:rPr>
                <w:b/>
                <w:bCs/>
                <w:sz w:val="24"/>
                <w:szCs w:val="24"/>
              </w:rPr>
              <w:fldChar w:fldCharType="end"/>
            </w:r>
            <w:r>
              <w:rPr>
                <w:sz w:val="24"/>
                <w:szCs w:val="24"/>
                <w:lang w:val="zh-CN"/>
              </w:rPr>
              <w:t xml:space="preserve"> / </w:t>
            </w:r>
            <w:r>
              <w:rPr>
                <w:b/>
                <w:bCs/>
                <w:sz w:val="24"/>
                <w:szCs w:val="24"/>
              </w:rPr>
              <w:fldChar w:fldCharType="begin"/>
            </w:r>
            <w:r>
              <w:rPr>
                <w:b/>
                <w:bCs/>
                <w:sz w:val="24"/>
                <w:szCs w:val="24"/>
              </w:rPr>
              <w:instrText xml:space="preserve">NUMPAGES</w:instrText>
            </w:r>
            <w:r>
              <w:rPr>
                <w:b/>
                <w:bCs/>
                <w:sz w:val="24"/>
                <w:szCs w:val="24"/>
              </w:rPr>
              <w:fldChar w:fldCharType="separate"/>
            </w:r>
            <w:r>
              <w:rPr>
                <w:b/>
                <w:bCs/>
                <w:sz w:val="24"/>
                <w:szCs w:val="24"/>
              </w:rPr>
              <w:t>34</w:t>
            </w:r>
            <w:r>
              <w:rPr>
                <w:b/>
                <w:bCs/>
                <w:sz w:val="24"/>
                <w:szCs w:val="24"/>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25FE0">
    <w:pPr>
      <w:pStyle w:val="8"/>
      <w:jc w:val="center"/>
    </w:pPr>
    <w:r>
      <w:rPr>
        <w:sz w:val="21"/>
        <w:lang w:val="zh-CN"/>
      </w:rPr>
      <w:t xml:space="preserve"> </w:t>
    </w:r>
    <w:r>
      <w:rPr>
        <w:b/>
        <w:bCs/>
        <w:sz w:val="21"/>
      </w:rPr>
      <w:fldChar w:fldCharType="begin"/>
    </w:r>
    <w:r>
      <w:rPr>
        <w:b/>
        <w:bCs/>
        <w:sz w:val="21"/>
      </w:rPr>
      <w:instrText xml:space="preserve">PAGE</w:instrText>
    </w:r>
    <w:r>
      <w:rPr>
        <w:b/>
        <w:bCs/>
        <w:sz w:val="21"/>
      </w:rPr>
      <w:fldChar w:fldCharType="separate"/>
    </w:r>
    <w:r>
      <w:rPr>
        <w:b/>
        <w:bCs/>
        <w:sz w:val="21"/>
      </w:rPr>
      <w:t>34</w:t>
    </w:r>
    <w:r>
      <w:rPr>
        <w:b/>
        <w:bCs/>
        <w:sz w:val="21"/>
      </w:rPr>
      <w:fldChar w:fldCharType="end"/>
    </w:r>
    <w:r>
      <w:rPr>
        <w:sz w:val="21"/>
        <w:lang w:val="zh-CN"/>
      </w:rPr>
      <w:t xml:space="preserve"> / </w:t>
    </w:r>
    <w:r>
      <w:rPr>
        <w:b/>
        <w:bCs/>
        <w:sz w:val="21"/>
      </w:rPr>
      <w:fldChar w:fldCharType="begin"/>
    </w:r>
    <w:r>
      <w:rPr>
        <w:b/>
        <w:bCs/>
        <w:sz w:val="21"/>
      </w:rPr>
      <w:instrText xml:space="preserve">NUMPAGES</w:instrText>
    </w:r>
    <w:r>
      <w:rPr>
        <w:b/>
        <w:bCs/>
        <w:sz w:val="21"/>
      </w:rPr>
      <w:fldChar w:fldCharType="separate"/>
    </w:r>
    <w:r>
      <w:rPr>
        <w:b/>
        <w:bCs/>
        <w:sz w:val="21"/>
      </w:rPr>
      <w:t>34</w:t>
    </w:r>
    <w:r>
      <w:rPr>
        <w:b/>
        <w:bCs/>
        <w:sz w:val="21"/>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6C5CAC"/>
    <w:multiLevelType w:val="singleLevel"/>
    <w:tmpl w:val="9A6C5CAC"/>
    <w:lvl w:ilvl="0" w:tentative="0">
      <w:start w:val="1"/>
      <w:numFmt w:val="decimal"/>
      <w:suff w:val="nothing"/>
      <w:lvlText w:val="%1、"/>
      <w:lvlJc w:val="left"/>
    </w:lvl>
  </w:abstractNum>
  <w:abstractNum w:abstractNumId="1">
    <w:nsid w:val="AE308274"/>
    <w:multiLevelType w:val="singleLevel"/>
    <w:tmpl w:val="AE308274"/>
    <w:lvl w:ilvl="0" w:tentative="0">
      <w:start w:val="1"/>
      <w:numFmt w:val="chineseCounting"/>
      <w:suff w:val="nothing"/>
      <w:lvlText w:val="（%1）"/>
      <w:lvlJc w:val="left"/>
      <w:pPr>
        <w:ind w:left="0" w:firstLine="420"/>
      </w:pPr>
      <w:rPr>
        <w:rFonts w:hint="eastAsia"/>
        <w:color w:val="auto"/>
      </w:rPr>
    </w:lvl>
  </w:abstractNum>
  <w:abstractNum w:abstractNumId="2">
    <w:nsid w:val="E5FBA58A"/>
    <w:multiLevelType w:val="singleLevel"/>
    <w:tmpl w:val="E5FBA58A"/>
    <w:lvl w:ilvl="0" w:tentative="0">
      <w:start w:val="1"/>
      <w:numFmt w:val="decimal"/>
      <w:lvlText w:val="(%1)"/>
      <w:lvlJc w:val="left"/>
      <w:pPr>
        <w:tabs>
          <w:tab w:val="left" w:pos="312"/>
        </w:tabs>
      </w:pPr>
    </w:lvl>
  </w:abstractNum>
  <w:abstractNum w:abstractNumId="3">
    <w:nsid w:val="784E0E84"/>
    <w:multiLevelType w:val="multilevel"/>
    <w:tmpl w:val="784E0E84"/>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revisionView w:markup="0"/>
  <w:documentProtection w:enforcement="0"/>
  <w:defaultTabStop w:val="420"/>
  <w:displayHorizontalDrawingGridEvery w:val="1"/>
  <w:displayVerticalDrawingGridEvery w:val="1"/>
  <w:noPunctuationKerning w:val="1"/>
  <w:characterSpacingControl w:val="doNotCompress"/>
  <w:compat>
    <w:spaceForUL/>
    <w:ulTrailSpace/>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UyNjI4MTM1N2QxZWJjYzQyMjllNDFlZjBhMTY3MDgifQ=="/>
  </w:docVars>
  <w:rsids>
    <w:rsidRoot w:val="00D224BB"/>
    <w:rsid w:val="000020BD"/>
    <w:rsid w:val="000156D9"/>
    <w:rsid w:val="00015896"/>
    <w:rsid w:val="00024F01"/>
    <w:rsid w:val="000259E5"/>
    <w:rsid w:val="000273CC"/>
    <w:rsid w:val="00030027"/>
    <w:rsid w:val="00033DC6"/>
    <w:rsid w:val="00040471"/>
    <w:rsid w:val="0004077A"/>
    <w:rsid w:val="00042E31"/>
    <w:rsid w:val="0004303E"/>
    <w:rsid w:val="00055BB8"/>
    <w:rsid w:val="00057906"/>
    <w:rsid w:val="00062832"/>
    <w:rsid w:val="00063FF4"/>
    <w:rsid w:val="0006609F"/>
    <w:rsid w:val="00070A2A"/>
    <w:rsid w:val="0007494C"/>
    <w:rsid w:val="000756FC"/>
    <w:rsid w:val="00077CB6"/>
    <w:rsid w:val="00082625"/>
    <w:rsid w:val="00082FBE"/>
    <w:rsid w:val="00087FCB"/>
    <w:rsid w:val="000A02C1"/>
    <w:rsid w:val="000A13C9"/>
    <w:rsid w:val="000A719E"/>
    <w:rsid w:val="000B537A"/>
    <w:rsid w:val="000C0822"/>
    <w:rsid w:val="000C434B"/>
    <w:rsid w:val="000D0769"/>
    <w:rsid w:val="000D3656"/>
    <w:rsid w:val="000D47DB"/>
    <w:rsid w:val="000D6792"/>
    <w:rsid w:val="00115BC5"/>
    <w:rsid w:val="00115D57"/>
    <w:rsid w:val="0012128C"/>
    <w:rsid w:val="00122566"/>
    <w:rsid w:val="00123D92"/>
    <w:rsid w:val="00134C21"/>
    <w:rsid w:val="0013773F"/>
    <w:rsid w:val="00156BA6"/>
    <w:rsid w:val="0015742F"/>
    <w:rsid w:val="00163471"/>
    <w:rsid w:val="001701F0"/>
    <w:rsid w:val="00171256"/>
    <w:rsid w:val="00171969"/>
    <w:rsid w:val="0017340C"/>
    <w:rsid w:val="001754FF"/>
    <w:rsid w:val="001803D2"/>
    <w:rsid w:val="00183752"/>
    <w:rsid w:val="00191BFD"/>
    <w:rsid w:val="00193188"/>
    <w:rsid w:val="0019534E"/>
    <w:rsid w:val="001A01BA"/>
    <w:rsid w:val="001A4ADA"/>
    <w:rsid w:val="001A78F9"/>
    <w:rsid w:val="001B0959"/>
    <w:rsid w:val="001B12A4"/>
    <w:rsid w:val="001C163F"/>
    <w:rsid w:val="001C1F07"/>
    <w:rsid w:val="001C2E3B"/>
    <w:rsid w:val="001C54FB"/>
    <w:rsid w:val="001C5F43"/>
    <w:rsid w:val="001C7B82"/>
    <w:rsid w:val="001D22B9"/>
    <w:rsid w:val="001E3DA4"/>
    <w:rsid w:val="001E47CF"/>
    <w:rsid w:val="001E4CD3"/>
    <w:rsid w:val="001E590E"/>
    <w:rsid w:val="001E5B6B"/>
    <w:rsid w:val="002124E0"/>
    <w:rsid w:val="0021372A"/>
    <w:rsid w:val="0021518B"/>
    <w:rsid w:val="002238E7"/>
    <w:rsid w:val="00224298"/>
    <w:rsid w:val="00225022"/>
    <w:rsid w:val="00230C5C"/>
    <w:rsid w:val="0023122B"/>
    <w:rsid w:val="002376CF"/>
    <w:rsid w:val="002416AF"/>
    <w:rsid w:val="002443E7"/>
    <w:rsid w:val="00245340"/>
    <w:rsid w:val="00251D00"/>
    <w:rsid w:val="002521BB"/>
    <w:rsid w:val="00252B7C"/>
    <w:rsid w:val="00253BC0"/>
    <w:rsid w:val="00256745"/>
    <w:rsid w:val="0026232A"/>
    <w:rsid w:val="00264C7D"/>
    <w:rsid w:val="0026536C"/>
    <w:rsid w:val="0026668E"/>
    <w:rsid w:val="002678E9"/>
    <w:rsid w:val="00272FD4"/>
    <w:rsid w:val="002754BA"/>
    <w:rsid w:val="002777EF"/>
    <w:rsid w:val="002860C4"/>
    <w:rsid w:val="00286673"/>
    <w:rsid w:val="0028774D"/>
    <w:rsid w:val="00293D88"/>
    <w:rsid w:val="002A3018"/>
    <w:rsid w:val="002A6FAD"/>
    <w:rsid w:val="002B3206"/>
    <w:rsid w:val="002B3915"/>
    <w:rsid w:val="002C09CC"/>
    <w:rsid w:val="002D06E4"/>
    <w:rsid w:val="002D41D9"/>
    <w:rsid w:val="002D4971"/>
    <w:rsid w:val="002D6E69"/>
    <w:rsid w:val="002E1313"/>
    <w:rsid w:val="002E3BF2"/>
    <w:rsid w:val="002F3FE5"/>
    <w:rsid w:val="0030012B"/>
    <w:rsid w:val="00304F14"/>
    <w:rsid w:val="0030573C"/>
    <w:rsid w:val="00305AD1"/>
    <w:rsid w:val="0030729B"/>
    <w:rsid w:val="00315D77"/>
    <w:rsid w:val="003331FC"/>
    <w:rsid w:val="00333D19"/>
    <w:rsid w:val="00336304"/>
    <w:rsid w:val="00336C7A"/>
    <w:rsid w:val="00340588"/>
    <w:rsid w:val="00351493"/>
    <w:rsid w:val="00362769"/>
    <w:rsid w:val="00363019"/>
    <w:rsid w:val="00363714"/>
    <w:rsid w:val="00366220"/>
    <w:rsid w:val="0037444A"/>
    <w:rsid w:val="00374463"/>
    <w:rsid w:val="00380A1D"/>
    <w:rsid w:val="003872D2"/>
    <w:rsid w:val="0039069D"/>
    <w:rsid w:val="00397558"/>
    <w:rsid w:val="00397B0E"/>
    <w:rsid w:val="003A0A67"/>
    <w:rsid w:val="003A3282"/>
    <w:rsid w:val="003A3824"/>
    <w:rsid w:val="003A4231"/>
    <w:rsid w:val="003A4FE3"/>
    <w:rsid w:val="003A510D"/>
    <w:rsid w:val="003A7C26"/>
    <w:rsid w:val="003B0E31"/>
    <w:rsid w:val="003B2F8E"/>
    <w:rsid w:val="003B4DEC"/>
    <w:rsid w:val="003C1ADF"/>
    <w:rsid w:val="003D57DE"/>
    <w:rsid w:val="003E0650"/>
    <w:rsid w:val="003E1069"/>
    <w:rsid w:val="003E3470"/>
    <w:rsid w:val="003E748A"/>
    <w:rsid w:val="003E7BFA"/>
    <w:rsid w:val="003F05B8"/>
    <w:rsid w:val="003F3E8D"/>
    <w:rsid w:val="003F4B99"/>
    <w:rsid w:val="003F64C5"/>
    <w:rsid w:val="00402327"/>
    <w:rsid w:val="004027B9"/>
    <w:rsid w:val="00402990"/>
    <w:rsid w:val="004063EF"/>
    <w:rsid w:val="0040682A"/>
    <w:rsid w:val="00412761"/>
    <w:rsid w:val="00412A01"/>
    <w:rsid w:val="0042792C"/>
    <w:rsid w:val="0043000C"/>
    <w:rsid w:val="00432290"/>
    <w:rsid w:val="004334C6"/>
    <w:rsid w:val="004401F4"/>
    <w:rsid w:val="0044243D"/>
    <w:rsid w:val="00442AAE"/>
    <w:rsid w:val="00445C7F"/>
    <w:rsid w:val="00447577"/>
    <w:rsid w:val="00451450"/>
    <w:rsid w:val="00451B0B"/>
    <w:rsid w:val="00452997"/>
    <w:rsid w:val="00452B21"/>
    <w:rsid w:val="0045470F"/>
    <w:rsid w:val="00455AF3"/>
    <w:rsid w:val="004678EB"/>
    <w:rsid w:val="00474C80"/>
    <w:rsid w:val="0047644E"/>
    <w:rsid w:val="00483C89"/>
    <w:rsid w:val="00485DCF"/>
    <w:rsid w:val="00490534"/>
    <w:rsid w:val="004A36B4"/>
    <w:rsid w:val="004A5F76"/>
    <w:rsid w:val="004A6F3D"/>
    <w:rsid w:val="004A702F"/>
    <w:rsid w:val="004A72B1"/>
    <w:rsid w:val="004B3DC4"/>
    <w:rsid w:val="004B49EA"/>
    <w:rsid w:val="004C1606"/>
    <w:rsid w:val="004D23A5"/>
    <w:rsid w:val="004E1545"/>
    <w:rsid w:val="004E74B3"/>
    <w:rsid w:val="004F1B4D"/>
    <w:rsid w:val="004F57FA"/>
    <w:rsid w:val="004F7185"/>
    <w:rsid w:val="00505E9F"/>
    <w:rsid w:val="0051015B"/>
    <w:rsid w:val="00511418"/>
    <w:rsid w:val="00517803"/>
    <w:rsid w:val="00522024"/>
    <w:rsid w:val="005255DA"/>
    <w:rsid w:val="00540BD1"/>
    <w:rsid w:val="00557947"/>
    <w:rsid w:val="00565B2C"/>
    <w:rsid w:val="00571717"/>
    <w:rsid w:val="005760D5"/>
    <w:rsid w:val="005771A8"/>
    <w:rsid w:val="00591D23"/>
    <w:rsid w:val="00592388"/>
    <w:rsid w:val="005948C4"/>
    <w:rsid w:val="0059542D"/>
    <w:rsid w:val="005A000C"/>
    <w:rsid w:val="005A0505"/>
    <w:rsid w:val="005A35C8"/>
    <w:rsid w:val="005A7523"/>
    <w:rsid w:val="005B0B89"/>
    <w:rsid w:val="005C0003"/>
    <w:rsid w:val="005D26C0"/>
    <w:rsid w:val="005D390D"/>
    <w:rsid w:val="005E0D97"/>
    <w:rsid w:val="005F2F7C"/>
    <w:rsid w:val="005F3B84"/>
    <w:rsid w:val="0060221A"/>
    <w:rsid w:val="00603A22"/>
    <w:rsid w:val="00603C2D"/>
    <w:rsid w:val="006075B9"/>
    <w:rsid w:val="0061271C"/>
    <w:rsid w:val="006145CA"/>
    <w:rsid w:val="006164A1"/>
    <w:rsid w:val="00630358"/>
    <w:rsid w:val="00634B4F"/>
    <w:rsid w:val="0063556B"/>
    <w:rsid w:val="006529CB"/>
    <w:rsid w:val="00667BFF"/>
    <w:rsid w:val="00667C4C"/>
    <w:rsid w:val="0067038D"/>
    <w:rsid w:val="006724E2"/>
    <w:rsid w:val="00672F15"/>
    <w:rsid w:val="00673EF3"/>
    <w:rsid w:val="00675E1D"/>
    <w:rsid w:val="00680A5D"/>
    <w:rsid w:val="006833A5"/>
    <w:rsid w:val="0068756D"/>
    <w:rsid w:val="0069567D"/>
    <w:rsid w:val="0069622F"/>
    <w:rsid w:val="00697125"/>
    <w:rsid w:val="0069713A"/>
    <w:rsid w:val="006A1CF2"/>
    <w:rsid w:val="006A5707"/>
    <w:rsid w:val="006C4B97"/>
    <w:rsid w:val="006C645F"/>
    <w:rsid w:val="006D7E32"/>
    <w:rsid w:val="006E0B67"/>
    <w:rsid w:val="006E1F2D"/>
    <w:rsid w:val="00703381"/>
    <w:rsid w:val="0071106E"/>
    <w:rsid w:val="0071381C"/>
    <w:rsid w:val="007151B8"/>
    <w:rsid w:val="007220D1"/>
    <w:rsid w:val="00732871"/>
    <w:rsid w:val="007458B7"/>
    <w:rsid w:val="00754418"/>
    <w:rsid w:val="007555DA"/>
    <w:rsid w:val="00756D70"/>
    <w:rsid w:val="00761D31"/>
    <w:rsid w:val="0077268A"/>
    <w:rsid w:val="0077345C"/>
    <w:rsid w:val="0078143C"/>
    <w:rsid w:val="00790F61"/>
    <w:rsid w:val="00791B1E"/>
    <w:rsid w:val="007975DD"/>
    <w:rsid w:val="007B3BDE"/>
    <w:rsid w:val="007B57C2"/>
    <w:rsid w:val="007B6B05"/>
    <w:rsid w:val="007B727A"/>
    <w:rsid w:val="007C59F6"/>
    <w:rsid w:val="007D0270"/>
    <w:rsid w:val="007D08E6"/>
    <w:rsid w:val="007D1FAF"/>
    <w:rsid w:val="007D50D5"/>
    <w:rsid w:val="007D5CE7"/>
    <w:rsid w:val="007E0F93"/>
    <w:rsid w:val="007E1261"/>
    <w:rsid w:val="007E2034"/>
    <w:rsid w:val="007E2797"/>
    <w:rsid w:val="007E44B4"/>
    <w:rsid w:val="007E4BD0"/>
    <w:rsid w:val="007E5AF0"/>
    <w:rsid w:val="007F333D"/>
    <w:rsid w:val="007F45FA"/>
    <w:rsid w:val="007F5237"/>
    <w:rsid w:val="007F7930"/>
    <w:rsid w:val="00802D68"/>
    <w:rsid w:val="00803B1B"/>
    <w:rsid w:val="00804432"/>
    <w:rsid w:val="00812383"/>
    <w:rsid w:val="00815E4E"/>
    <w:rsid w:val="00815ED2"/>
    <w:rsid w:val="0082177C"/>
    <w:rsid w:val="008240E9"/>
    <w:rsid w:val="0082461E"/>
    <w:rsid w:val="00824C39"/>
    <w:rsid w:val="008275C2"/>
    <w:rsid w:val="00832B29"/>
    <w:rsid w:val="00853630"/>
    <w:rsid w:val="00856078"/>
    <w:rsid w:val="00856FF5"/>
    <w:rsid w:val="00857ED1"/>
    <w:rsid w:val="00860FE9"/>
    <w:rsid w:val="0086219A"/>
    <w:rsid w:val="00872B11"/>
    <w:rsid w:val="008745AC"/>
    <w:rsid w:val="00874984"/>
    <w:rsid w:val="00874A87"/>
    <w:rsid w:val="00876348"/>
    <w:rsid w:val="0088397F"/>
    <w:rsid w:val="00883ED1"/>
    <w:rsid w:val="008845FD"/>
    <w:rsid w:val="00885CFA"/>
    <w:rsid w:val="008906C2"/>
    <w:rsid w:val="0089120D"/>
    <w:rsid w:val="00892522"/>
    <w:rsid w:val="00896A2C"/>
    <w:rsid w:val="008A476C"/>
    <w:rsid w:val="008B163A"/>
    <w:rsid w:val="008B53B0"/>
    <w:rsid w:val="008B5B7A"/>
    <w:rsid w:val="008B774E"/>
    <w:rsid w:val="008B7E2A"/>
    <w:rsid w:val="008C2EE7"/>
    <w:rsid w:val="008C6F63"/>
    <w:rsid w:val="008E2177"/>
    <w:rsid w:val="008E2DCF"/>
    <w:rsid w:val="008E36A5"/>
    <w:rsid w:val="008F120F"/>
    <w:rsid w:val="009005E5"/>
    <w:rsid w:val="0090243C"/>
    <w:rsid w:val="00902515"/>
    <w:rsid w:val="00906E28"/>
    <w:rsid w:val="00915CB8"/>
    <w:rsid w:val="00916C2D"/>
    <w:rsid w:val="0093389B"/>
    <w:rsid w:val="00934DB5"/>
    <w:rsid w:val="00936BE9"/>
    <w:rsid w:val="00936ED0"/>
    <w:rsid w:val="009379E4"/>
    <w:rsid w:val="00942107"/>
    <w:rsid w:val="00943F4D"/>
    <w:rsid w:val="009469F4"/>
    <w:rsid w:val="00951FD5"/>
    <w:rsid w:val="0097535F"/>
    <w:rsid w:val="00984EF3"/>
    <w:rsid w:val="00986405"/>
    <w:rsid w:val="00986C27"/>
    <w:rsid w:val="00987086"/>
    <w:rsid w:val="00990997"/>
    <w:rsid w:val="009A097E"/>
    <w:rsid w:val="009B3B09"/>
    <w:rsid w:val="009C0173"/>
    <w:rsid w:val="009C1D67"/>
    <w:rsid w:val="009D1031"/>
    <w:rsid w:val="009D28B9"/>
    <w:rsid w:val="009D409E"/>
    <w:rsid w:val="009D7ABF"/>
    <w:rsid w:val="009E1513"/>
    <w:rsid w:val="009E5B02"/>
    <w:rsid w:val="009F0C63"/>
    <w:rsid w:val="009F382F"/>
    <w:rsid w:val="009F48B4"/>
    <w:rsid w:val="009F4BB1"/>
    <w:rsid w:val="009F5F1C"/>
    <w:rsid w:val="009F6CE7"/>
    <w:rsid w:val="00A0163E"/>
    <w:rsid w:val="00A03402"/>
    <w:rsid w:val="00A03840"/>
    <w:rsid w:val="00A04202"/>
    <w:rsid w:val="00A06245"/>
    <w:rsid w:val="00A12E20"/>
    <w:rsid w:val="00A3370B"/>
    <w:rsid w:val="00A33756"/>
    <w:rsid w:val="00A41F2B"/>
    <w:rsid w:val="00A437AB"/>
    <w:rsid w:val="00A4388C"/>
    <w:rsid w:val="00A52730"/>
    <w:rsid w:val="00A53596"/>
    <w:rsid w:val="00A5458F"/>
    <w:rsid w:val="00A56DDB"/>
    <w:rsid w:val="00A579FA"/>
    <w:rsid w:val="00A706E9"/>
    <w:rsid w:val="00A725AB"/>
    <w:rsid w:val="00A80BCA"/>
    <w:rsid w:val="00A844DF"/>
    <w:rsid w:val="00A92AF5"/>
    <w:rsid w:val="00A96824"/>
    <w:rsid w:val="00AA0348"/>
    <w:rsid w:val="00AA25BB"/>
    <w:rsid w:val="00AB16E0"/>
    <w:rsid w:val="00AB31C7"/>
    <w:rsid w:val="00AB413E"/>
    <w:rsid w:val="00AC46AE"/>
    <w:rsid w:val="00AD7C30"/>
    <w:rsid w:val="00AE3972"/>
    <w:rsid w:val="00AF2DAB"/>
    <w:rsid w:val="00AF79B3"/>
    <w:rsid w:val="00B03886"/>
    <w:rsid w:val="00B04F8B"/>
    <w:rsid w:val="00B1058A"/>
    <w:rsid w:val="00B10A52"/>
    <w:rsid w:val="00B1166E"/>
    <w:rsid w:val="00B21A6A"/>
    <w:rsid w:val="00B232E3"/>
    <w:rsid w:val="00B26F4A"/>
    <w:rsid w:val="00B27593"/>
    <w:rsid w:val="00B27C4F"/>
    <w:rsid w:val="00B33527"/>
    <w:rsid w:val="00B357CA"/>
    <w:rsid w:val="00B529C5"/>
    <w:rsid w:val="00B572B8"/>
    <w:rsid w:val="00B61BC2"/>
    <w:rsid w:val="00B64D47"/>
    <w:rsid w:val="00B65265"/>
    <w:rsid w:val="00B66298"/>
    <w:rsid w:val="00B66604"/>
    <w:rsid w:val="00B71EED"/>
    <w:rsid w:val="00B731BA"/>
    <w:rsid w:val="00B75FE4"/>
    <w:rsid w:val="00B80962"/>
    <w:rsid w:val="00B832D5"/>
    <w:rsid w:val="00B84DB8"/>
    <w:rsid w:val="00B87057"/>
    <w:rsid w:val="00B87581"/>
    <w:rsid w:val="00B93732"/>
    <w:rsid w:val="00B94F1C"/>
    <w:rsid w:val="00BA38C6"/>
    <w:rsid w:val="00BB084E"/>
    <w:rsid w:val="00BB5901"/>
    <w:rsid w:val="00BB5A33"/>
    <w:rsid w:val="00BB70E7"/>
    <w:rsid w:val="00BC4DD5"/>
    <w:rsid w:val="00BD3D4D"/>
    <w:rsid w:val="00BD7054"/>
    <w:rsid w:val="00BE17FD"/>
    <w:rsid w:val="00BF4503"/>
    <w:rsid w:val="00BF5DE4"/>
    <w:rsid w:val="00BF6944"/>
    <w:rsid w:val="00C01789"/>
    <w:rsid w:val="00C04DAE"/>
    <w:rsid w:val="00C11B6B"/>
    <w:rsid w:val="00C16ABC"/>
    <w:rsid w:val="00C16B8B"/>
    <w:rsid w:val="00C226BD"/>
    <w:rsid w:val="00C23AAF"/>
    <w:rsid w:val="00C32599"/>
    <w:rsid w:val="00C32874"/>
    <w:rsid w:val="00C43260"/>
    <w:rsid w:val="00C473BA"/>
    <w:rsid w:val="00C5011F"/>
    <w:rsid w:val="00C5094A"/>
    <w:rsid w:val="00C5432D"/>
    <w:rsid w:val="00C55B8B"/>
    <w:rsid w:val="00C55CB4"/>
    <w:rsid w:val="00C56495"/>
    <w:rsid w:val="00C63678"/>
    <w:rsid w:val="00C65378"/>
    <w:rsid w:val="00C701E9"/>
    <w:rsid w:val="00C70F65"/>
    <w:rsid w:val="00C74460"/>
    <w:rsid w:val="00C74E93"/>
    <w:rsid w:val="00C76CA1"/>
    <w:rsid w:val="00C777D7"/>
    <w:rsid w:val="00C8335B"/>
    <w:rsid w:val="00C84521"/>
    <w:rsid w:val="00C96521"/>
    <w:rsid w:val="00CA2099"/>
    <w:rsid w:val="00CA64D1"/>
    <w:rsid w:val="00CA7B49"/>
    <w:rsid w:val="00CB2ADD"/>
    <w:rsid w:val="00CC0989"/>
    <w:rsid w:val="00CC43C5"/>
    <w:rsid w:val="00CC5F43"/>
    <w:rsid w:val="00CC68DB"/>
    <w:rsid w:val="00CD2260"/>
    <w:rsid w:val="00CE3554"/>
    <w:rsid w:val="00CE3EA1"/>
    <w:rsid w:val="00CF0051"/>
    <w:rsid w:val="00D023FF"/>
    <w:rsid w:val="00D05FEE"/>
    <w:rsid w:val="00D20184"/>
    <w:rsid w:val="00D224BB"/>
    <w:rsid w:val="00D329D0"/>
    <w:rsid w:val="00D356EB"/>
    <w:rsid w:val="00D42BE5"/>
    <w:rsid w:val="00D45647"/>
    <w:rsid w:val="00D45E71"/>
    <w:rsid w:val="00D57E69"/>
    <w:rsid w:val="00D6369F"/>
    <w:rsid w:val="00D65D64"/>
    <w:rsid w:val="00D679C1"/>
    <w:rsid w:val="00D739F7"/>
    <w:rsid w:val="00D849D7"/>
    <w:rsid w:val="00D933B4"/>
    <w:rsid w:val="00D937C4"/>
    <w:rsid w:val="00D93AC7"/>
    <w:rsid w:val="00D97D00"/>
    <w:rsid w:val="00DC5E92"/>
    <w:rsid w:val="00DE23EE"/>
    <w:rsid w:val="00DE719F"/>
    <w:rsid w:val="00DE7E63"/>
    <w:rsid w:val="00DF24B5"/>
    <w:rsid w:val="00DF5592"/>
    <w:rsid w:val="00DF56E5"/>
    <w:rsid w:val="00E03CD9"/>
    <w:rsid w:val="00E25ADC"/>
    <w:rsid w:val="00E31578"/>
    <w:rsid w:val="00E33BBD"/>
    <w:rsid w:val="00E351CD"/>
    <w:rsid w:val="00E44810"/>
    <w:rsid w:val="00E47B72"/>
    <w:rsid w:val="00E50F3E"/>
    <w:rsid w:val="00E51210"/>
    <w:rsid w:val="00E534D6"/>
    <w:rsid w:val="00E56254"/>
    <w:rsid w:val="00E57805"/>
    <w:rsid w:val="00E60E09"/>
    <w:rsid w:val="00E61116"/>
    <w:rsid w:val="00E6144A"/>
    <w:rsid w:val="00E67B29"/>
    <w:rsid w:val="00E73110"/>
    <w:rsid w:val="00E75440"/>
    <w:rsid w:val="00E82227"/>
    <w:rsid w:val="00E86EAF"/>
    <w:rsid w:val="00E9034D"/>
    <w:rsid w:val="00E904F4"/>
    <w:rsid w:val="00E913FB"/>
    <w:rsid w:val="00E91FDE"/>
    <w:rsid w:val="00E9229B"/>
    <w:rsid w:val="00EA7C11"/>
    <w:rsid w:val="00EB0EAE"/>
    <w:rsid w:val="00EB2A7C"/>
    <w:rsid w:val="00ED4BA4"/>
    <w:rsid w:val="00ED4F16"/>
    <w:rsid w:val="00ED6C47"/>
    <w:rsid w:val="00EE1B72"/>
    <w:rsid w:val="00EE267A"/>
    <w:rsid w:val="00EF6CA8"/>
    <w:rsid w:val="00F05E99"/>
    <w:rsid w:val="00F071FA"/>
    <w:rsid w:val="00F120A3"/>
    <w:rsid w:val="00F1459B"/>
    <w:rsid w:val="00F2746E"/>
    <w:rsid w:val="00F30E56"/>
    <w:rsid w:val="00F33F79"/>
    <w:rsid w:val="00F43763"/>
    <w:rsid w:val="00F4584B"/>
    <w:rsid w:val="00F4670A"/>
    <w:rsid w:val="00F50523"/>
    <w:rsid w:val="00F64C20"/>
    <w:rsid w:val="00F67E2F"/>
    <w:rsid w:val="00F82213"/>
    <w:rsid w:val="00F82D34"/>
    <w:rsid w:val="00F8465D"/>
    <w:rsid w:val="00F87759"/>
    <w:rsid w:val="00F90239"/>
    <w:rsid w:val="00F9366C"/>
    <w:rsid w:val="00F94F5D"/>
    <w:rsid w:val="00FA08EC"/>
    <w:rsid w:val="00FA5F37"/>
    <w:rsid w:val="00FB1D58"/>
    <w:rsid w:val="00FB4802"/>
    <w:rsid w:val="00FB49C5"/>
    <w:rsid w:val="00FB69F9"/>
    <w:rsid w:val="00FC27F5"/>
    <w:rsid w:val="00FC2F5A"/>
    <w:rsid w:val="00FD545D"/>
    <w:rsid w:val="00FE397A"/>
    <w:rsid w:val="00FE40FF"/>
    <w:rsid w:val="00FE70A0"/>
    <w:rsid w:val="00FF0005"/>
    <w:rsid w:val="010D6029"/>
    <w:rsid w:val="01235AC0"/>
    <w:rsid w:val="019D738A"/>
    <w:rsid w:val="01B110AA"/>
    <w:rsid w:val="02274EC8"/>
    <w:rsid w:val="025739FF"/>
    <w:rsid w:val="028B36A9"/>
    <w:rsid w:val="028C11CF"/>
    <w:rsid w:val="02BF15A4"/>
    <w:rsid w:val="02ED4364"/>
    <w:rsid w:val="035241C7"/>
    <w:rsid w:val="03541747"/>
    <w:rsid w:val="03C230FA"/>
    <w:rsid w:val="041476CE"/>
    <w:rsid w:val="043F2B54"/>
    <w:rsid w:val="044C330C"/>
    <w:rsid w:val="04785EAF"/>
    <w:rsid w:val="04DA4474"/>
    <w:rsid w:val="05341DD6"/>
    <w:rsid w:val="05644397"/>
    <w:rsid w:val="058361B3"/>
    <w:rsid w:val="05C313AC"/>
    <w:rsid w:val="05E530D0"/>
    <w:rsid w:val="06163836"/>
    <w:rsid w:val="068E3768"/>
    <w:rsid w:val="06932E25"/>
    <w:rsid w:val="06D51397"/>
    <w:rsid w:val="06EB43EB"/>
    <w:rsid w:val="06F04E22"/>
    <w:rsid w:val="072F4F4B"/>
    <w:rsid w:val="073C31C4"/>
    <w:rsid w:val="073F63EB"/>
    <w:rsid w:val="074A1D85"/>
    <w:rsid w:val="07577FFE"/>
    <w:rsid w:val="0798377E"/>
    <w:rsid w:val="07BD44E2"/>
    <w:rsid w:val="07CF75D7"/>
    <w:rsid w:val="081C4DA3"/>
    <w:rsid w:val="082C3238"/>
    <w:rsid w:val="086329D2"/>
    <w:rsid w:val="086D1535"/>
    <w:rsid w:val="086E3851"/>
    <w:rsid w:val="08B651F8"/>
    <w:rsid w:val="08CA6B81"/>
    <w:rsid w:val="097529BD"/>
    <w:rsid w:val="09903C9B"/>
    <w:rsid w:val="09DE67B4"/>
    <w:rsid w:val="0A2F7010"/>
    <w:rsid w:val="0A8971C8"/>
    <w:rsid w:val="0AA7686C"/>
    <w:rsid w:val="0ACD10F0"/>
    <w:rsid w:val="0B004876"/>
    <w:rsid w:val="0B050F7D"/>
    <w:rsid w:val="0B185CF6"/>
    <w:rsid w:val="0B2A44F5"/>
    <w:rsid w:val="0B7D3CCF"/>
    <w:rsid w:val="0B931032"/>
    <w:rsid w:val="0BA20413"/>
    <w:rsid w:val="0BBA6DAD"/>
    <w:rsid w:val="0C632FA1"/>
    <w:rsid w:val="0D562B05"/>
    <w:rsid w:val="0D822679"/>
    <w:rsid w:val="0DCD2DC7"/>
    <w:rsid w:val="0DE9148B"/>
    <w:rsid w:val="0E1B21E9"/>
    <w:rsid w:val="0E4A4418"/>
    <w:rsid w:val="0E5E66DC"/>
    <w:rsid w:val="0E7B2823"/>
    <w:rsid w:val="0ECD6DF7"/>
    <w:rsid w:val="0F1A64E0"/>
    <w:rsid w:val="0F2E7962"/>
    <w:rsid w:val="0F464433"/>
    <w:rsid w:val="0F6A1E21"/>
    <w:rsid w:val="0F9F2B13"/>
    <w:rsid w:val="0FB84B9E"/>
    <w:rsid w:val="10193E4F"/>
    <w:rsid w:val="101A606C"/>
    <w:rsid w:val="10240C99"/>
    <w:rsid w:val="103A04BC"/>
    <w:rsid w:val="10424414"/>
    <w:rsid w:val="10454451"/>
    <w:rsid w:val="10B35DBE"/>
    <w:rsid w:val="10BB33AB"/>
    <w:rsid w:val="10D97CD5"/>
    <w:rsid w:val="10EF574B"/>
    <w:rsid w:val="11223FAF"/>
    <w:rsid w:val="114A128D"/>
    <w:rsid w:val="11AF2BAC"/>
    <w:rsid w:val="11BD75F7"/>
    <w:rsid w:val="11FD315B"/>
    <w:rsid w:val="120E39AF"/>
    <w:rsid w:val="12174F59"/>
    <w:rsid w:val="127777A6"/>
    <w:rsid w:val="12CB0E86"/>
    <w:rsid w:val="138A3509"/>
    <w:rsid w:val="13BE0A8D"/>
    <w:rsid w:val="13C7475D"/>
    <w:rsid w:val="13EC5D16"/>
    <w:rsid w:val="14914409"/>
    <w:rsid w:val="149E726C"/>
    <w:rsid w:val="14AA3171"/>
    <w:rsid w:val="152F00CD"/>
    <w:rsid w:val="154716B1"/>
    <w:rsid w:val="154A11A2"/>
    <w:rsid w:val="15B10BD3"/>
    <w:rsid w:val="15D70C38"/>
    <w:rsid w:val="15DB629E"/>
    <w:rsid w:val="15E7507B"/>
    <w:rsid w:val="15F86BDD"/>
    <w:rsid w:val="168322DC"/>
    <w:rsid w:val="169C02B7"/>
    <w:rsid w:val="16A448E1"/>
    <w:rsid w:val="16B4483A"/>
    <w:rsid w:val="16CB7966"/>
    <w:rsid w:val="16EE0361"/>
    <w:rsid w:val="175B58E8"/>
    <w:rsid w:val="17740758"/>
    <w:rsid w:val="17E4768B"/>
    <w:rsid w:val="183025E3"/>
    <w:rsid w:val="185A17B4"/>
    <w:rsid w:val="186E164B"/>
    <w:rsid w:val="190729CC"/>
    <w:rsid w:val="19241853"/>
    <w:rsid w:val="19241D0A"/>
    <w:rsid w:val="199724DC"/>
    <w:rsid w:val="19D124FD"/>
    <w:rsid w:val="19D21CF6"/>
    <w:rsid w:val="1A976D0B"/>
    <w:rsid w:val="1AE14356"/>
    <w:rsid w:val="1AEC1F24"/>
    <w:rsid w:val="1B2E0268"/>
    <w:rsid w:val="1B440441"/>
    <w:rsid w:val="1B99078D"/>
    <w:rsid w:val="1BAA6760"/>
    <w:rsid w:val="1BB26F1E"/>
    <w:rsid w:val="1BE307F2"/>
    <w:rsid w:val="1BF02B5F"/>
    <w:rsid w:val="1C1C7336"/>
    <w:rsid w:val="1C3C24CD"/>
    <w:rsid w:val="1C411D7F"/>
    <w:rsid w:val="1C4A38D5"/>
    <w:rsid w:val="1C680330"/>
    <w:rsid w:val="1CAE0268"/>
    <w:rsid w:val="1CF2110E"/>
    <w:rsid w:val="1CF50210"/>
    <w:rsid w:val="1D1F713C"/>
    <w:rsid w:val="1D2929B7"/>
    <w:rsid w:val="1D53771D"/>
    <w:rsid w:val="1D886796"/>
    <w:rsid w:val="1D8D4D1B"/>
    <w:rsid w:val="1DC85359"/>
    <w:rsid w:val="1DDC2BB3"/>
    <w:rsid w:val="1E285DF8"/>
    <w:rsid w:val="1E312EFF"/>
    <w:rsid w:val="1E373A3B"/>
    <w:rsid w:val="1E390005"/>
    <w:rsid w:val="1E3A66EB"/>
    <w:rsid w:val="1E7F010E"/>
    <w:rsid w:val="1E8A36D3"/>
    <w:rsid w:val="1E910F49"/>
    <w:rsid w:val="1ECB5101"/>
    <w:rsid w:val="1EEB57A3"/>
    <w:rsid w:val="1F0979D8"/>
    <w:rsid w:val="1F0E06C2"/>
    <w:rsid w:val="1FB8489F"/>
    <w:rsid w:val="2081412A"/>
    <w:rsid w:val="210466A8"/>
    <w:rsid w:val="212154AC"/>
    <w:rsid w:val="212874AF"/>
    <w:rsid w:val="213351E0"/>
    <w:rsid w:val="21401046"/>
    <w:rsid w:val="217D6A92"/>
    <w:rsid w:val="217F2DFF"/>
    <w:rsid w:val="218E68BA"/>
    <w:rsid w:val="21C03813"/>
    <w:rsid w:val="21CB5418"/>
    <w:rsid w:val="21F7445F"/>
    <w:rsid w:val="22280ABD"/>
    <w:rsid w:val="228F6446"/>
    <w:rsid w:val="22AD7127"/>
    <w:rsid w:val="22C500B9"/>
    <w:rsid w:val="22C73E32"/>
    <w:rsid w:val="2305495A"/>
    <w:rsid w:val="233D2260"/>
    <w:rsid w:val="2348059A"/>
    <w:rsid w:val="236553F8"/>
    <w:rsid w:val="23E97DD8"/>
    <w:rsid w:val="244020ED"/>
    <w:rsid w:val="247753E3"/>
    <w:rsid w:val="24D42836"/>
    <w:rsid w:val="25341526"/>
    <w:rsid w:val="255C2529"/>
    <w:rsid w:val="25697AA4"/>
    <w:rsid w:val="258809A1"/>
    <w:rsid w:val="261C313F"/>
    <w:rsid w:val="263A2B6C"/>
    <w:rsid w:val="26445799"/>
    <w:rsid w:val="26606A77"/>
    <w:rsid w:val="26C4730F"/>
    <w:rsid w:val="26F70A5D"/>
    <w:rsid w:val="271359CB"/>
    <w:rsid w:val="271A7E8E"/>
    <w:rsid w:val="272A498F"/>
    <w:rsid w:val="27673E35"/>
    <w:rsid w:val="280D0A1B"/>
    <w:rsid w:val="28115609"/>
    <w:rsid w:val="284E28FF"/>
    <w:rsid w:val="28620159"/>
    <w:rsid w:val="28D67B96"/>
    <w:rsid w:val="28E06911"/>
    <w:rsid w:val="29283150"/>
    <w:rsid w:val="297445E7"/>
    <w:rsid w:val="29787C34"/>
    <w:rsid w:val="29802F8C"/>
    <w:rsid w:val="29E21767"/>
    <w:rsid w:val="29E97BBD"/>
    <w:rsid w:val="2A0C2A72"/>
    <w:rsid w:val="2A1D4C7F"/>
    <w:rsid w:val="2A27165A"/>
    <w:rsid w:val="2A506E02"/>
    <w:rsid w:val="2AD6075B"/>
    <w:rsid w:val="2ADB28CB"/>
    <w:rsid w:val="2AEC6B2B"/>
    <w:rsid w:val="2BAA2542"/>
    <w:rsid w:val="2C31056E"/>
    <w:rsid w:val="2C73429F"/>
    <w:rsid w:val="2CBF5B79"/>
    <w:rsid w:val="2CCB2770"/>
    <w:rsid w:val="2D016192"/>
    <w:rsid w:val="2D652BC5"/>
    <w:rsid w:val="2D757812"/>
    <w:rsid w:val="2D873D1A"/>
    <w:rsid w:val="2D972100"/>
    <w:rsid w:val="2D9C0BCA"/>
    <w:rsid w:val="2DCC2C44"/>
    <w:rsid w:val="2DF87595"/>
    <w:rsid w:val="2E0A25A3"/>
    <w:rsid w:val="2E0D57E0"/>
    <w:rsid w:val="2E4B39D9"/>
    <w:rsid w:val="2E756E38"/>
    <w:rsid w:val="2E867DAE"/>
    <w:rsid w:val="2EA80FBB"/>
    <w:rsid w:val="2EBE1D81"/>
    <w:rsid w:val="2F1C02DB"/>
    <w:rsid w:val="2F8C4439"/>
    <w:rsid w:val="301550DE"/>
    <w:rsid w:val="306E3B3E"/>
    <w:rsid w:val="308219C1"/>
    <w:rsid w:val="30823A8E"/>
    <w:rsid w:val="30B128C2"/>
    <w:rsid w:val="30C27285"/>
    <w:rsid w:val="30C93AF6"/>
    <w:rsid w:val="310B5831"/>
    <w:rsid w:val="318C34D4"/>
    <w:rsid w:val="318F0210"/>
    <w:rsid w:val="31AB491E"/>
    <w:rsid w:val="31F3496C"/>
    <w:rsid w:val="326F0C79"/>
    <w:rsid w:val="330E1609"/>
    <w:rsid w:val="33105381"/>
    <w:rsid w:val="33B26438"/>
    <w:rsid w:val="33C74205"/>
    <w:rsid w:val="342015F4"/>
    <w:rsid w:val="34311065"/>
    <w:rsid w:val="34572B3B"/>
    <w:rsid w:val="34800C2C"/>
    <w:rsid w:val="34BF3DD9"/>
    <w:rsid w:val="35076310"/>
    <w:rsid w:val="350F441B"/>
    <w:rsid w:val="35412969"/>
    <w:rsid w:val="35705CCE"/>
    <w:rsid w:val="35DD5637"/>
    <w:rsid w:val="35EB3E83"/>
    <w:rsid w:val="35F86422"/>
    <w:rsid w:val="36405F7D"/>
    <w:rsid w:val="36A91D74"/>
    <w:rsid w:val="36FA5E5F"/>
    <w:rsid w:val="36FF1994"/>
    <w:rsid w:val="371A57F3"/>
    <w:rsid w:val="372F1B4E"/>
    <w:rsid w:val="37490E61"/>
    <w:rsid w:val="37652712"/>
    <w:rsid w:val="38400346"/>
    <w:rsid w:val="385E26EA"/>
    <w:rsid w:val="38D64977"/>
    <w:rsid w:val="38FB618B"/>
    <w:rsid w:val="390C0398"/>
    <w:rsid w:val="39167469"/>
    <w:rsid w:val="3930052B"/>
    <w:rsid w:val="39561614"/>
    <w:rsid w:val="399C20A6"/>
    <w:rsid w:val="3A94047D"/>
    <w:rsid w:val="3AD83394"/>
    <w:rsid w:val="3AEE41FA"/>
    <w:rsid w:val="3B0F23C2"/>
    <w:rsid w:val="3B141786"/>
    <w:rsid w:val="3B750477"/>
    <w:rsid w:val="3B7566C9"/>
    <w:rsid w:val="3B8701AA"/>
    <w:rsid w:val="3BA24FE4"/>
    <w:rsid w:val="3BA90120"/>
    <w:rsid w:val="3BC27434"/>
    <w:rsid w:val="3C042823"/>
    <w:rsid w:val="3C0D4B53"/>
    <w:rsid w:val="3C432323"/>
    <w:rsid w:val="3C8B7826"/>
    <w:rsid w:val="3CD72A6B"/>
    <w:rsid w:val="3CEA1371"/>
    <w:rsid w:val="3D3B4897"/>
    <w:rsid w:val="3D597924"/>
    <w:rsid w:val="3D6C3AFB"/>
    <w:rsid w:val="3D7A215C"/>
    <w:rsid w:val="3D9D1F07"/>
    <w:rsid w:val="3DA768E2"/>
    <w:rsid w:val="3DB1150E"/>
    <w:rsid w:val="3DC079A3"/>
    <w:rsid w:val="3DE43692"/>
    <w:rsid w:val="3DE62A95"/>
    <w:rsid w:val="3E410AE4"/>
    <w:rsid w:val="3E414FA5"/>
    <w:rsid w:val="3E66054B"/>
    <w:rsid w:val="3EA42E21"/>
    <w:rsid w:val="3EAD6565"/>
    <w:rsid w:val="3EBE3113"/>
    <w:rsid w:val="3EC545E2"/>
    <w:rsid w:val="3ED30D0E"/>
    <w:rsid w:val="3EE84955"/>
    <w:rsid w:val="3F40206E"/>
    <w:rsid w:val="3F402B4A"/>
    <w:rsid w:val="3FA7706D"/>
    <w:rsid w:val="3FD55988"/>
    <w:rsid w:val="3FD90D3D"/>
    <w:rsid w:val="40095632"/>
    <w:rsid w:val="40714F85"/>
    <w:rsid w:val="409D7FE4"/>
    <w:rsid w:val="416B3282"/>
    <w:rsid w:val="418F7DB9"/>
    <w:rsid w:val="41D57EC1"/>
    <w:rsid w:val="42073DF3"/>
    <w:rsid w:val="422C3712"/>
    <w:rsid w:val="42320459"/>
    <w:rsid w:val="4236539C"/>
    <w:rsid w:val="424530F9"/>
    <w:rsid w:val="425A5C6F"/>
    <w:rsid w:val="42CC5BF9"/>
    <w:rsid w:val="43227906"/>
    <w:rsid w:val="433B424F"/>
    <w:rsid w:val="434106B9"/>
    <w:rsid w:val="434622F4"/>
    <w:rsid w:val="43501A08"/>
    <w:rsid w:val="43581FBB"/>
    <w:rsid w:val="439C4CFE"/>
    <w:rsid w:val="43A15B81"/>
    <w:rsid w:val="43CC0E50"/>
    <w:rsid w:val="43FD36FF"/>
    <w:rsid w:val="441219F8"/>
    <w:rsid w:val="44A122DD"/>
    <w:rsid w:val="44CC6DEC"/>
    <w:rsid w:val="44E54EAB"/>
    <w:rsid w:val="450020DB"/>
    <w:rsid w:val="450041C5"/>
    <w:rsid w:val="450617CF"/>
    <w:rsid w:val="455A7D85"/>
    <w:rsid w:val="455B49FC"/>
    <w:rsid w:val="4568104C"/>
    <w:rsid w:val="45915C86"/>
    <w:rsid w:val="45AF27D7"/>
    <w:rsid w:val="464A4DB6"/>
    <w:rsid w:val="465515D1"/>
    <w:rsid w:val="465810C1"/>
    <w:rsid w:val="4698770F"/>
    <w:rsid w:val="46BF2EEE"/>
    <w:rsid w:val="46DC584E"/>
    <w:rsid w:val="46E3681F"/>
    <w:rsid w:val="46E85803"/>
    <w:rsid w:val="46EE4549"/>
    <w:rsid w:val="473416ED"/>
    <w:rsid w:val="477563CB"/>
    <w:rsid w:val="478070E1"/>
    <w:rsid w:val="47B265AF"/>
    <w:rsid w:val="47B84F6B"/>
    <w:rsid w:val="47C25241"/>
    <w:rsid w:val="47DC187E"/>
    <w:rsid w:val="47FB61A8"/>
    <w:rsid w:val="48191763"/>
    <w:rsid w:val="481E5AD8"/>
    <w:rsid w:val="481E6C78"/>
    <w:rsid w:val="48474F49"/>
    <w:rsid w:val="486C0E54"/>
    <w:rsid w:val="48943F06"/>
    <w:rsid w:val="48986740"/>
    <w:rsid w:val="489D2DBB"/>
    <w:rsid w:val="48EB621C"/>
    <w:rsid w:val="494816FA"/>
    <w:rsid w:val="49582D3F"/>
    <w:rsid w:val="49CF324B"/>
    <w:rsid w:val="49D73444"/>
    <w:rsid w:val="49EE33C6"/>
    <w:rsid w:val="49F46049"/>
    <w:rsid w:val="49FE57C1"/>
    <w:rsid w:val="4A1F25B6"/>
    <w:rsid w:val="4A253068"/>
    <w:rsid w:val="4A484FA8"/>
    <w:rsid w:val="4A5D4BAF"/>
    <w:rsid w:val="4A67089F"/>
    <w:rsid w:val="4A9D52F4"/>
    <w:rsid w:val="4AB33D10"/>
    <w:rsid w:val="4AC76815"/>
    <w:rsid w:val="4B337A07"/>
    <w:rsid w:val="4B6C50C7"/>
    <w:rsid w:val="4BA97CC9"/>
    <w:rsid w:val="4BAB353F"/>
    <w:rsid w:val="4BC44B03"/>
    <w:rsid w:val="4BD85581"/>
    <w:rsid w:val="4CAF130F"/>
    <w:rsid w:val="4CE134AD"/>
    <w:rsid w:val="4CEF795D"/>
    <w:rsid w:val="4CFD651E"/>
    <w:rsid w:val="4CFF4D5C"/>
    <w:rsid w:val="4D0C32A7"/>
    <w:rsid w:val="4D41465D"/>
    <w:rsid w:val="4D493511"/>
    <w:rsid w:val="4D5B4B98"/>
    <w:rsid w:val="4D7F6F33"/>
    <w:rsid w:val="4DFF0195"/>
    <w:rsid w:val="4E1F6B1E"/>
    <w:rsid w:val="4E7D33AC"/>
    <w:rsid w:val="4E9662CD"/>
    <w:rsid w:val="4E9B5FEF"/>
    <w:rsid w:val="4EDD44C1"/>
    <w:rsid w:val="4EEF0163"/>
    <w:rsid w:val="4F0A1D41"/>
    <w:rsid w:val="4F0C2208"/>
    <w:rsid w:val="4F0E574A"/>
    <w:rsid w:val="4F4A3571"/>
    <w:rsid w:val="4FAB400F"/>
    <w:rsid w:val="4FFE2F7B"/>
    <w:rsid w:val="500D5900"/>
    <w:rsid w:val="501A1195"/>
    <w:rsid w:val="503A5216"/>
    <w:rsid w:val="505F7D1F"/>
    <w:rsid w:val="50650662"/>
    <w:rsid w:val="50964CC0"/>
    <w:rsid w:val="509A6B85"/>
    <w:rsid w:val="50AB67B0"/>
    <w:rsid w:val="50B65DFB"/>
    <w:rsid w:val="50C555A5"/>
    <w:rsid w:val="50DE21C3"/>
    <w:rsid w:val="51A32CB4"/>
    <w:rsid w:val="528C27BF"/>
    <w:rsid w:val="529F7B67"/>
    <w:rsid w:val="52B633F7"/>
    <w:rsid w:val="52D90ECD"/>
    <w:rsid w:val="52E719A9"/>
    <w:rsid w:val="52F67C97"/>
    <w:rsid w:val="53163E96"/>
    <w:rsid w:val="53620408"/>
    <w:rsid w:val="53746E0E"/>
    <w:rsid w:val="538C51C0"/>
    <w:rsid w:val="53FF492A"/>
    <w:rsid w:val="542B571F"/>
    <w:rsid w:val="543D36A4"/>
    <w:rsid w:val="544258F3"/>
    <w:rsid w:val="54554415"/>
    <w:rsid w:val="546438D5"/>
    <w:rsid w:val="550B72FE"/>
    <w:rsid w:val="556C5FEF"/>
    <w:rsid w:val="55C20305"/>
    <w:rsid w:val="55FB7349"/>
    <w:rsid w:val="5609552D"/>
    <w:rsid w:val="56576C9F"/>
    <w:rsid w:val="56A80E28"/>
    <w:rsid w:val="5721105B"/>
    <w:rsid w:val="57511940"/>
    <w:rsid w:val="57C739B1"/>
    <w:rsid w:val="57E24C8E"/>
    <w:rsid w:val="57E82A4C"/>
    <w:rsid w:val="57F75990"/>
    <w:rsid w:val="585B22AC"/>
    <w:rsid w:val="589809A9"/>
    <w:rsid w:val="589F66DB"/>
    <w:rsid w:val="589F7AF9"/>
    <w:rsid w:val="58E32A6C"/>
    <w:rsid w:val="58E467E4"/>
    <w:rsid w:val="58F46599"/>
    <w:rsid w:val="59011144"/>
    <w:rsid w:val="59C52172"/>
    <w:rsid w:val="59E56370"/>
    <w:rsid w:val="5A0F773F"/>
    <w:rsid w:val="5A350510"/>
    <w:rsid w:val="5A4E1134"/>
    <w:rsid w:val="5AB04BD0"/>
    <w:rsid w:val="5AC07A53"/>
    <w:rsid w:val="5AEE56F8"/>
    <w:rsid w:val="5B1433B1"/>
    <w:rsid w:val="5B353327"/>
    <w:rsid w:val="5B5E63DA"/>
    <w:rsid w:val="5B8338EA"/>
    <w:rsid w:val="5B9738E8"/>
    <w:rsid w:val="5BC456B6"/>
    <w:rsid w:val="5C9A1694"/>
    <w:rsid w:val="5CC76201"/>
    <w:rsid w:val="5D2D075A"/>
    <w:rsid w:val="5D35532A"/>
    <w:rsid w:val="5D3F30AC"/>
    <w:rsid w:val="5D775E79"/>
    <w:rsid w:val="5D7D3014"/>
    <w:rsid w:val="5D92680F"/>
    <w:rsid w:val="5DAD53F7"/>
    <w:rsid w:val="5DCA5FA9"/>
    <w:rsid w:val="5DCB3ACF"/>
    <w:rsid w:val="5E2A2EEB"/>
    <w:rsid w:val="5E6230CD"/>
    <w:rsid w:val="5EAC56AE"/>
    <w:rsid w:val="5EB97DCB"/>
    <w:rsid w:val="5ED964E2"/>
    <w:rsid w:val="5EE70DDC"/>
    <w:rsid w:val="5EEC4E4B"/>
    <w:rsid w:val="5F076D88"/>
    <w:rsid w:val="5F683CCB"/>
    <w:rsid w:val="5FBA3DFB"/>
    <w:rsid w:val="5FE62E42"/>
    <w:rsid w:val="600B28A8"/>
    <w:rsid w:val="603D5158"/>
    <w:rsid w:val="60454363"/>
    <w:rsid w:val="606C3347"/>
    <w:rsid w:val="608D150F"/>
    <w:rsid w:val="60B94DB2"/>
    <w:rsid w:val="60D45DAD"/>
    <w:rsid w:val="610822F1"/>
    <w:rsid w:val="6142054C"/>
    <w:rsid w:val="615838CB"/>
    <w:rsid w:val="6166248C"/>
    <w:rsid w:val="61F950AE"/>
    <w:rsid w:val="620E58D6"/>
    <w:rsid w:val="623460E6"/>
    <w:rsid w:val="62726C0F"/>
    <w:rsid w:val="628D3A49"/>
    <w:rsid w:val="62B35552"/>
    <w:rsid w:val="62C74139"/>
    <w:rsid w:val="62D32191"/>
    <w:rsid w:val="62DD052C"/>
    <w:rsid w:val="62F615EE"/>
    <w:rsid w:val="630006BE"/>
    <w:rsid w:val="633A3BD0"/>
    <w:rsid w:val="63712405"/>
    <w:rsid w:val="63B846E6"/>
    <w:rsid w:val="63CE60C7"/>
    <w:rsid w:val="64281C7B"/>
    <w:rsid w:val="645B4829"/>
    <w:rsid w:val="645F31DE"/>
    <w:rsid w:val="64B82FFF"/>
    <w:rsid w:val="64D92F75"/>
    <w:rsid w:val="650159AC"/>
    <w:rsid w:val="654E4E38"/>
    <w:rsid w:val="65566374"/>
    <w:rsid w:val="65D8322D"/>
    <w:rsid w:val="65DA6FA5"/>
    <w:rsid w:val="65ED324A"/>
    <w:rsid w:val="66043E5D"/>
    <w:rsid w:val="663412E7"/>
    <w:rsid w:val="664F1741"/>
    <w:rsid w:val="6656047B"/>
    <w:rsid w:val="665B6338"/>
    <w:rsid w:val="668F4233"/>
    <w:rsid w:val="66C0263F"/>
    <w:rsid w:val="66C929A3"/>
    <w:rsid w:val="66D76CD9"/>
    <w:rsid w:val="66F916AD"/>
    <w:rsid w:val="6729207F"/>
    <w:rsid w:val="674566A0"/>
    <w:rsid w:val="6751171B"/>
    <w:rsid w:val="67646482"/>
    <w:rsid w:val="676B07FC"/>
    <w:rsid w:val="677F31FA"/>
    <w:rsid w:val="67BD26DA"/>
    <w:rsid w:val="67C40937"/>
    <w:rsid w:val="67CB3049"/>
    <w:rsid w:val="68297D70"/>
    <w:rsid w:val="686147D9"/>
    <w:rsid w:val="688C60B7"/>
    <w:rsid w:val="68BE2BAE"/>
    <w:rsid w:val="68CB20CB"/>
    <w:rsid w:val="68D45D44"/>
    <w:rsid w:val="68F24605"/>
    <w:rsid w:val="691E364C"/>
    <w:rsid w:val="691F1E37"/>
    <w:rsid w:val="692A795F"/>
    <w:rsid w:val="69434E61"/>
    <w:rsid w:val="699522C1"/>
    <w:rsid w:val="69A91168"/>
    <w:rsid w:val="69B95123"/>
    <w:rsid w:val="69E21C4E"/>
    <w:rsid w:val="69F85BB3"/>
    <w:rsid w:val="6A0615DD"/>
    <w:rsid w:val="6A3F3DC2"/>
    <w:rsid w:val="6A6D03E7"/>
    <w:rsid w:val="6A87252E"/>
    <w:rsid w:val="6AC240AB"/>
    <w:rsid w:val="6AD246EE"/>
    <w:rsid w:val="6AE368FC"/>
    <w:rsid w:val="6B2667E8"/>
    <w:rsid w:val="6B394B2A"/>
    <w:rsid w:val="6B3A7F90"/>
    <w:rsid w:val="6BB64010"/>
    <w:rsid w:val="6BF944C2"/>
    <w:rsid w:val="6C51574A"/>
    <w:rsid w:val="6C5D448C"/>
    <w:rsid w:val="6C7D68DC"/>
    <w:rsid w:val="6CC02CE4"/>
    <w:rsid w:val="6CD504C6"/>
    <w:rsid w:val="6D8A7502"/>
    <w:rsid w:val="6DAF0D17"/>
    <w:rsid w:val="6DDB1B0C"/>
    <w:rsid w:val="6E301E58"/>
    <w:rsid w:val="6E3C70BC"/>
    <w:rsid w:val="6E5B16FA"/>
    <w:rsid w:val="6E6F6A8F"/>
    <w:rsid w:val="6F3664FA"/>
    <w:rsid w:val="6F8A1B2C"/>
    <w:rsid w:val="6FAC768B"/>
    <w:rsid w:val="7078201C"/>
    <w:rsid w:val="71145A61"/>
    <w:rsid w:val="711512CA"/>
    <w:rsid w:val="712F1890"/>
    <w:rsid w:val="71456D9E"/>
    <w:rsid w:val="714D1334"/>
    <w:rsid w:val="71583CF1"/>
    <w:rsid w:val="71637FD2"/>
    <w:rsid w:val="71B76F5C"/>
    <w:rsid w:val="71EA4A4E"/>
    <w:rsid w:val="72646574"/>
    <w:rsid w:val="7266529C"/>
    <w:rsid w:val="72B02F4C"/>
    <w:rsid w:val="73553149"/>
    <w:rsid w:val="73814F04"/>
    <w:rsid w:val="73D62F21"/>
    <w:rsid w:val="73E13BF4"/>
    <w:rsid w:val="74065409"/>
    <w:rsid w:val="74D86DA5"/>
    <w:rsid w:val="74DF7E10"/>
    <w:rsid w:val="74F11446"/>
    <w:rsid w:val="752C70F1"/>
    <w:rsid w:val="753D30AC"/>
    <w:rsid w:val="759068E8"/>
    <w:rsid w:val="75F0011F"/>
    <w:rsid w:val="75F53987"/>
    <w:rsid w:val="760A573E"/>
    <w:rsid w:val="76424158"/>
    <w:rsid w:val="76B57238"/>
    <w:rsid w:val="77562DED"/>
    <w:rsid w:val="77881FEC"/>
    <w:rsid w:val="778B2216"/>
    <w:rsid w:val="77C909DB"/>
    <w:rsid w:val="77DB72D8"/>
    <w:rsid w:val="77E74418"/>
    <w:rsid w:val="78252301"/>
    <w:rsid w:val="78395DAD"/>
    <w:rsid w:val="7840713B"/>
    <w:rsid w:val="785D5F3F"/>
    <w:rsid w:val="7890253A"/>
    <w:rsid w:val="78917997"/>
    <w:rsid w:val="78AC2A23"/>
    <w:rsid w:val="78BA03D2"/>
    <w:rsid w:val="78DD498A"/>
    <w:rsid w:val="78E83AA1"/>
    <w:rsid w:val="79003FA4"/>
    <w:rsid w:val="795B7FA5"/>
    <w:rsid w:val="79C7380D"/>
    <w:rsid w:val="79EF706B"/>
    <w:rsid w:val="7A0013BE"/>
    <w:rsid w:val="7A392CE8"/>
    <w:rsid w:val="7A645211"/>
    <w:rsid w:val="7A7F1B72"/>
    <w:rsid w:val="7ACA3634"/>
    <w:rsid w:val="7B072192"/>
    <w:rsid w:val="7B205002"/>
    <w:rsid w:val="7B3B17E8"/>
    <w:rsid w:val="7B3F192C"/>
    <w:rsid w:val="7B7D2454"/>
    <w:rsid w:val="7B8356F0"/>
    <w:rsid w:val="7B8732D3"/>
    <w:rsid w:val="7B9C2950"/>
    <w:rsid w:val="7BE427EC"/>
    <w:rsid w:val="7BF33A0E"/>
    <w:rsid w:val="7C067FC7"/>
    <w:rsid w:val="7C29438A"/>
    <w:rsid w:val="7CC526B9"/>
    <w:rsid w:val="7CDB5A14"/>
    <w:rsid w:val="7CE16A13"/>
    <w:rsid w:val="7D0B55F4"/>
    <w:rsid w:val="7D21078B"/>
    <w:rsid w:val="7D651D11"/>
    <w:rsid w:val="7D8A0E59"/>
    <w:rsid w:val="7E074257"/>
    <w:rsid w:val="7E493CDD"/>
    <w:rsid w:val="7E835FD4"/>
    <w:rsid w:val="7EB048EF"/>
    <w:rsid w:val="7F1E334D"/>
    <w:rsid w:val="7F1E5CFC"/>
    <w:rsid w:val="7FBB3F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paragraph" w:styleId="3">
    <w:name w:val="heading 2"/>
    <w:basedOn w:val="1"/>
    <w:next w:val="1"/>
    <w:link w:val="39"/>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3">
    <w:name w:val="Default Paragraph Font"/>
    <w:semiHidden/>
    <w:unhideWhenUsed/>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4">
    <w:name w:val="annotation text"/>
    <w:basedOn w:val="1"/>
    <w:link w:val="18"/>
    <w:qFormat/>
    <w:uiPriority w:val="0"/>
  </w:style>
  <w:style w:type="paragraph" w:styleId="5">
    <w:name w:val="Body Text"/>
    <w:basedOn w:val="1"/>
    <w:link w:val="32"/>
    <w:qFormat/>
    <w:uiPriority w:val="0"/>
    <w:pPr>
      <w:spacing w:after="160"/>
    </w:pPr>
    <w:rPr>
      <w:lang w:eastAsia="en-US"/>
    </w:rPr>
  </w:style>
  <w:style w:type="paragraph" w:styleId="6">
    <w:name w:val="Plain Text"/>
    <w:basedOn w:val="1"/>
    <w:link w:val="26"/>
    <w:qFormat/>
    <w:uiPriority w:val="99"/>
    <w:pPr>
      <w:widowControl w:val="0"/>
      <w:kinsoku/>
      <w:autoSpaceDE/>
      <w:autoSpaceDN/>
      <w:snapToGrid/>
      <w:spacing w:line="360" w:lineRule="atLeast"/>
      <w:jc w:val="both"/>
    </w:pPr>
    <w:rPr>
      <w:rFonts w:ascii="宋体" w:hAnsi="Courier New" w:eastAsia="宋体" w:cs="Courier New"/>
      <w:snapToGrid/>
      <w:color w:val="auto"/>
      <w:kern w:val="2"/>
    </w:rPr>
  </w:style>
  <w:style w:type="paragraph" w:styleId="7">
    <w:name w:val="Balloon Text"/>
    <w:basedOn w:val="1"/>
    <w:link w:val="38"/>
    <w:qFormat/>
    <w:uiPriority w:val="0"/>
    <w:rPr>
      <w:sz w:val="18"/>
      <w:szCs w:val="18"/>
    </w:rPr>
  </w:style>
  <w:style w:type="paragraph" w:styleId="8">
    <w:name w:val="footer"/>
    <w:basedOn w:val="1"/>
    <w:link w:val="24"/>
    <w:qFormat/>
    <w:uiPriority w:val="99"/>
    <w:pPr>
      <w:tabs>
        <w:tab w:val="center" w:pos="4153"/>
        <w:tab w:val="right" w:pos="8306"/>
      </w:tabs>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0">
    <w:name w:val="annotation subject"/>
    <w:basedOn w:val="4"/>
    <w:next w:val="4"/>
    <w:link w:val="19"/>
    <w:qFormat/>
    <w:uiPriority w:val="0"/>
    <w:rPr>
      <w:b/>
      <w:bCs/>
    </w:rPr>
  </w:style>
  <w:style w:type="table" w:styleId="12">
    <w:name w:val="Table Grid"/>
    <w:basedOn w:val="11"/>
    <w:qFormat/>
    <w:uiPriority w:val="39"/>
    <w:rPr>
      <w:rFonts w:asciiTheme="minorHAnsi" w:hAnsiTheme="minorHAnsi" w:eastAsiaTheme="minorEastAsia" w:cstheme="minorBid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Hyperlink"/>
    <w:basedOn w:val="13"/>
    <w:qFormat/>
    <w:uiPriority w:val="0"/>
    <w:rPr>
      <w:color w:val="0000FF" w:themeColor="hyperlink"/>
      <w:u w:val="single"/>
      <w14:textFill>
        <w14:solidFill>
          <w14:schemeClr w14:val="hlink"/>
        </w14:solidFill>
      </w14:textFill>
    </w:rPr>
  </w:style>
  <w:style w:type="character" w:styleId="16">
    <w:name w:val="annotation reference"/>
    <w:basedOn w:val="13"/>
    <w:qFormat/>
    <w:uiPriority w:val="0"/>
    <w:rPr>
      <w:sz w:val="21"/>
      <w:szCs w:val="21"/>
    </w:rPr>
  </w:style>
  <w:style w:type="table" w:customStyle="1" w:styleId="17">
    <w:name w:val="Table Normal"/>
    <w:semiHidden/>
    <w:unhideWhenUsed/>
    <w:qFormat/>
    <w:uiPriority w:val="0"/>
    <w:tblPr>
      <w:tblCellMar>
        <w:top w:w="0" w:type="dxa"/>
        <w:left w:w="0" w:type="dxa"/>
        <w:bottom w:w="0" w:type="dxa"/>
        <w:right w:w="0" w:type="dxa"/>
      </w:tblCellMar>
    </w:tblPr>
  </w:style>
  <w:style w:type="character" w:customStyle="1" w:styleId="18">
    <w:name w:val="批注文字 Char"/>
    <w:basedOn w:val="13"/>
    <w:link w:val="4"/>
    <w:qFormat/>
    <w:uiPriority w:val="0"/>
    <w:rPr>
      <w:rFonts w:ascii="Arial" w:hAnsi="Arial" w:eastAsia="Arial" w:cs="Arial"/>
      <w:snapToGrid w:val="0"/>
      <w:color w:val="000000"/>
      <w:sz w:val="21"/>
      <w:szCs w:val="21"/>
    </w:rPr>
  </w:style>
  <w:style w:type="character" w:customStyle="1" w:styleId="19">
    <w:name w:val="批注主题 Char"/>
    <w:basedOn w:val="18"/>
    <w:link w:val="10"/>
    <w:qFormat/>
    <w:uiPriority w:val="0"/>
    <w:rPr>
      <w:rFonts w:ascii="Arial" w:hAnsi="Arial" w:eastAsia="Arial" w:cs="Arial"/>
      <w:b/>
      <w:bCs/>
      <w:snapToGrid w:val="0"/>
      <w:color w:val="000000"/>
      <w:sz w:val="21"/>
      <w:szCs w:val="21"/>
    </w:rPr>
  </w:style>
  <w:style w:type="paragraph" w:styleId="20">
    <w:name w:val="List Paragraph"/>
    <w:basedOn w:val="1"/>
    <w:link w:val="21"/>
    <w:qFormat/>
    <w:uiPriority w:val="99"/>
    <w:pPr>
      <w:widowControl w:val="0"/>
      <w:kinsoku/>
      <w:autoSpaceDE/>
      <w:autoSpaceDN/>
      <w:snapToGrid/>
      <w:spacing w:line="360" w:lineRule="atLeast"/>
      <w:ind w:firstLine="420" w:firstLineChars="200"/>
      <w:jc w:val="both"/>
    </w:pPr>
    <w:rPr>
      <w:rFonts w:ascii="Times New Roman" w:hAnsi="Times New Roman" w:eastAsia="宋体" w:cs="Times New Roman"/>
      <w:snapToGrid/>
      <w:color w:val="auto"/>
      <w:sz w:val="20"/>
      <w:szCs w:val="24"/>
    </w:rPr>
  </w:style>
  <w:style w:type="character" w:customStyle="1" w:styleId="21">
    <w:name w:val="列出段落 Char"/>
    <w:link w:val="20"/>
    <w:qFormat/>
    <w:uiPriority w:val="99"/>
    <w:rPr>
      <w:szCs w:val="24"/>
    </w:rPr>
  </w:style>
  <w:style w:type="paragraph" w:customStyle="1" w:styleId="22">
    <w:name w:val="图"/>
    <w:basedOn w:val="1"/>
    <w:qFormat/>
    <w:uiPriority w:val="0"/>
    <w:pPr>
      <w:keepNext/>
      <w:widowControl w:val="0"/>
      <w:kinsoku/>
      <w:autoSpaceDE/>
      <w:autoSpaceDN/>
      <w:snapToGrid/>
      <w:spacing w:before="60" w:after="60" w:line="300" w:lineRule="auto"/>
      <w:jc w:val="center"/>
      <w:textAlignment w:val="center"/>
    </w:pPr>
    <w:rPr>
      <w:rFonts w:ascii="Times New Roman" w:hAnsi="Times New Roman" w:eastAsia="宋体" w:cs="Times New Roman"/>
      <w:color w:val="auto"/>
      <w:spacing w:val="20"/>
      <w:sz w:val="24"/>
      <w:szCs w:val="20"/>
    </w:rPr>
  </w:style>
  <w:style w:type="paragraph" w:customStyle="1" w:styleId="23">
    <w:name w:val="Table Paragraph"/>
    <w:basedOn w:val="1"/>
    <w:qFormat/>
    <w:uiPriority w:val="1"/>
    <w:pPr>
      <w:widowControl w:val="0"/>
      <w:kinsoku/>
      <w:adjustRightInd/>
      <w:snapToGrid/>
      <w:textAlignment w:val="auto"/>
    </w:pPr>
    <w:rPr>
      <w:rFonts w:ascii="宋体" w:hAnsi="宋体" w:eastAsia="宋体" w:cs="宋体"/>
      <w:snapToGrid/>
      <w:color w:val="auto"/>
      <w:sz w:val="22"/>
      <w:szCs w:val="22"/>
      <w:lang w:val="zh-CN" w:bidi="zh-CN"/>
    </w:rPr>
  </w:style>
  <w:style w:type="character" w:customStyle="1" w:styleId="24">
    <w:name w:val="页脚 Char"/>
    <w:basedOn w:val="13"/>
    <w:link w:val="8"/>
    <w:qFormat/>
    <w:uiPriority w:val="99"/>
    <w:rPr>
      <w:rFonts w:ascii="Arial" w:hAnsi="Arial" w:eastAsia="Arial" w:cs="Arial"/>
      <w:snapToGrid w:val="0"/>
      <w:color w:val="000000"/>
      <w:sz w:val="18"/>
      <w:szCs w:val="21"/>
    </w:rPr>
  </w:style>
  <w:style w:type="character" w:customStyle="1" w:styleId="25">
    <w:name w:val="未处理的提及1"/>
    <w:basedOn w:val="13"/>
    <w:semiHidden/>
    <w:unhideWhenUsed/>
    <w:qFormat/>
    <w:uiPriority w:val="99"/>
    <w:rPr>
      <w:color w:val="605E5C"/>
      <w:shd w:val="clear" w:color="auto" w:fill="E1DFDD"/>
    </w:rPr>
  </w:style>
  <w:style w:type="character" w:customStyle="1" w:styleId="26">
    <w:name w:val="纯文本 Char"/>
    <w:basedOn w:val="13"/>
    <w:link w:val="6"/>
    <w:qFormat/>
    <w:uiPriority w:val="99"/>
    <w:rPr>
      <w:rFonts w:ascii="宋体" w:hAnsi="Courier New" w:cs="Courier New"/>
      <w:kern w:val="2"/>
      <w:sz w:val="21"/>
      <w:szCs w:val="21"/>
    </w:rPr>
  </w:style>
  <w:style w:type="paragraph" w:customStyle="1" w:styleId="27">
    <w:name w:val="修订1"/>
    <w:hidden/>
    <w:semiHidden/>
    <w:qFormat/>
    <w:uiPriority w:val="99"/>
    <w:rPr>
      <w:rFonts w:ascii="Arial" w:hAnsi="Arial" w:eastAsia="Arial" w:cs="Arial"/>
      <w:snapToGrid w:val="0"/>
      <w:color w:val="000000"/>
      <w:sz w:val="21"/>
      <w:szCs w:val="21"/>
      <w:lang w:val="en-US" w:eastAsia="zh-CN" w:bidi="ar-SA"/>
    </w:rPr>
  </w:style>
  <w:style w:type="character" w:customStyle="1" w:styleId="28">
    <w:name w:val="重点内容 Char"/>
    <w:link w:val="29"/>
    <w:qFormat/>
    <w:uiPriority w:val="0"/>
    <w:rPr>
      <w:rFonts w:hint="eastAsia" w:ascii="方正仿宋_GB2312" w:hAnsi="方正仿宋_GB2312" w:eastAsia="方正仿宋_GB2312" w:cs="方正仿宋_GB2312"/>
      <w:color w:val="auto"/>
      <w:sz w:val="32"/>
      <w:szCs w:val="32"/>
      <w:u w:val="none" w:color="000000" w:themeColor="text1"/>
    </w:rPr>
  </w:style>
  <w:style w:type="paragraph" w:customStyle="1" w:styleId="29">
    <w:name w:val="重点内容"/>
    <w:basedOn w:val="1"/>
    <w:link w:val="28"/>
    <w:qFormat/>
    <w:uiPriority w:val="0"/>
    <w:pPr>
      <w:ind w:firstLine="643" w:firstLineChars="200"/>
    </w:pPr>
    <w:rPr>
      <w:rFonts w:hint="eastAsia" w:ascii="方正仿宋_GB2312" w:hAnsi="方正仿宋_GB2312" w:eastAsia="方正仿宋_GB2312" w:cs="方正仿宋_GB2312"/>
      <w:color w:val="auto"/>
      <w:sz w:val="32"/>
      <w:szCs w:val="32"/>
      <w:u w:color="000000" w:themeColor="text1"/>
    </w:rPr>
  </w:style>
  <w:style w:type="character" w:customStyle="1" w:styleId="30">
    <w:name w:val="p141_0"/>
    <w:qFormat/>
    <w:uiPriority w:val="0"/>
    <w:rPr>
      <w:rFonts w:ascii="Calibri" w:hAnsi="Calibri"/>
      <w:sz w:val="21"/>
      <w:szCs w:val="21"/>
    </w:rPr>
  </w:style>
  <w:style w:type="paragraph" w:customStyle="1" w:styleId="31">
    <w:name w:val="New File Normal"/>
    <w:qFormat/>
    <w:uiPriority w:val="0"/>
    <w:rPr>
      <w:rFonts w:ascii="Times New Roman" w:hAnsi="Times New Roman" w:eastAsia="宋体" w:cs="Times New Roman"/>
      <w:lang w:val="en-US" w:eastAsia="zh-CN" w:bidi="ar-SA"/>
    </w:rPr>
  </w:style>
  <w:style w:type="character" w:customStyle="1" w:styleId="32">
    <w:name w:val="正文文本 Char"/>
    <w:basedOn w:val="13"/>
    <w:link w:val="5"/>
    <w:qFormat/>
    <w:uiPriority w:val="0"/>
    <w:rPr>
      <w:rFonts w:ascii="Arial" w:hAnsi="Arial" w:eastAsia="Arial" w:cs="Arial"/>
      <w:snapToGrid w:val="0"/>
      <w:color w:val="000000"/>
      <w:sz w:val="21"/>
      <w:szCs w:val="21"/>
      <w:lang w:eastAsia="en-US"/>
    </w:rPr>
  </w:style>
  <w:style w:type="paragraph" w:customStyle="1" w:styleId="33">
    <w:name w:val="Table Text"/>
    <w:basedOn w:val="1"/>
    <w:semiHidden/>
    <w:qFormat/>
    <w:uiPriority w:val="0"/>
    <w:pPr>
      <w:spacing w:after="160"/>
    </w:pPr>
    <w:rPr>
      <w:rFonts w:ascii="宋体" w:hAnsi="宋体" w:eastAsia="宋体" w:cs="宋体"/>
      <w:sz w:val="16"/>
      <w:szCs w:val="16"/>
      <w:lang w:eastAsia="en-US"/>
    </w:rPr>
  </w:style>
  <w:style w:type="paragraph" w:customStyle="1" w:styleId="34">
    <w:name w:val="修订2"/>
    <w:hidden/>
    <w:unhideWhenUsed/>
    <w:qFormat/>
    <w:uiPriority w:val="99"/>
    <w:rPr>
      <w:rFonts w:ascii="Arial" w:hAnsi="Arial" w:eastAsia="Arial" w:cs="Arial"/>
      <w:snapToGrid w:val="0"/>
      <w:color w:val="000000"/>
      <w:sz w:val="21"/>
      <w:szCs w:val="21"/>
      <w:lang w:val="en-US" w:eastAsia="zh-CN" w:bidi="ar-SA"/>
    </w:rPr>
  </w:style>
  <w:style w:type="character" w:customStyle="1" w:styleId="35">
    <w:name w:val="未处理的提及2"/>
    <w:basedOn w:val="13"/>
    <w:semiHidden/>
    <w:unhideWhenUsed/>
    <w:qFormat/>
    <w:uiPriority w:val="99"/>
    <w:rPr>
      <w:color w:val="605E5C"/>
      <w:shd w:val="clear" w:color="auto" w:fill="E1DFDD"/>
    </w:rPr>
  </w:style>
  <w:style w:type="paragraph" w:customStyle="1" w:styleId="36">
    <w:name w:val="Default"/>
    <w:autoRedefine/>
    <w:qFormat/>
    <w:uiPriority w:val="0"/>
    <w:pPr>
      <w:widowControl w:val="0"/>
      <w:autoSpaceDE w:val="0"/>
      <w:autoSpaceDN w:val="0"/>
      <w:adjustRightInd w:val="0"/>
      <w:spacing w:line="360" w:lineRule="atLeast"/>
      <w:jc w:val="both"/>
      <w:textAlignment w:val="baseline"/>
    </w:pPr>
    <w:rPr>
      <w:rFonts w:ascii="宋体" w:hAnsi="Calibri" w:eastAsia="宋体" w:cs="Times New Roman"/>
      <w:color w:val="000000"/>
      <w:sz w:val="24"/>
      <w:szCs w:val="24"/>
      <w:lang w:val="en-US" w:eastAsia="zh-CN" w:bidi="ar-SA"/>
    </w:rPr>
  </w:style>
  <w:style w:type="paragraph" w:customStyle="1" w:styleId="37">
    <w:name w:val="_Style 3"/>
    <w:basedOn w:val="1"/>
    <w:autoRedefine/>
    <w:qFormat/>
    <w:uiPriority w:val="0"/>
    <w:pPr>
      <w:widowControl w:val="0"/>
      <w:kinsoku/>
      <w:autoSpaceDE/>
      <w:autoSpaceDN/>
      <w:snapToGrid/>
      <w:spacing w:line="360" w:lineRule="atLeast"/>
      <w:ind w:firstLine="420" w:firstLineChars="200"/>
      <w:jc w:val="both"/>
    </w:pPr>
    <w:rPr>
      <w:rFonts w:ascii="Times New Roman" w:hAnsi="Times New Roman" w:eastAsia="宋体" w:cs="Times New Roman"/>
      <w:snapToGrid/>
      <w:color w:val="auto"/>
      <w:sz w:val="20"/>
      <w:szCs w:val="24"/>
    </w:rPr>
  </w:style>
  <w:style w:type="character" w:customStyle="1" w:styleId="38">
    <w:name w:val="批注框文本 Char"/>
    <w:basedOn w:val="13"/>
    <w:link w:val="7"/>
    <w:qFormat/>
    <w:uiPriority w:val="0"/>
    <w:rPr>
      <w:rFonts w:ascii="Arial" w:hAnsi="Arial" w:eastAsia="Arial" w:cs="Arial"/>
      <w:snapToGrid w:val="0"/>
      <w:color w:val="000000"/>
      <w:sz w:val="18"/>
      <w:szCs w:val="18"/>
    </w:rPr>
  </w:style>
  <w:style w:type="character" w:customStyle="1" w:styleId="39">
    <w:name w:val="标题 2 Char"/>
    <w:basedOn w:val="13"/>
    <w:link w:val="3"/>
    <w:semiHidden/>
    <w:qFormat/>
    <w:uiPriority w:val="0"/>
    <w:rPr>
      <w:rFonts w:asciiTheme="majorHAnsi" w:hAnsiTheme="majorHAnsi" w:eastAsiaTheme="majorEastAsia" w:cstheme="majorBidi"/>
      <w:b/>
      <w:bCs/>
      <w:snapToGrid w:val="0"/>
      <w:color w:val="000000"/>
      <w:sz w:val="32"/>
      <w:szCs w:val="32"/>
    </w:rPr>
  </w:style>
  <w:style w:type="paragraph" w:customStyle="1" w:styleId="40">
    <w:name w:val="null3"/>
    <w:qFormat/>
    <w:uiPriority w:val="0"/>
    <w:rPr>
      <w:rFonts w:hint="eastAsia" w:ascii="Calibri" w:hAnsi="Calibri" w:eastAsia="宋体" w:cs="Times New Roman"/>
      <w:lang w:val="en-US" w:eastAsia="zh-Han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9DCABE-ED15-417C-AD73-CE64E1F88C64}">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13783</Words>
  <Characters>14188</Characters>
  <Lines>193</Lines>
  <Paragraphs>54</Paragraphs>
  <TotalTime>1</TotalTime>
  <ScaleCrop>false</ScaleCrop>
  <LinksUpToDate>false</LinksUpToDate>
  <CharactersWithSpaces>14319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2024-07-30T08:38:00Z</dcterms:created>
  <dc:creator>Administrator</dc:creator>
  <cp:lastModifiedBy>廖</cp:lastModifiedBy>
  <dcterms:modified xsi:type="dcterms:W3CDTF">2025-10-16T01:34:05Z</dcterms:modified>
  <cp:revision>201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wqlLaW5nc29mdCBQREYgdG8gV1BTIDY1</vt:lpwstr>
  </property>
  <property fmtid="{D5CDD505-2E9C-101B-9397-08002B2CF9AE}" pid="3" name="Created">
    <vt:filetime>2022-01-10T10:00:04Z</vt:filetime>
  </property>
  <property fmtid="{D5CDD505-2E9C-101B-9397-08002B2CF9AE}" pid="4" name="KSOProductBuildVer">
    <vt:lpwstr>2052-12.1.0.21541</vt:lpwstr>
  </property>
  <property fmtid="{D5CDD505-2E9C-101B-9397-08002B2CF9AE}" pid="5" name="ICV">
    <vt:lpwstr>95052F24F8464DD5812198F2DBD2431A_13</vt:lpwstr>
  </property>
  <property fmtid="{D5CDD505-2E9C-101B-9397-08002B2CF9AE}" pid="6" name="KSOTemplateDocerSaveRecord">
    <vt:lpwstr>eyJoZGlkIjoiNjA5ZWQ2ZjU0MWVmZjNjYTE3NzZkZjljMGJmYmI3ZTgiLCJ1c2VySWQiOiIyMjM5MTU3ODIifQ==</vt:lpwstr>
  </property>
</Properties>
</file>