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1AE582">
      <w:pPr>
        <w:widowControl/>
        <w:snapToGrid w:val="0"/>
        <w:spacing w:line="360" w:lineRule="auto"/>
        <w:jc w:val="center"/>
        <w:rPr>
          <w:rFonts w:hAnsi="宋体" w:cs="宋体"/>
          <w:b/>
          <w:bCs/>
          <w:color w:val="000000"/>
          <w:sz w:val="28"/>
          <w:szCs w:val="28"/>
          <w:shd w:val="clear" w:color="auto" w:fill="FFFFFF"/>
        </w:rPr>
      </w:pPr>
      <w:r>
        <w:rPr>
          <w:rFonts w:hint="eastAsia" w:hAnsi="宋体" w:cs="宋体"/>
          <w:b/>
          <w:bCs/>
          <w:color w:val="000000"/>
          <w:sz w:val="28"/>
          <w:szCs w:val="28"/>
          <w:shd w:val="clear" w:color="auto" w:fill="FFFFFF"/>
        </w:rPr>
        <w:t>广东省第二人民医院“药（毒）物检测外送项目”</w:t>
      </w:r>
    </w:p>
    <w:p w14:paraId="12E3688C">
      <w:pPr>
        <w:widowControl/>
        <w:snapToGrid w:val="0"/>
        <w:spacing w:line="360" w:lineRule="auto"/>
        <w:jc w:val="center"/>
        <w:rPr>
          <w:rFonts w:hAnsi="宋体" w:cs="宋体"/>
          <w:b/>
          <w:bCs/>
          <w:sz w:val="28"/>
          <w:szCs w:val="28"/>
        </w:rPr>
      </w:pPr>
      <w:r>
        <w:rPr>
          <w:rFonts w:hint="eastAsia" w:hAnsi="宋体" w:cs="宋体"/>
          <w:b/>
          <w:bCs/>
          <w:color w:val="000000"/>
          <w:sz w:val="28"/>
          <w:szCs w:val="28"/>
          <w:shd w:val="clear" w:color="auto" w:fill="FFFFFF"/>
        </w:rPr>
        <w:t>用户需求</w:t>
      </w:r>
    </w:p>
    <w:p w14:paraId="392E7ECE">
      <w:pPr>
        <w:numPr>
          <w:ilvl w:val="0"/>
          <w:numId w:val="1"/>
        </w:numPr>
        <w:spacing w:line="360" w:lineRule="auto"/>
        <w:rPr>
          <w:rFonts w:hAnsi="宋体" w:cs="宋体"/>
          <w:b/>
          <w:bCs/>
        </w:rPr>
      </w:pPr>
      <w:r>
        <w:rPr>
          <w:rFonts w:hint="eastAsia" w:hAnsi="宋体" w:cs="宋体"/>
          <w:b/>
          <w:bCs/>
        </w:rPr>
        <w:t>项目概况</w:t>
      </w:r>
    </w:p>
    <w:p w14:paraId="47C3644D">
      <w:pPr>
        <w:spacing w:line="360" w:lineRule="auto"/>
        <w:ind w:firstLine="480" w:firstLineChars="200"/>
        <w:rPr>
          <w:rFonts w:hAnsi="宋体" w:cs="宋体"/>
        </w:rPr>
      </w:pPr>
      <w:r>
        <w:rPr>
          <w:rFonts w:hint="eastAsia" w:hAnsi="宋体" w:cs="宋体"/>
        </w:rPr>
        <w:t>我院急诊科、ICU、神经内科、精神心理科等科室，药毒物检测年需求量约180人次，包含合成药毒物检测、农鼠药检测、有毒动植物检测、挥发性毒物检测、毒品检测、重金属检测、不明原因中毒筛查等。准确、快速的药毒物检测，对临床后续治疗方案的制定、治疗效果的评估，有较为重大的意义。</w:t>
      </w:r>
    </w:p>
    <w:p w14:paraId="2DEBB20B">
      <w:pPr>
        <w:numPr>
          <w:ilvl w:val="0"/>
          <w:numId w:val="1"/>
        </w:numPr>
        <w:spacing w:line="360" w:lineRule="auto"/>
        <w:rPr>
          <w:rFonts w:hAnsi="宋体" w:cs="宋体"/>
          <w:b/>
          <w:bCs/>
        </w:rPr>
      </w:pPr>
      <w:r>
        <w:rPr>
          <w:rFonts w:hint="eastAsia" w:hAnsi="宋体" w:cs="宋体"/>
          <w:b/>
          <w:bCs/>
        </w:rPr>
        <w:t>供应商资格要求</w:t>
      </w:r>
    </w:p>
    <w:p w14:paraId="461A2231">
      <w:pPr>
        <w:spacing w:line="360" w:lineRule="auto"/>
        <w:rPr>
          <w:rFonts w:hAnsi="宋体" w:cs="宋体"/>
        </w:rPr>
      </w:pPr>
      <w:r>
        <w:rPr>
          <w:rFonts w:hint="eastAsia" w:hAnsi="宋体" w:cs="宋体"/>
        </w:rPr>
        <w:t>1.供应商应具备《政府采购法》第二十二条规定的条件，需提供《资格声明函》：</w:t>
      </w:r>
    </w:p>
    <w:p w14:paraId="739E959A">
      <w:pPr>
        <w:spacing w:line="360" w:lineRule="auto"/>
        <w:rPr>
          <w:rFonts w:hAnsi="宋体" w:cs="宋体"/>
        </w:rPr>
      </w:pPr>
      <w:r>
        <w:rPr>
          <w:rFonts w:hint="eastAsia" w:hAnsi="宋体" w:cs="宋体"/>
        </w:rPr>
        <w:t>（1）具有独立承担民事责任的能力：在中华人民共和国境内注册的法人或其他组织或自然人(报名时提交有效的营业执照或事业法人登记证或身份证明)副本复印件)。</w:t>
      </w:r>
    </w:p>
    <w:p w14:paraId="25DE330D">
      <w:pPr>
        <w:spacing w:line="360" w:lineRule="auto"/>
        <w:rPr>
          <w:rFonts w:hAnsi="宋体" w:cs="宋体"/>
        </w:rPr>
      </w:pPr>
      <w:r>
        <w:rPr>
          <w:rFonts w:hint="eastAsia" w:hAnsi="宋体" w:cs="宋体"/>
        </w:rPr>
        <w:t>（2）具有良好的商业信誉和健全的财务会计制度；</w:t>
      </w:r>
    </w:p>
    <w:p w14:paraId="5859482C">
      <w:pPr>
        <w:spacing w:line="360" w:lineRule="auto"/>
        <w:rPr>
          <w:rFonts w:hAnsi="宋体" w:cs="宋体"/>
        </w:rPr>
      </w:pPr>
      <w:r>
        <w:rPr>
          <w:rFonts w:hint="eastAsia" w:hAnsi="宋体" w:cs="宋体"/>
        </w:rPr>
        <w:t>（3）具有履行合同所必需的设备和专业技术能力；</w:t>
      </w:r>
    </w:p>
    <w:p w14:paraId="7432A0A4">
      <w:pPr>
        <w:spacing w:line="360" w:lineRule="auto"/>
        <w:rPr>
          <w:rFonts w:hAnsi="宋体" w:cs="宋体"/>
        </w:rPr>
      </w:pPr>
      <w:r>
        <w:rPr>
          <w:rFonts w:hint="eastAsia" w:hAnsi="宋体" w:cs="宋体"/>
        </w:rPr>
        <w:t xml:space="preserve">（4）有依法缴纳税收和社会保障资金的良好记录； </w:t>
      </w:r>
    </w:p>
    <w:p w14:paraId="5549998E">
      <w:pPr>
        <w:spacing w:line="360" w:lineRule="auto"/>
        <w:rPr>
          <w:rFonts w:hAnsi="宋体" w:cs="宋体"/>
        </w:rPr>
      </w:pPr>
      <w:r>
        <w:rPr>
          <w:rFonts w:hint="eastAsia" w:hAnsi="宋体" w:cs="宋体"/>
        </w:rPr>
        <w:t>（5）参加政府采购活动前三年内，在经营活动中无重大违法记录；</w:t>
      </w:r>
    </w:p>
    <w:p w14:paraId="7C63770A">
      <w:pPr>
        <w:spacing w:line="360" w:lineRule="auto"/>
        <w:rPr>
          <w:rFonts w:hAnsi="宋体" w:cs="宋体"/>
        </w:rPr>
      </w:pPr>
      <w:r>
        <w:rPr>
          <w:rFonts w:hint="eastAsia" w:hAnsi="宋体" w:cs="宋体"/>
        </w:rPr>
        <w:t>（6）法律、行政法规规定的其他条件。</w:t>
      </w:r>
    </w:p>
    <w:p w14:paraId="03071BD0">
      <w:pPr>
        <w:spacing w:line="360" w:lineRule="auto"/>
        <w:rPr>
          <w:rFonts w:hAnsi="宋体" w:cs="宋体"/>
        </w:rPr>
      </w:pPr>
      <w:r>
        <w:rPr>
          <w:rFonts w:hAnsi="宋体" w:cs="宋体"/>
        </w:rPr>
        <w:t>2.</w:t>
      </w:r>
      <w:r>
        <w:rPr>
          <w:rFonts w:hint="eastAsia" w:hAnsi="宋体" w:cs="宋体"/>
        </w:rPr>
        <w:t>供应商未被列入“信用中国”网站(www.creditchina.gov.cn)“记录失信被执行人或重大税收违法失信主体或政府采购严重违法失信行为”记录名单；不处于中国政府采购网(www.ccgp.gov.cn)“政府采购严重违法失信行为信息记录”中的禁止参加政府采购活动期间。（以资格审查人员于投标（响应）截止时间当天在“信用中国”网站（www.creditchina.gov.cn）及中国政府采购网（http://www.ccgp.gov.cn/）查询结果为准，如相关失信记录已失效，供应商需提供相关证明资料）。</w:t>
      </w:r>
    </w:p>
    <w:p w14:paraId="42C2B47B">
      <w:pPr>
        <w:spacing w:line="360" w:lineRule="auto"/>
        <w:rPr>
          <w:rFonts w:hAnsi="宋体" w:cs="宋体"/>
        </w:rPr>
      </w:pPr>
      <w:r>
        <w:rPr>
          <w:rFonts w:hAnsi="宋体" w:cs="宋体"/>
        </w:rPr>
        <w:t>3.</w:t>
      </w:r>
      <w:r>
        <w:rPr>
          <w:rFonts w:hint="eastAsia" w:hAnsi="宋体" w:cs="宋体"/>
        </w:rPr>
        <w:t>为采购项目提供整体设计、规范编制或者项目管理、监理、检测等服务的供应商，不得再参加该采购项目同一合同项下的其他采购活动；（提供承诺函）</w:t>
      </w:r>
    </w:p>
    <w:p w14:paraId="0EDAC16F">
      <w:pPr>
        <w:spacing w:line="360" w:lineRule="auto"/>
        <w:rPr>
          <w:rFonts w:hAnsi="宋体" w:cs="宋体"/>
        </w:rPr>
      </w:pPr>
      <w:r>
        <w:rPr>
          <w:rFonts w:hAnsi="宋体" w:cs="宋体"/>
        </w:rPr>
        <w:t>4.</w:t>
      </w:r>
      <w:r>
        <w:rPr>
          <w:rFonts w:hint="eastAsia" w:hAnsi="宋体" w:cs="宋体"/>
        </w:rPr>
        <w:t>单位负责人为同一人或者存在直接控股、管理关系的不同</w:t>
      </w:r>
      <w:r>
        <w:rPr>
          <w:rFonts w:hint="eastAsia"/>
        </w:rPr>
        <w:t>供应商</w:t>
      </w:r>
      <w:r>
        <w:rPr>
          <w:rFonts w:hint="eastAsia" w:hAnsi="宋体" w:cs="宋体"/>
        </w:rPr>
        <w:t>，不得参加同一合同项下的政府采购活动。（提供承诺函）</w:t>
      </w:r>
    </w:p>
    <w:p w14:paraId="01DC1800">
      <w:pPr>
        <w:spacing w:line="360" w:lineRule="auto"/>
        <w:rPr>
          <w:rFonts w:hAnsi="宋体" w:cs="宋体"/>
          <w:b/>
          <w:bCs/>
        </w:rPr>
      </w:pPr>
      <w:r>
        <w:rPr>
          <w:rFonts w:hint="eastAsia" w:hAnsi="宋体" w:cs="宋体"/>
          <w:b/>
          <w:bCs/>
        </w:rPr>
        <w:t>本项目特定的资格要求：</w:t>
      </w:r>
    </w:p>
    <w:p w14:paraId="24689BD3">
      <w:pPr>
        <w:spacing w:line="360" w:lineRule="auto"/>
        <w:rPr>
          <w:rFonts w:hAnsi="宋体" w:cs="宋体"/>
        </w:rPr>
      </w:pPr>
      <w:r>
        <w:rPr>
          <w:rFonts w:hint="eastAsia" w:hAnsi="宋体" w:cs="宋体"/>
        </w:rPr>
        <w:t>供应商必须具备有效《医疗机构执业许可证》的医学检验实验室（如：医学检验所、医学检验中心等）。</w:t>
      </w:r>
    </w:p>
    <w:p w14:paraId="793B6A1B">
      <w:pPr>
        <w:numPr>
          <w:ilvl w:val="0"/>
          <w:numId w:val="1"/>
        </w:numPr>
        <w:spacing w:line="360" w:lineRule="auto"/>
        <w:rPr>
          <w:rFonts w:hAnsi="宋体" w:cs="宋体"/>
          <w:b/>
          <w:bCs/>
        </w:rPr>
      </w:pPr>
      <w:r>
        <w:rPr>
          <w:rFonts w:hint="eastAsia" w:hAnsi="宋体" w:cs="宋体"/>
          <w:b/>
          <w:bCs/>
        </w:rPr>
        <w:t>项目服务需求</w:t>
      </w:r>
    </w:p>
    <w:p w14:paraId="07C7B51B">
      <w:pPr>
        <w:spacing w:line="360" w:lineRule="auto"/>
        <w:rPr>
          <w:rFonts w:hAnsi="宋体" w:cs="宋体"/>
        </w:rPr>
      </w:pPr>
      <w:r>
        <w:rPr>
          <w:rFonts w:hint="eastAsia" w:hAnsi="宋体" w:cs="宋体"/>
        </w:rPr>
        <w:t>1、采购需求</w:t>
      </w:r>
    </w:p>
    <w:p w14:paraId="77628325">
      <w:pPr>
        <w:spacing w:line="360" w:lineRule="auto"/>
        <w:ind w:firstLine="480" w:firstLineChars="200"/>
        <w:rPr>
          <w:rFonts w:hAnsi="宋体" w:cs="宋体"/>
        </w:rPr>
      </w:pPr>
      <w:r>
        <w:rPr>
          <w:rFonts w:hint="eastAsia" w:hAnsi="宋体" w:cs="宋体"/>
        </w:rPr>
        <w:t>检测项目包含但不限于合成药毒物检测、农鼠药检测、有毒动植物检测、挥发性毒物检测、毒品检测、重金属检测、不明原因中毒筛查等。</w:t>
      </w:r>
    </w:p>
    <w:p w14:paraId="2BCFB620">
      <w:pPr>
        <w:spacing w:line="360" w:lineRule="auto"/>
        <w:rPr>
          <w:rFonts w:hAnsi="宋体" w:cs="宋体"/>
        </w:rPr>
      </w:pPr>
      <w:r>
        <w:rPr>
          <w:rFonts w:hint="eastAsia" w:hAnsi="宋体" w:cs="宋体"/>
        </w:rPr>
        <w:t>2、人员配置要求</w:t>
      </w:r>
    </w:p>
    <w:p w14:paraId="5A8AB155">
      <w:pPr>
        <w:spacing w:line="360" w:lineRule="auto"/>
        <w:ind w:firstLine="480" w:firstLineChars="200"/>
        <w:rPr>
          <w:rFonts w:hAnsi="宋体" w:cs="宋体"/>
        </w:rPr>
      </w:pPr>
      <w:r>
        <w:rPr>
          <w:rFonts w:hint="eastAsia" w:hAnsi="宋体" w:cs="宋体"/>
        </w:rPr>
        <w:t>(一)数量要求：</w:t>
      </w:r>
      <w:r>
        <w:rPr>
          <w:rFonts w:hint="eastAsia"/>
        </w:rPr>
        <w:t>供应商</w:t>
      </w:r>
      <w:r>
        <w:rPr>
          <w:rFonts w:hint="eastAsia" w:hAnsi="宋体" w:cs="宋体"/>
        </w:rPr>
        <w:t>应合理设置相关岗位人员，拟投入本项目的人员应不少于20人，其中应包括项目负责人、专业技术人员。</w:t>
      </w:r>
    </w:p>
    <w:p w14:paraId="15C1DD34">
      <w:pPr>
        <w:spacing w:line="360" w:lineRule="auto"/>
        <w:ind w:firstLine="480" w:firstLineChars="200"/>
        <w:rPr>
          <w:rFonts w:hAnsi="宋体" w:cs="宋体"/>
        </w:rPr>
      </w:pPr>
      <w:r>
        <w:rPr>
          <w:rFonts w:hint="eastAsia" w:hAnsi="宋体" w:cs="宋体"/>
        </w:rPr>
        <w:t>(二)人员要求：项目负责人和专业技术人员应具有相关检测工作经验，且必须持证上岗。</w:t>
      </w:r>
    </w:p>
    <w:p w14:paraId="494FC6C4">
      <w:pPr>
        <w:spacing w:line="360" w:lineRule="auto"/>
        <w:ind w:firstLine="480" w:firstLineChars="200"/>
        <w:rPr>
          <w:rFonts w:hAnsi="宋体" w:cs="宋体"/>
        </w:rPr>
      </w:pPr>
      <w:r>
        <w:rPr>
          <w:rFonts w:hint="eastAsia" w:hAnsi="宋体" w:cs="宋体"/>
        </w:rPr>
        <w:t>(三)工作要求：业务技能熟悉，技术稳定，综合能力强。</w:t>
      </w:r>
    </w:p>
    <w:p w14:paraId="148933DC">
      <w:pPr>
        <w:spacing w:line="360" w:lineRule="auto"/>
        <w:rPr>
          <w:rFonts w:hAnsi="宋体" w:cs="宋体"/>
        </w:rPr>
      </w:pPr>
      <w:r>
        <w:rPr>
          <w:rFonts w:hint="eastAsia" w:hAnsi="宋体" w:cs="宋体"/>
        </w:rPr>
        <w:t>3、场地设备要求</w:t>
      </w:r>
    </w:p>
    <w:p w14:paraId="6E972C8D">
      <w:pPr>
        <w:spacing w:line="360" w:lineRule="auto"/>
        <w:ind w:firstLine="480" w:firstLineChars="200"/>
        <w:rPr>
          <w:rFonts w:hAnsi="宋体" w:cs="宋体"/>
        </w:rPr>
      </w:pPr>
      <w:r>
        <w:rPr>
          <w:rFonts w:hint="eastAsia"/>
        </w:rPr>
        <w:t>供应商必须具有固定、合法、专业的实验室场地，且至少配备</w:t>
      </w:r>
      <w:bookmarkStart w:id="0" w:name="OLE_LINK3"/>
      <w:r>
        <w:rPr>
          <w:rFonts w:hint="eastAsia"/>
        </w:rPr>
        <w:t>三重四级杆质谱仪</w:t>
      </w:r>
      <w:bookmarkEnd w:id="0"/>
      <w:r>
        <w:rPr>
          <w:rFonts w:hint="eastAsia"/>
        </w:rPr>
        <w:t>、四元梯度高效液相色谱仪、电感耦合等离子体质谱仪、气质联用仪、气相色谱仪、液相色谱三重四极杆质谱联用仪、离子色谱仪、紫外可见分光光度计等设备各一台。</w:t>
      </w:r>
    </w:p>
    <w:p w14:paraId="1237B594">
      <w:pPr>
        <w:spacing w:line="360" w:lineRule="auto"/>
        <w:rPr>
          <w:rFonts w:hAnsi="宋体" w:cs="宋体"/>
        </w:rPr>
      </w:pPr>
      <w:r>
        <w:rPr>
          <w:rFonts w:hint="eastAsia" w:hAnsi="宋体" w:cs="宋体"/>
        </w:rPr>
        <w:t>4、服务具体要求</w:t>
      </w:r>
    </w:p>
    <w:p w14:paraId="78632C33">
      <w:pPr>
        <w:spacing w:line="360" w:lineRule="auto"/>
        <w:ind w:firstLine="480" w:firstLineChars="200"/>
        <w:rPr>
          <w:rFonts w:hAnsi="宋体" w:cs="宋体"/>
        </w:rPr>
      </w:pPr>
      <w:r>
        <w:rPr>
          <w:rFonts w:hint="eastAsia" w:hAnsi="宋体" w:cs="宋体"/>
        </w:rPr>
        <w:t>(一)合成药毒物检测（54种标志物）</w:t>
      </w:r>
    </w:p>
    <w:p w14:paraId="0FA387A2">
      <w:pPr>
        <w:spacing w:line="360" w:lineRule="auto"/>
        <w:ind w:firstLine="480" w:firstLineChars="200"/>
        <w:rPr>
          <w:rFonts w:hAnsi="宋体" w:cs="宋体"/>
        </w:rPr>
      </w:pPr>
      <w:r>
        <w:rPr>
          <w:rFonts w:hint="eastAsia" w:hAnsi="宋体" w:cs="宋体"/>
        </w:rPr>
        <w:t>(二)农鼠药检测（34种标志物）</w:t>
      </w:r>
    </w:p>
    <w:p w14:paraId="0F9702EF">
      <w:pPr>
        <w:spacing w:line="360" w:lineRule="auto"/>
        <w:ind w:firstLine="480" w:firstLineChars="200"/>
        <w:rPr>
          <w:rFonts w:hAnsi="宋体" w:cs="宋体"/>
        </w:rPr>
      </w:pPr>
      <w:r>
        <w:rPr>
          <w:rFonts w:hint="eastAsia" w:hAnsi="宋体" w:cs="宋体"/>
        </w:rPr>
        <w:t>(三)有毒动植物检测（14种标志物）</w:t>
      </w:r>
    </w:p>
    <w:p w14:paraId="2F583D54">
      <w:pPr>
        <w:spacing w:line="360" w:lineRule="auto"/>
        <w:ind w:firstLine="480" w:firstLineChars="200"/>
        <w:rPr>
          <w:rFonts w:hAnsi="宋体" w:cs="宋体"/>
        </w:rPr>
      </w:pPr>
      <w:r>
        <w:rPr>
          <w:rFonts w:hint="eastAsia" w:hAnsi="宋体" w:cs="宋体"/>
        </w:rPr>
        <w:t>(四)挥发性毒物检测（10种标志物）</w:t>
      </w:r>
    </w:p>
    <w:p w14:paraId="67358353">
      <w:pPr>
        <w:spacing w:line="360" w:lineRule="auto"/>
        <w:ind w:firstLine="480" w:firstLineChars="200"/>
        <w:rPr>
          <w:rFonts w:hAnsi="宋体" w:cs="宋体"/>
        </w:rPr>
      </w:pPr>
      <w:r>
        <w:rPr>
          <w:rFonts w:hint="eastAsia" w:hAnsi="宋体" w:cs="宋体"/>
        </w:rPr>
        <w:t>(五)毒品检测（8种标志物）</w:t>
      </w:r>
    </w:p>
    <w:p w14:paraId="0AFBEFC1">
      <w:pPr>
        <w:spacing w:line="360" w:lineRule="auto"/>
        <w:ind w:firstLine="480" w:firstLineChars="200"/>
        <w:rPr>
          <w:rFonts w:hAnsi="宋体" w:cs="宋体"/>
        </w:rPr>
      </w:pPr>
      <w:r>
        <w:rPr>
          <w:rFonts w:hint="eastAsia" w:hAnsi="宋体" w:cs="宋体"/>
        </w:rPr>
        <w:t>(六)重金属检测（7种标志物）</w:t>
      </w:r>
    </w:p>
    <w:p w14:paraId="638A2F42">
      <w:pPr>
        <w:spacing w:line="360" w:lineRule="auto"/>
        <w:ind w:firstLine="480" w:firstLineChars="200"/>
        <w:rPr>
          <w:rFonts w:hAnsi="宋体" w:cs="宋体"/>
        </w:rPr>
      </w:pPr>
      <w:r>
        <w:rPr>
          <w:rFonts w:hint="eastAsia" w:hAnsi="宋体" w:cs="宋体"/>
        </w:rPr>
        <w:t>(七)不明原因中毒筛查（127种标志物）</w:t>
      </w:r>
    </w:p>
    <w:p w14:paraId="194E0DAB">
      <w:pPr>
        <w:spacing w:line="360" w:lineRule="auto"/>
        <w:rPr>
          <w:rFonts w:hAnsi="宋体" w:cs="宋体"/>
          <w:b/>
          <w:bCs/>
        </w:rPr>
      </w:pPr>
      <w:r>
        <w:rPr>
          <w:rFonts w:hint="eastAsia" w:hAnsi="宋体" w:cs="宋体"/>
          <w:b/>
          <w:bCs/>
        </w:rPr>
        <w:t>四、服务期</w:t>
      </w:r>
    </w:p>
    <w:p w14:paraId="626F09E6">
      <w:pPr>
        <w:spacing w:line="360" w:lineRule="auto"/>
        <w:rPr>
          <w:rFonts w:hAnsi="宋体" w:cs="宋体"/>
          <w:kern w:val="2"/>
        </w:rPr>
      </w:pPr>
      <w:r>
        <w:rPr>
          <w:rFonts w:hint="eastAsia" w:hAnsi="宋体" w:cs="宋体"/>
        </w:rPr>
        <w:t xml:space="preserve"> </w:t>
      </w:r>
      <w:r>
        <w:rPr>
          <w:rFonts w:hint="eastAsia" w:hAnsi="宋体" w:cs="宋体"/>
          <w:lang w:val="en-US" w:eastAsia="zh-CN"/>
        </w:rPr>
        <w:t>一</w:t>
      </w:r>
      <w:r>
        <w:rPr>
          <w:rFonts w:hint="eastAsia" w:hAnsi="宋体" w:cs="宋体"/>
        </w:rPr>
        <w:t>年。</w:t>
      </w:r>
    </w:p>
    <w:p w14:paraId="37F699A5">
      <w:pPr>
        <w:pStyle w:val="13"/>
        <w:spacing w:line="360" w:lineRule="auto"/>
        <w:ind w:firstLine="0" w:firstLineChars="0"/>
        <w:rPr>
          <w:rFonts w:hAnsi="宋体" w:cs="宋体"/>
          <w:color w:val="000000"/>
          <w:shd w:val="clear" w:color="auto" w:fill="FFFFFF"/>
        </w:rPr>
      </w:pPr>
      <w:bookmarkStart w:id="1" w:name="_GoBack"/>
      <w:bookmarkEnd w:id="1"/>
    </w:p>
    <w:sectPr>
      <w:pgSz w:w="11906" w:h="16838"/>
      <w:pgMar w:top="1134" w:right="1077" w:bottom="850" w:left="107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CF3C52" w:usb2="00000016" w:usb3="00000000" w:csb0="0004001F" w:csb1="00000000"/>
  </w:font>
  <w:font w:name="Courier New">
    <w:panose1 w:val="02070309020205020404"/>
    <w:charset w:val="00"/>
    <w:family w:val="modern"/>
    <w:pitch w:val="default"/>
    <w:sig w:usb0="E0002E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A290CA"/>
    <w:multiLevelType w:val="singleLevel"/>
    <w:tmpl w:val="F3A290CA"/>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M0NjRjZDE5M2JmM2M2MzJhNWIxZmRmZjUxOWJmMmMifQ=="/>
  </w:docVars>
  <w:rsids>
    <w:rsidRoot w:val="00172A27"/>
    <w:rsid w:val="0004192F"/>
    <w:rsid w:val="00051EAA"/>
    <w:rsid w:val="00086E6E"/>
    <w:rsid w:val="00091523"/>
    <w:rsid w:val="000E3D79"/>
    <w:rsid w:val="000F0F24"/>
    <w:rsid w:val="000F5C45"/>
    <w:rsid w:val="0010110F"/>
    <w:rsid w:val="00103A46"/>
    <w:rsid w:val="001358E9"/>
    <w:rsid w:val="001554C3"/>
    <w:rsid w:val="00170CA0"/>
    <w:rsid w:val="00172A27"/>
    <w:rsid w:val="00183FF2"/>
    <w:rsid w:val="00187F2D"/>
    <w:rsid w:val="001A2FCC"/>
    <w:rsid w:val="001A35A2"/>
    <w:rsid w:val="001C0C79"/>
    <w:rsid w:val="001C6171"/>
    <w:rsid w:val="001D7AEF"/>
    <w:rsid w:val="001E6ECD"/>
    <w:rsid w:val="00215D2A"/>
    <w:rsid w:val="00241680"/>
    <w:rsid w:val="00242982"/>
    <w:rsid w:val="00247267"/>
    <w:rsid w:val="0026787B"/>
    <w:rsid w:val="002F6169"/>
    <w:rsid w:val="0033292A"/>
    <w:rsid w:val="00346E4C"/>
    <w:rsid w:val="00385CBF"/>
    <w:rsid w:val="003B5FF8"/>
    <w:rsid w:val="003E03E0"/>
    <w:rsid w:val="00416569"/>
    <w:rsid w:val="00435985"/>
    <w:rsid w:val="00445573"/>
    <w:rsid w:val="00472147"/>
    <w:rsid w:val="0047729F"/>
    <w:rsid w:val="00486628"/>
    <w:rsid w:val="004A0D26"/>
    <w:rsid w:val="004A2488"/>
    <w:rsid w:val="004D0492"/>
    <w:rsid w:val="005107B2"/>
    <w:rsid w:val="00560690"/>
    <w:rsid w:val="0057055C"/>
    <w:rsid w:val="00590F4B"/>
    <w:rsid w:val="005929B7"/>
    <w:rsid w:val="005F14D6"/>
    <w:rsid w:val="005F6619"/>
    <w:rsid w:val="006004BF"/>
    <w:rsid w:val="00602324"/>
    <w:rsid w:val="00616073"/>
    <w:rsid w:val="00616678"/>
    <w:rsid w:val="00637483"/>
    <w:rsid w:val="006469D3"/>
    <w:rsid w:val="006B57A4"/>
    <w:rsid w:val="006C7C89"/>
    <w:rsid w:val="006E2F58"/>
    <w:rsid w:val="006E3B83"/>
    <w:rsid w:val="006E68A2"/>
    <w:rsid w:val="006E7B49"/>
    <w:rsid w:val="007232FB"/>
    <w:rsid w:val="00762105"/>
    <w:rsid w:val="007A4385"/>
    <w:rsid w:val="007C4B52"/>
    <w:rsid w:val="007D7270"/>
    <w:rsid w:val="007E0252"/>
    <w:rsid w:val="007E3B72"/>
    <w:rsid w:val="00822C57"/>
    <w:rsid w:val="00855956"/>
    <w:rsid w:val="00867A3D"/>
    <w:rsid w:val="00896489"/>
    <w:rsid w:val="008A1EBC"/>
    <w:rsid w:val="008A3DD7"/>
    <w:rsid w:val="008C3F7F"/>
    <w:rsid w:val="008D3199"/>
    <w:rsid w:val="008D5AC2"/>
    <w:rsid w:val="008F127E"/>
    <w:rsid w:val="008F5273"/>
    <w:rsid w:val="008F58DE"/>
    <w:rsid w:val="008F7D17"/>
    <w:rsid w:val="00922236"/>
    <w:rsid w:val="00924FE8"/>
    <w:rsid w:val="0094455B"/>
    <w:rsid w:val="00990FCB"/>
    <w:rsid w:val="009918FF"/>
    <w:rsid w:val="00A17B18"/>
    <w:rsid w:val="00A267FF"/>
    <w:rsid w:val="00A94ECD"/>
    <w:rsid w:val="00AA0540"/>
    <w:rsid w:val="00AE5F83"/>
    <w:rsid w:val="00B21674"/>
    <w:rsid w:val="00B9792C"/>
    <w:rsid w:val="00BB4572"/>
    <w:rsid w:val="00BB56AC"/>
    <w:rsid w:val="00BC3DA6"/>
    <w:rsid w:val="00BC7E32"/>
    <w:rsid w:val="00C04C6F"/>
    <w:rsid w:val="00C22DF1"/>
    <w:rsid w:val="00C306D2"/>
    <w:rsid w:val="00C3100F"/>
    <w:rsid w:val="00C31B4E"/>
    <w:rsid w:val="00C41816"/>
    <w:rsid w:val="00C8181F"/>
    <w:rsid w:val="00CB638A"/>
    <w:rsid w:val="00CE1515"/>
    <w:rsid w:val="00D063C8"/>
    <w:rsid w:val="00D8047C"/>
    <w:rsid w:val="00D862F4"/>
    <w:rsid w:val="00DD2CAF"/>
    <w:rsid w:val="00DE4B2D"/>
    <w:rsid w:val="00E42D94"/>
    <w:rsid w:val="00E45315"/>
    <w:rsid w:val="00E46BB8"/>
    <w:rsid w:val="00E84332"/>
    <w:rsid w:val="00EA1F24"/>
    <w:rsid w:val="00EA3B3D"/>
    <w:rsid w:val="00EA4785"/>
    <w:rsid w:val="00F64A58"/>
    <w:rsid w:val="00F74DBD"/>
    <w:rsid w:val="00F81A16"/>
    <w:rsid w:val="00F916F9"/>
    <w:rsid w:val="00FA1C42"/>
    <w:rsid w:val="00FC53DF"/>
    <w:rsid w:val="00FD40C0"/>
    <w:rsid w:val="00FE2827"/>
    <w:rsid w:val="04753582"/>
    <w:rsid w:val="06836D20"/>
    <w:rsid w:val="09EE6E62"/>
    <w:rsid w:val="0AD84E9A"/>
    <w:rsid w:val="0E7C78EC"/>
    <w:rsid w:val="11303CD2"/>
    <w:rsid w:val="123553DF"/>
    <w:rsid w:val="13FC17C7"/>
    <w:rsid w:val="1A7A49CA"/>
    <w:rsid w:val="1D2D361D"/>
    <w:rsid w:val="1DD63CF8"/>
    <w:rsid w:val="1F362359"/>
    <w:rsid w:val="27E03E09"/>
    <w:rsid w:val="2D3266CD"/>
    <w:rsid w:val="32036508"/>
    <w:rsid w:val="358A2294"/>
    <w:rsid w:val="35F13A8D"/>
    <w:rsid w:val="36594C71"/>
    <w:rsid w:val="36FB527D"/>
    <w:rsid w:val="37136EFA"/>
    <w:rsid w:val="3A2E6F14"/>
    <w:rsid w:val="3FFC6A67"/>
    <w:rsid w:val="411462D3"/>
    <w:rsid w:val="413904CB"/>
    <w:rsid w:val="45BB6795"/>
    <w:rsid w:val="47DD7AD0"/>
    <w:rsid w:val="48204586"/>
    <w:rsid w:val="4A0D507A"/>
    <w:rsid w:val="4AFD531A"/>
    <w:rsid w:val="4BC507BD"/>
    <w:rsid w:val="4FC1207E"/>
    <w:rsid w:val="526629AA"/>
    <w:rsid w:val="52940E31"/>
    <w:rsid w:val="5339727F"/>
    <w:rsid w:val="53D86E2D"/>
    <w:rsid w:val="57086D7C"/>
    <w:rsid w:val="57A845E5"/>
    <w:rsid w:val="5BFD6830"/>
    <w:rsid w:val="5FA21D31"/>
    <w:rsid w:val="65622F6B"/>
    <w:rsid w:val="6680522D"/>
    <w:rsid w:val="671B54D2"/>
    <w:rsid w:val="69173C68"/>
    <w:rsid w:val="6B4D2D85"/>
    <w:rsid w:val="6D6D7952"/>
    <w:rsid w:val="6FD40462"/>
    <w:rsid w:val="713741DD"/>
    <w:rsid w:val="71996820"/>
    <w:rsid w:val="75A60B08"/>
    <w:rsid w:val="7C8326E3"/>
    <w:rsid w:val="FF6D24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qFormat="1"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adjustRightInd w:val="0"/>
    </w:pPr>
    <w:rPr>
      <w:rFonts w:ascii="宋体" w:hAnsi="Times New Roman" w:eastAsia="宋体" w:cs="Times New Roman"/>
      <w:sz w:val="24"/>
      <w:szCs w:val="24"/>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7"/>
    <w:qFormat/>
    <w:uiPriority w:val="0"/>
  </w:style>
  <w:style w:type="paragraph" w:styleId="3">
    <w:name w:val="footer"/>
    <w:basedOn w:val="1"/>
    <w:link w:val="15"/>
    <w:qFormat/>
    <w:uiPriority w:val="0"/>
    <w:pPr>
      <w:tabs>
        <w:tab w:val="center" w:pos="4153"/>
        <w:tab w:val="right" w:pos="8306"/>
      </w:tabs>
      <w:snapToGrid w:val="0"/>
    </w:pPr>
    <w:rPr>
      <w:sz w:val="18"/>
      <w:szCs w:val="18"/>
    </w:rPr>
  </w:style>
  <w:style w:type="paragraph" w:styleId="4">
    <w:name w:val="header"/>
    <w:basedOn w:val="1"/>
    <w:link w:val="14"/>
    <w:qFormat/>
    <w:uiPriority w:val="0"/>
    <w:pP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pPr>
    <w:rPr>
      <w:rFonts w:hAnsi="宋体" w:cs="宋体"/>
    </w:rPr>
  </w:style>
  <w:style w:type="paragraph" w:styleId="6">
    <w:name w:val="annotation subject"/>
    <w:basedOn w:val="2"/>
    <w:next w:val="2"/>
    <w:link w:val="18"/>
    <w:qFormat/>
    <w:uiPriority w:val="0"/>
    <w:rPr>
      <w:b/>
      <w:bCs/>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annotation reference"/>
    <w:basedOn w:val="9"/>
    <w:qFormat/>
    <w:uiPriority w:val="0"/>
    <w:rPr>
      <w:sz w:val="21"/>
      <w:szCs w:val="21"/>
    </w:rPr>
  </w:style>
  <w:style w:type="paragraph" w:customStyle="1" w:styleId="11">
    <w:name w:val="List Paragraph2"/>
    <w:basedOn w:val="1"/>
    <w:qFormat/>
    <w:uiPriority w:val="0"/>
    <w:pPr>
      <w:ind w:firstLine="420" w:firstLineChars="200"/>
    </w:pPr>
  </w:style>
  <w:style w:type="table" w:customStyle="1" w:styleId="12">
    <w:name w:val="Table Normal"/>
    <w:semiHidden/>
    <w:unhideWhenUsed/>
    <w:qFormat/>
    <w:uiPriority w:val="0"/>
    <w:tblPr>
      <w:tblCellMar>
        <w:top w:w="0" w:type="dxa"/>
        <w:left w:w="0" w:type="dxa"/>
        <w:bottom w:w="0" w:type="dxa"/>
        <w:right w:w="0" w:type="dxa"/>
      </w:tblCellMar>
    </w:tblPr>
  </w:style>
  <w:style w:type="paragraph" w:styleId="13">
    <w:name w:val="List Paragraph"/>
    <w:basedOn w:val="1"/>
    <w:qFormat/>
    <w:uiPriority w:val="34"/>
    <w:pPr>
      <w:ind w:firstLine="420" w:firstLineChars="200"/>
    </w:pPr>
  </w:style>
  <w:style w:type="character" w:customStyle="1" w:styleId="14">
    <w:name w:val="页眉 字符"/>
    <w:basedOn w:val="9"/>
    <w:link w:val="4"/>
    <w:qFormat/>
    <w:uiPriority w:val="0"/>
    <w:rPr>
      <w:rFonts w:ascii="宋体"/>
      <w:sz w:val="18"/>
      <w:szCs w:val="18"/>
    </w:rPr>
  </w:style>
  <w:style w:type="character" w:customStyle="1" w:styleId="15">
    <w:name w:val="页脚 字符"/>
    <w:basedOn w:val="9"/>
    <w:link w:val="3"/>
    <w:qFormat/>
    <w:uiPriority w:val="0"/>
    <w:rPr>
      <w:rFonts w:ascii="宋体"/>
      <w:sz w:val="18"/>
      <w:szCs w:val="18"/>
    </w:rPr>
  </w:style>
  <w:style w:type="paragraph" w:customStyle="1" w:styleId="16">
    <w:name w:val="修订1"/>
    <w:hidden/>
    <w:unhideWhenUsed/>
    <w:qFormat/>
    <w:uiPriority w:val="99"/>
    <w:rPr>
      <w:rFonts w:ascii="宋体" w:hAnsi="Times New Roman" w:eastAsia="宋体" w:cs="Times New Roman"/>
      <w:sz w:val="24"/>
      <w:szCs w:val="24"/>
      <w:lang w:val="en-US" w:eastAsia="zh-CN" w:bidi="ar-SA"/>
    </w:rPr>
  </w:style>
  <w:style w:type="character" w:customStyle="1" w:styleId="17">
    <w:name w:val="批注文字 字符"/>
    <w:basedOn w:val="9"/>
    <w:link w:val="2"/>
    <w:qFormat/>
    <w:uiPriority w:val="0"/>
    <w:rPr>
      <w:rFonts w:ascii="宋体"/>
      <w:sz w:val="24"/>
      <w:szCs w:val="24"/>
    </w:rPr>
  </w:style>
  <w:style w:type="character" w:customStyle="1" w:styleId="18">
    <w:name w:val="批注主题 字符"/>
    <w:basedOn w:val="17"/>
    <w:link w:val="6"/>
    <w:qFormat/>
    <w:uiPriority w:val="0"/>
    <w:rPr>
      <w:rFonts w:ascii="宋体"/>
      <w:b/>
      <w:bCs/>
      <w:sz w:val="24"/>
      <w:szCs w:val="24"/>
    </w:rPr>
  </w:style>
  <w:style w:type="character" w:customStyle="1" w:styleId="19">
    <w:name w:val="font31"/>
    <w:basedOn w:val="9"/>
    <w:qFormat/>
    <w:uiPriority w:val="0"/>
    <w:rPr>
      <w:rFonts w:hint="eastAsia" w:ascii="微软雅黑" w:hAnsi="微软雅黑" w:eastAsia="微软雅黑" w:cs="微软雅黑"/>
      <w:color w:val="000000"/>
      <w:sz w:val="22"/>
      <w:szCs w:val="22"/>
      <w:u w:val="none"/>
      <w:vertAlign w:val="superscript"/>
    </w:rPr>
  </w:style>
  <w:style w:type="character" w:customStyle="1" w:styleId="20">
    <w:name w:val="font11"/>
    <w:basedOn w:val="9"/>
    <w:qFormat/>
    <w:uiPriority w:val="0"/>
    <w:rPr>
      <w:rFonts w:hint="eastAsia" w:ascii="微软雅黑" w:hAnsi="微软雅黑" w:eastAsia="微软雅黑" w:cs="微软雅黑"/>
      <w:color w:val="000000"/>
      <w:sz w:val="22"/>
      <w:szCs w:val="22"/>
      <w:u w:val="none"/>
    </w:rPr>
  </w:style>
  <w:style w:type="character" w:customStyle="1" w:styleId="21">
    <w:name w:val="纯文本 字符1"/>
    <w:qFormat/>
    <w:uiPriority w:val="0"/>
    <w:rPr>
      <w:rFonts w:ascii="宋体" w:hAnsi="Courier New" w:eastAsia="宋体" w:cs="Times New Roman"/>
      <w:kern w:val="2"/>
      <w:sz w:val="21"/>
      <w:lang w:val="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3180</Words>
  <Characters>3308</Characters>
  <Lines>103</Lines>
  <Paragraphs>115</Paragraphs>
  <TotalTime>695</TotalTime>
  <ScaleCrop>false</ScaleCrop>
  <LinksUpToDate>false</LinksUpToDate>
  <CharactersWithSpaces>3319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2025-03-06T08:07:00Z</dcterms:created>
  <dc:creator>......</dc:creator>
  <cp:lastModifiedBy>s654</cp:lastModifiedBy>
  <cp:lastPrinted>2024-01-26T02:58:00Z</cp:lastPrinted>
  <dcterms:modified xsi:type="dcterms:W3CDTF">2025-10-21T09:27:58Z</dcterms:modified>
  <cp:revision>68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E02D3C5B30044AF48744FCDB91C8D867_13</vt:lpwstr>
  </property>
  <property fmtid="{D5CDD505-2E9C-101B-9397-08002B2CF9AE}" pid="4" name="KSOTemplateDocerSaveRecord">
    <vt:lpwstr>eyJoZGlkIjoiMGQxNTExODIzZjU2MDRjMDYzNmEwOWFmODYyODA4YTUiLCJ1c2VySWQiOiIyNDE4MDQ0NzQifQ==</vt:lpwstr>
  </property>
</Properties>
</file>