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F116BF">
      <w:pPr>
        <w:spacing w:beforeLines="50" w:afterLines="50" w:line="360" w:lineRule="auto"/>
        <w:jc w:val="center"/>
        <w:outlineLvl w:val="0"/>
        <w:rPr>
          <w:rFonts w:hint="eastAsia" w:asciiTheme="majorEastAsia" w:hAnsiTheme="majorEastAsia" w:eastAsiaTheme="majorEastAsia" w:cstheme="majorEastAsia"/>
          <w:b/>
          <w:bCs/>
          <w:color w:val="auto"/>
          <w:sz w:val="32"/>
          <w:szCs w:val="32"/>
        </w:rPr>
      </w:pPr>
      <w:r>
        <w:rPr>
          <w:rFonts w:hint="eastAsia" w:asciiTheme="majorEastAsia" w:hAnsiTheme="majorEastAsia" w:eastAsiaTheme="majorEastAsia" w:cstheme="majorEastAsia"/>
          <w:b/>
          <w:bCs/>
          <w:color w:val="auto"/>
          <w:sz w:val="32"/>
          <w:szCs w:val="32"/>
        </w:rPr>
        <w:t>广州医科大学附属第三医</w:t>
      </w:r>
      <w:r>
        <w:rPr>
          <w:rFonts w:hint="eastAsia" w:asciiTheme="majorEastAsia" w:hAnsiTheme="majorEastAsia" w:eastAsiaTheme="majorEastAsia" w:cstheme="majorEastAsia"/>
          <w:b/>
          <w:bCs/>
          <w:color w:val="auto"/>
          <w:sz w:val="32"/>
          <w:szCs w:val="32"/>
          <w:lang w:val="en-US" w:eastAsia="zh-CN"/>
        </w:rPr>
        <w:t>院白云分</w:t>
      </w:r>
      <w:r>
        <w:rPr>
          <w:rFonts w:hint="eastAsia" w:asciiTheme="majorEastAsia" w:hAnsiTheme="majorEastAsia" w:eastAsiaTheme="majorEastAsia" w:cstheme="majorEastAsia"/>
          <w:b/>
          <w:bCs/>
          <w:color w:val="auto"/>
          <w:sz w:val="32"/>
          <w:szCs w:val="32"/>
        </w:rPr>
        <w:t>院</w:t>
      </w:r>
    </w:p>
    <w:p w14:paraId="1E0259EE">
      <w:pPr>
        <w:spacing w:beforeLines="50" w:afterLines="50" w:line="360" w:lineRule="auto"/>
        <w:jc w:val="center"/>
        <w:outlineLvl w:val="0"/>
        <w:rPr>
          <w:rFonts w:hint="eastAsia" w:asciiTheme="majorEastAsia" w:hAnsiTheme="majorEastAsia" w:eastAsiaTheme="majorEastAsia" w:cstheme="majorEastAsia"/>
          <w:color w:val="auto"/>
          <w:sz w:val="32"/>
          <w:szCs w:val="32"/>
        </w:rPr>
      </w:pPr>
      <w:r>
        <w:rPr>
          <w:rFonts w:hint="eastAsia" w:asciiTheme="majorEastAsia" w:hAnsiTheme="majorEastAsia" w:eastAsiaTheme="majorEastAsia" w:cstheme="majorEastAsia"/>
          <w:b/>
          <w:bCs/>
          <w:color w:val="auto"/>
          <w:sz w:val="32"/>
          <w:szCs w:val="32"/>
          <w:lang w:eastAsia="zh-CN"/>
        </w:rPr>
        <w:t>（</w:t>
      </w:r>
      <w:r>
        <w:rPr>
          <w:rFonts w:hint="eastAsia" w:asciiTheme="majorEastAsia" w:hAnsiTheme="majorEastAsia" w:eastAsiaTheme="majorEastAsia" w:cstheme="majorEastAsia"/>
          <w:b/>
          <w:bCs/>
          <w:color w:val="auto"/>
          <w:sz w:val="32"/>
          <w:szCs w:val="32"/>
          <w:lang w:val="en-US" w:eastAsia="zh-CN"/>
        </w:rPr>
        <w:t>广州市白云区妇幼保健院</w:t>
      </w:r>
      <w:r>
        <w:rPr>
          <w:rFonts w:hint="eastAsia" w:asciiTheme="majorEastAsia" w:hAnsiTheme="majorEastAsia" w:eastAsiaTheme="majorEastAsia" w:cstheme="majorEastAsia"/>
          <w:b/>
          <w:bCs/>
          <w:color w:val="auto"/>
          <w:sz w:val="32"/>
          <w:szCs w:val="32"/>
          <w:lang w:eastAsia="zh-CN"/>
        </w:rPr>
        <w:t>）</w:t>
      </w:r>
      <w:r>
        <w:rPr>
          <w:rFonts w:hint="eastAsia" w:asciiTheme="majorEastAsia" w:hAnsiTheme="majorEastAsia" w:eastAsiaTheme="majorEastAsia" w:cstheme="majorEastAsia"/>
          <w:b/>
          <w:bCs/>
          <w:color w:val="auto"/>
          <w:sz w:val="32"/>
          <w:szCs w:val="32"/>
          <w:lang w:val="en-US" w:eastAsia="zh-CN"/>
        </w:rPr>
        <w:t>污染物排放管理服务</w:t>
      </w:r>
      <w:r>
        <w:rPr>
          <w:rFonts w:hint="eastAsia" w:asciiTheme="majorEastAsia" w:hAnsiTheme="majorEastAsia" w:eastAsiaTheme="majorEastAsia" w:cstheme="majorEastAsia"/>
          <w:b/>
          <w:bCs/>
          <w:color w:val="auto"/>
          <w:sz w:val="32"/>
          <w:szCs w:val="32"/>
        </w:rPr>
        <w:t>采购需求</w:t>
      </w:r>
    </w:p>
    <w:p w14:paraId="655D2987">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项目概况：</w:t>
      </w:r>
    </w:p>
    <w:p w14:paraId="0D56A69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项目名称：广州医科大学附属第三医院白云分院（广州市白云区妇幼保健院）污染物排放管理服务采购</w:t>
      </w:r>
      <w:r>
        <w:rPr>
          <w:rFonts w:hint="eastAsia" w:asciiTheme="minorEastAsia" w:hAnsiTheme="minorEastAsia" w:cstheme="minorEastAsia"/>
          <w:sz w:val="28"/>
          <w:szCs w:val="28"/>
          <w:lang w:val="en-US" w:eastAsia="zh-CN"/>
        </w:rPr>
        <w:t>需求</w:t>
      </w:r>
    </w:p>
    <w:p w14:paraId="13DC875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广州医科大学附属第三医院白云分院（广州市白云区妇幼保健院），下辖三个院区分别为机场路院区（机场路1128号）、广园路院区（广园西路344号）、三元里院区（三元里大道1148号）。</w:t>
      </w:r>
    </w:p>
    <w:p w14:paraId="6146ADA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其中三元里院区无住院病房，按辖区环境监督部门管理要求实行简化备案，机场路院区以及广园路院区污水设有污水处理站。具体情况如下：</w:t>
      </w:r>
    </w:p>
    <w:p w14:paraId="71E623E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kern w:val="2"/>
          <w:sz w:val="28"/>
          <w:szCs w:val="28"/>
          <w:lang w:val="en-US" w:eastAsia="zh-CN" w:bidi="ar-SA"/>
        </w:rPr>
        <w:t>1.</w:t>
      </w:r>
      <w:r>
        <w:rPr>
          <w:rFonts w:hint="eastAsia" w:asciiTheme="minorEastAsia" w:hAnsiTheme="minorEastAsia" w:eastAsiaTheme="minorEastAsia" w:cstheme="minorEastAsia"/>
          <w:sz w:val="28"/>
          <w:szCs w:val="28"/>
          <w:lang w:val="en-US" w:eastAsia="zh-CN"/>
        </w:rPr>
        <w:t>机场路院区：设计处理量450d/t，处理工艺为：格栅井——调节池——接触氧化池——砂滤池——次氯酸钠发生器消毒。</w:t>
      </w:r>
    </w:p>
    <w:p w14:paraId="6F2B53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kern w:val="2"/>
          <w:sz w:val="28"/>
          <w:szCs w:val="28"/>
          <w:lang w:val="en-US" w:eastAsia="zh-CN" w:bidi="ar-SA"/>
        </w:rPr>
        <w:t>2.</w:t>
      </w:r>
      <w:r>
        <w:rPr>
          <w:rFonts w:hint="eastAsia" w:asciiTheme="minorEastAsia" w:hAnsiTheme="minorEastAsia" w:eastAsiaTheme="minorEastAsia" w:cstheme="minorEastAsia"/>
          <w:sz w:val="28"/>
          <w:szCs w:val="28"/>
          <w:lang w:val="en-US" w:eastAsia="zh-CN"/>
        </w:rPr>
        <w:t>广园路院区：设计处理量150d/t，处理工艺为：格栅井——调节池——沉淀池——次氯酸钠发生器消毒。</w:t>
      </w:r>
    </w:p>
    <w:p w14:paraId="7181698B">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项目一览表</w:t>
      </w:r>
    </w:p>
    <w:tbl>
      <w:tblPr>
        <w:tblStyle w:val="13"/>
        <w:tblW w:w="352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1"/>
        <w:gridCol w:w="1600"/>
        <w:gridCol w:w="2154"/>
      </w:tblGrid>
      <w:tr w14:paraId="19EF2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2641" w:type="dxa"/>
            <w:tcBorders>
              <w:top w:val="single" w:color="auto" w:sz="12" w:space="0"/>
            </w:tcBorders>
            <w:shd w:val="clear" w:color="auto" w:fill="EEECE1"/>
            <w:vAlign w:val="center"/>
          </w:tcPr>
          <w:p w14:paraId="714D4B50">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b/>
                <w:color w:val="auto"/>
                <w:sz w:val="24"/>
              </w:rPr>
              <w:t>服务内容</w:t>
            </w:r>
          </w:p>
        </w:tc>
        <w:tc>
          <w:tcPr>
            <w:tcW w:w="1600" w:type="dxa"/>
            <w:tcBorders>
              <w:top w:val="single" w:color="auto" w:sz="12" w:space="0"/>
            </w:tcBorders>
            <w:shd w:val="clear" w:color="auto" w:fill="EEECE1"/>
            <w:vAlign w:val="center"/>
          </w:tcPr>
          <w:p w14:paraId="52742913">
            <w:pPr>
              <w:pageBreakBefore w:val="0"/>
              <w:kinsoku/>
              <w:wordWrap/>
              <w:overflowPunct/>
              <w:topLinePunct w:val="0"/>
              <w:bidi w:val="0"/>
              <w:snapToGrid w:val="0"/>
              <w:spacing w:beforeAutospacing="0" w:afterAutospacing="0"/>
              <w:ind w:left="0" w:leftChars="0" w:right="0"/>
              <w:jc w:val="center"/>
              <w:rPr>
                <w:rFonts w:hint="eastAsia" w:ascii="宋体" w:eastAsiaTheme="minorEastAsia"/>
                <w:b/>
                <w:color w:val="auto"/>
                <w:sz w:val="24"/>
                <w:lang w:eastAsia="zh-CN"/>
              </w:rPr>
            </w:pPr>
            <w:r>
              <w:rPr>
                <w:rFonts w:hint="eastAsia" w:ascii="宋体"/>
                <w:b/>
                <w:color w:val="auto"/>
                <w:sz w:val="24"/>
              </w:rPr>
              <w:t>数量</w:t>
            </w:r>
            <w:r>
              <w:rPr>
                <w:rFonts w:hint="eastAsia" w:ascii="宋体"/>
                <w:b/>
                <w:color w:val="auto"/>
                <w:sz w:val="24"/>
                <w:lang w:eastAsia="zh-CN"/>
              </w:rPr>
              <w:t>（</w:t>
            </w:r>
            <w:r>
              <w:rPr>
                <w:rFonts w:hint="eastAsia" w:ascii="宋体"/>
                <w:b/>
                <w:color w:val="auto"/>
                <w:sz w:val="24"/>
                <w:lang w:val="en-US" w:eastAsia="zh-CN"/>
              </w:rPr>
              <w:t>单位</w:t>
            </w:r>
            <w:r>
              <w:rPr>
                <w:rFonts w:hint="eastAsia" w:ascii="宋体"/>
                <w:b/>
                <w:color w:val="auto"/>
                <w:sz w:val="24"/>
                <w:lang w:eastAsia="zh-CN"/>
              </w:rPr>
              <w:t>）</w:t>
            </w:r>
          </w:p>
        </w:tc>
        <w:tc>
          <w:tcPr>
            <w:tcW w:w="2154" w:type="dxa"/>
            <w:tcBorders>
              <w:top w:val="single" w:color="auto" w:sz="12" w:space="0"/>
              <w:right w:val="single" w:color="auto" w:sz="4" w:space="0"/>
            </w:tcBorders>
            <w:shd w:val="clear" w:color="auto" w:fill="EEECE1"/>
            <w:vAlign w:val="center"/>
          </w:tcPr>
          <w:p w14:paraId="49114AA1">
            <w:pPr>
              <w:pageBreakBefore w:val="0"/>
              <w:kinsoku/>
              <w:wordWrap/>
              <w:overflowPunct/>
              <w:topLinePunct w:val="0"/>
              <w:bidi w:val="0"/>
              <w:snapToGrid w:val="0"/>
              <w:spacing w:beforeAutospacing="0" w:afterAutospacing="0"/>
              <w:ind w:left="0" w:leftChars="0" w:right="0"/>
              <w:jc w:val="center"/>
              <w:rPr>
                <w:rFonts w:ascii="宋体"/>
                <w:b/>
                <w:color w:val="auto"/>
                <w:sz w:val="24"/>
              </w:rPr>
            </w:pPr>
            <w:r>
              <w:rPr>
                <w:rFonts w:hint="eastAsia" w:ascii="宋体" w:hAnsi="宋体"/>
                <w:b/>
                <w:bCs/>
                <w:color w:val="auto"/>
                <w:sz w:val="24"/>
              </w:rPr>
              <w:t>所属行业</w:t>
            </w:r>
          </w:p>
        </w:tc>
      </w:tr>
      <w:tr w14:paraId="1EE34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4" w:hRule="atLeast"/>
          <w:jc w:val="center"/>
        </w:trPr>
        <w:tc>
          <w:tcPr>
            <w:tcW w:w="2641" w:type="dxa"/>
            <w:tcBorders>
              <w:bottom w:val="single" w:color="auto" w:sz="12" w:space="0"/>
            </w:tcBorders>
            <w:vAlign w:val="center"/>
          </w:tcPr>
          <w:p w14:paraId="6D814F9E">
            <w:pPr>
              <w:pageBreakBefore w:val="0"/>
              <w:kinsoku/>
              <w:wordWrap/>
              <w:overflowPunct/>
              <w:topLinePunct w:val="0"/>
              <w:bidi w:val="0"/>
              <w:snapToGrid w:val="0"/>
              <w:spacing w:beforeAutospacing="0" w:afterAutospacing="0"/>
              <w:ind w:left="0" w:leftChars="0" w:right="0"/>
              <w:jc w:val="center"/>
              <w:rPr>
                <w:rFonts w:ascii="宋体"/>
                <w:bCs/>
                <w:color w:val="auto"/>
                <w:sz w:val="24"/>
              </w:rPr>
            </w:pPr>
            <w:r>
              <w:rPr>
                <w:rFonts w:hint="eastAsia" w:ascii="宋体"/>
                <w:bCs/>
                <w:color w:val="auto"/>
                <w:sz w:val="24"/>
              </w:rPr>
              <w:t>污染物排放管理服务</w:t>
            </w:r>
          </w:p>
        </w:tc>
        <w:tc>
          <w:tcPr>
            <w:tcW w:w="1600" w:type="dxa"/>
            <w:tcBorders>
              <w:bottom w:val="single" w:color="auto" w:sz="12" w:space="0"/>
            </w:tcBorders>
            <w:vAlign w:val="center"/>
          </w:tcPr>
          <w:p w14:paraId="53B35FBE">
            <w:pPr>
              <w:pageBreakBefore w:val="0"/>
              <w:kinsoku/>
              <w:wordWrap/>
              <w:overflowPunct/>
              <w:topLinePunct w:val="0"/>
              <w:bidi w:val="0"/>
              <w:snapToGrid w:val="0"/>
              <w:spacing w:beforeAutospacing="0" w:afterAutospacing="0"/>
              <w:ind w:left="0" w:leftChars="0" w:right="0"/>
              <w:jc w:val="center"/>
              <w:rPr>
                <w:rFonts w:hint="eastAsia" w:ascii="宋体" w:eastAsiaTheme="minorEastAsia"/>
                <w:bCs/>
                <w:color w:val="auto"/>
                <w:sz w:val="24"/>
                <w:lang w:eastAsia="zh-CN"/>
              </w:rPr>
            </w:pPr>
            <w:r>
              <w:rPr>
                <w:rFonts w:hint="eastAsia" w:ascii="宋体"/>
                <w:bCs/>
                <w:color w:val="auto"/>
                <w:sz w:val="24"/>
              </w:rPr>
              <w:t>1</w:t>
            </w:r>
            <w:r>
              <w:rPr>
                <w:rFonts w:hint="eastAsia" w:ascii="宋体"/>
                <w:bCs/>
                <w:color w:val="auto"/>
                <w:sz w:val="24"/>
                <w:lang w:eastAsia="zh-CN"/>
              </w:rPr>
              <w:t>（</w:t>
            </w:r>
            <w:r>
              <w:rPr>
                <w:rFonts w:hint="eastAsia" w:ascii="宋体"/>
                <w:bCs/>
                <w:color w:val="auto"/>
                <w:sz w:val="24"/>
                <w:lang w:val="en-US" w:eastAsia="zh-CN"/>
              </w:rPr>
              <w:t>年</w:t>
            </w:r>
            <w:r>
              <w:rPr>
                <w:rFonts w:hint="eastAsia" w:ascii="宋体"/>
                <w:bCs/>
                <w:color w:val="auto"/>
                <w:sz w:val="24"/>
                <w:lang w:eastAsia="zh-CN"/>
              </w:rPr>
              <w:t>）</w:t>
            </w:r>
          </w:p>
        </w:tc>
        <w:tc>
          <w:tcPr>
            <w:tcW w:w="2154" w:type="dxa"/>
            <w:tcBorders>
              <w:bottom w:val="single" w:color="auto" w:sz="12" w:space="0"/>
              <w:right w:val="single" w:color="auto" w:sz="4" w:space="0"/>
            </w:tcBorders>
            <w:vAlign w:val="center"/>
          </w:tcPr>
          <w:p w14:paraId="2315DA2F">
            <w:pPr>
              <w:pStyle w:val="22"/>
              <w:pageBreakBefore w:val="0"/>
              <w:kinsoku/>
              <w:wordWrap/>
              <w:overflowPunct/>
              <w:topLinePunct w:val="0"/>
              <w:bidi w:val="0"/>
              <w:snapToGrid w:val="0"/>
              <w:spacing w:before="0" w:beforeAutospacing="0" w:after="0" w:afterAutospacing="0" w:line="240" w:lineRule="auto"/>
              <w:ind w:left="0" w:leftChars="0" w:right="0"/>
              <w:rPr>
                <w:rFonts w:ascii="宋体" w:hAnsi="宋体"/>
                <w:color w:val="auto"/>
                <w:spacing w:val="0"/>
                <w:kern w:val="2"/>
                <w:szCs w:val="24"/>
              </w:rPr>
            </w:pPr>
            <w:r>
              <w:rPr>
                <w:rFonts w:hint="eastAsia" w:ascii="宋体" w:hAnsi="宋体"/>
                <w:color w:val="auto"/>
                <w:spacing w:val="0"/>
                <w:kern w:val="2"/>
                <w:szCs w:val="24"/>
              </w:rPr>
              <w:t>其他未列明行业</w:t>
            </w:r>
          </w:p>
        </w:tc>
      </w:tr>
    </w:tbl>
    <w:p w14:paraId="0C87E025">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cstheme="minorEastAsia"/>
          <w:b/>
          <w:bCs/>
          <w:sz w:val="30"/>
          <w:szCs w:val="30"/>
          <w:lang w:val="en-US" w:eastAsia="zh-CN"/>
        </w:rPr>
        <w:t>报价方式</w:t>
      </w:r>
    </w:p>
    <w:p w14:paraId="509156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本项目为</w:t>
      </w:r>
      <w:r>
        <w:rPr>
          <w:rFonts w:hint="eastAsia" w:asciiTheme="minorEastAsia" w:hAnsiTheme="minorEastAsia" w:eastAsiaTheme="minorEastAsia" w:cstheme="minorEastAsia"/>
          <w:sz w:val="28"/>
          <w:szCs w:val="28"/>
          <w:lang w:val="en-US" w:eastAsia="zh-CN"/>
        </w:rPr>
        <w:t>广州医科大学附属第三医院白云分院（广州市白云区妇幼保健院）污染物排放管理服务采购</w:t>
      </w:r>
      <w:r>
        <w:rPr>
          <w:rFonts w:hint="eastAsia" w:asciiTheme="minorEastAsia" w:hAnsiTheme="minorEastAsia" w:cstheme="minorEastAsia"/>
          <w:sz w:val="28"/>
          <w:szCs w:val="28"/>
          <w:lang w:val="en-US" w:eastAsia="zh-CN"/>
        </w:rPr>
        <w:t>项目，服务商必须对本项目进行报价（包括总报价及各项服务的分项报价）。</w:t>
      </w:r>
      <w:bookmarkStart w:id="1" w:name="_GoBack"/>
      <w:bookmarkEnd w:id="1"/>
    </w:p>
    <w:p w14:paraId="331EE724">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所需服务内容</w:t>
      </w:r>
    </w:p>
    <w:p w14:paraId="22EFC95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1.服务内容：</w:t>
      </w:r>
    </w:p>
    <w:p w14:paraId="629220F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两个院区污水站（机场路院区和广园院区）的管理服务。包含：污水处理药剂费、人工费、污水监测费、设备日常维护费、易损件维修费、人员劳保用品费、台帐制作管理费、各监管平台数据填报管理费，执行《医疗机构水污染物排放标准GB18466-2005》中表2</w:t>
      </w:r>
      <w:r>
        <w:rPr>
          <w:rFonts w:hint="eastAsia" w:asciiTheme="minorEastAsia" w:hAnsiTheme="minorEastAsia" w:cstheme="minorEastAsia"/>
          <w:sz w:val="28"/>
          <w:szCs w:val="28"/>
          <w:lang w:val="en-US" w:eastAsia="zh-CN"/>
        </w:rPr>
        <w:t>（附件2）</w:t>
      </w:r>
      <w:r>
        <w:rPr>
          <w:rFonts w:hint="eastAsia" w:asciiTheme="minorEastAsia" w:hAnsiTheme="minorEastAsia" w:eastAsiaTheme="minorEastAsia" w:cstheme="minorEastAsia"/>
          <w:sz w:val="28"/>
          <w:szCs w:val="28"/>
          <w:lang w:val="en-US" w:eastAsia="zh-CN"/>
        </w:rPr>
        <w:t>的预处理标准。（附上《排污许可证》（副本））</w:t>
      </w:r>
    </w:p>
    <w:p w14:paraId="3A98E51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kern w:val="2"/>
          <w:sz w:val="28"/>
          <w:szCs w:val="28"/>
          <w:lang w:val="en-US" w:eastAsia="zh-CN" w:bidi="ar-SA"/>
        </w:rPr>
        <w:t>2.</w:t>
      </w:r>
      <w:r>
        <w:rPr>
          <w:rFonts w:hint="eastAsia" w:asciiTheme="minorEastAsia" w:hAnsiTheme="minorEastAsia" w:eastAsiaTheme="minorEastAsia" w:cstheme="minorEastAsia"/>
          <w:sz w:val="28"/>
          <w:szCs w:val="28"/>
          <w:lang w:val="en-US" w:eastAsia="zh-CN"/>
        </w:rPr>
        <w:t>服务明细</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3"/>
        <w:gridCol w:w="2262"/>
        <w:gridCol w:w="5247"/>
      </w:tblGrid>
      <w:tr w14:paraId="512DB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57DF57A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序号</w:t>
            </w:r>
          </w:p>
        </w:tc>
        <w:tc>
          <w:tcPr>
            <w:tcW w:w="2262" w:type="dxa"/>
            <w:noWrap w:val="0"/>
            <w:vAlign w:val="top"/>
          </w:tcPr>
          <w:p w14:paraId="7F26F91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内容</w:t>
            </w:r>
          </w:p>
        </w:tc>
        <w:tc>
          <w:tcPr>
            <w:tcW w:w="5247" w:type="dxa"/>
            <w:noWrap w:val="0"/>
            <w:vAlign w:val="top"/>
          </w:tcPr>
          <w:p w14:paraId="53FC3FD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备注</w:t>
            </w:r>
          </w:p>
        </w:tc>
      </w:tr>
      <w:tr w14:paraId="78AD9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2FA7F13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1</w:t>
            </w:r>
          </w:p>
        </w:tc>
        <w:tc>
          <w:tcPr>
            <w:tcW w:w="2262" w:type="dxa"/>
            <w:noWrap w:val="0"/>
            <w:vAlign w:val="top"/>
          </w:tcPr>
          <w:p w14:paraId="48B7880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污水处理药剂</w:t>
            </w:r>
          </w:p>
        </w:tc>
        <w:tc>
          <w:tcPr>
            <w:tcW w:w="5247" w:type="dxa"/>
            <w:noWrap w:val="0"/>
            <w:vAlign w:val="top"/>
          </w:tcPr>
          <w:p w14:paraId="43D8C06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含服务周期内两院区污水处理站设计水量内需使用的全部量的次氯酸钠消毒药剂的投加，和其他正常水量水质情况可能用到的处理药剂。</w:t>
            </w:r>
          </w:p>
        </w:tc>
      </w:tr>
      <w:tr w14:paraId="47FC4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485F868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2</w:t>
            </w:r>
          </w:p>
        </w:tc>
        <w:tc>
          <w:tcPr>
            <w:tcW w:w="2262" w:type="dxa"/>
            <w:noWrap w:val="0"/>
            <w:vAlign w:val="top"/>
          </w:tcPr>
          <w:p w14:paraId="42FBB9F8">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人员</w:t>
            </w:r>
          </w:p>
        </w:tc>
        <w:tc>
          <w:tcPr>
            <w:tcW w:w="5247" w:type="dxa"/>
            <w:noWrap w:val="0"/>
            <w:vAlign w:val="top"/>
          </w:tcPr>
          <w:p w14:paraId="34F79A6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两个院区各配置1名现场值班管理人员，24小时值班制，现场主管需有相应的污/废水处理工证。应急响应时间1小时以内。</w:t>
            </w:r>
          </w:p>
        </w:tc>
      </w:tr>
      <w:tr w14:paraId="60E63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50A255BE">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3</w:t>
            </w:r>
          </w:p>
        </w:tc>
        <w:tc>
          <w:tcPr>
            <w:tcW w:w="2262" w:type="dxa"/>
            <w:noWrap w:val="0"/>
            <w:vAlign w:val="top"/>
          </w:tcPr>
          <w:p w14:paraId="5E719A2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污水监测工作</w:t>
            </w:r>
          </w:p>
        </w:tc>
        <w:tc>
          <w:tcPr>
            <w:tcW w:w="5247" w:type="dxa"/>
            <w:noWrap w:val="0"/>
            <w:vAlign w:val="top"/>
          </w:tcPr>
          <w:p w14:paraId="6BE6227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服务周期内按医院所持排污许可证中自行监测要求的每季、每月、每周、每天的相应频次开展检测工作。</w:t>
            </w:r>
          </w:p>
        </w:tc>
      </w:tr>
      <w:tr w14:paraId="61560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17E7B52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4</w:t>
            </w:r>
          </w:p>
        </w:tc>
        <w:tc>
          <w:tcPr>
            <w:tcW w:w="2262" w:type="dxa"/>
            <w:noWrap w:val="0"/>
            <w:vAlign w:val="top"/>
          </w:tcPr>
          <w:p w14:paraId="2E0A819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设备日常维护</w:t>
            </w:r>
          </w:p>
        </w:tc>
        <w:tc>
          <w:tcPr>
            <w:tcW w:w="5247" w:type="dxa"/>
            <w:noWrap w:val="0"/>
            <w:vAlign w:val="top"/>
          </w:tcPr>
          <w:p w14:paraId="4E06AA1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设备维护保养按每周一小保，一月一大保进行，所有设备检查维护。包括但不限于格栅井清理、鼓风机的机油和皮带更换、流量计定期校准、污泥清理外运处理等。沉淀池清理，池体清洁，专人负责所有设施卫生，安全检查。</w:t>
            </w:r>
          </w:p>
        </w:tc>
      </w:tr>
      <w:tr w14:paraId="787E4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03B349B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5</w:t>
            </w:r>
          </w:p>
        </w:tc>
        <w:tc>
          <w:tcPr>
            <w:tcW w:w="2262" w:type="dxa"/>
            <w:noWrap w:val="0"/>
            <w:vAlign w:val="top"/>
          </w:tcPr>
          <w:p w14:paraId="15FB399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易损件维修/更换</w:t>
            </w:r>
          </w:p>
        </w:tc>
        <w:tc>
          <w:tcPr>
            <w:tcW w:w="5247" w:type="dxa"/>
            <w:noWrap w:val="0"/>
            <w:vAlign w:val="top"/>
          </w:tcPr>
          <w:p w14:paraId="3D5FA63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中标供应商承担3000元以下的易损件维修/更换费用。包括但不限于流量计探头更换、鼓风机的机油更换、消毒设备管件更换、消毒设备泵头更换等。</w:t>
            </w:r>
          </w:p>
        </w:tc>
      </w:tr>
      <w:tr w14:paraId="65B2B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1E9F8D9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6</w:t>
            </w:r>
          </w:p>
        </w:tc>
        <w:tc>
          <w:tcPr>
            <w:tcW w:w="2262" w:type="dxa"/>
            <w:noWrap w:val="0"/>
            <w:vAlign w:val="top"/>
          </w:tcPr>
          <w:p w14:paraId="61E751E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人员劳保用品</w:t>
            </w:r>
          </w:p>
        </w:tc>
        <w:tc>
          <w:tcPr>
            <w:tcW w:w="5247" w:type="dxa"/>
            <w:noWrap w:val="0"/>
            <w:vAlign w:val="top"/>
          </w:tcPr>
          <w:p w14:paraId="5B8E34F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含服务周期内现场值班人员所需的全部防护眼镜、防护服、劳保鞋、胶手套等劳保用品。注：防护服用途为每次作业操作需要更换所需。</w:t>
            </w:r>
          </w:p>
        </w:tc>
      </w:tr>
      <w:tr w14:paraId="6BA22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2F63A61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7</w:t>
            </w:r>
          </w:p>
        </w:tc>
        <w:tc>
          <w:tcPr>
            <w:tcW w:w="2262" w:type="dxa"/>
            <w:noWrap w:val="0"/>
            <w:vAlign w:val="top"/>
          </w:tcPr>
          <w:p w14:paraId="7D54509E">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各监管平台数据填报</w:t>
            </w:r>
          </w:p>
        </w:tc>
        <w:tc>
          <w:tcPr>
            <w:tcW w:w="5247" w:type="dxa"/>
            <w:noWrap w:val="0"/>
            <w:vAlign w:val="top"/>
          </w:tcPr>
          <w:p w14:paraId="7146316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按合同当年度各项相关环保法规和监管的要求，负责对各监管平台相应的数据填报工作。包括但不限于全国排污许可证信息管理平台，广东省环境应急业务监管平台等。</w:t>
            </w:r>
          </w:p>
        </w:tc>
      </w:tr>
      <w:tr w14:paraId="62737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3F814F6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8</w:t>
            </w:r>
          </w:p>
        </w:tc>
        <w:tc>
          <w:tcPr>
            <w:tcW w:w="2262" w:type="dxa"/>
            <w:noWrap w:val="0"/>
            <w:vAlign w:val="top"/>
          </w:tcPr>
          <w:p w14:paraId="516A77E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台账管理</w:t>
            </w:r>
          </w:p>
        </w:tc>
        <w:tc>
          <w:tcPr>
            <w:tcW w:w="5247" w:type="dxa"/>
            <w:noWrap w:val="0"/>
            <w:vAlign w:val="top"/>
          </w:tcPr>
          <w:p w14:paraId="1C9262D7">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按医院排污许可证规定要求开展相应频次的台帐记录填写及管理存档工作。</w:t>
            </w:r>
          </w:p>
        </w:tc>
      </w:tr>
      <w:tr w14:paraId="25273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269F190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9</w:t>
            </w:r>
          </w:p>
        </w:tc>
        <w:tc>
          <w:tcPr>
            <w:tcW w:w="2262" w:type="dxa"/>
            <w:noWrap w:val="0"/>
            <w:vAlign w:val="top"/>
          </w:tcPr>
          <w:p w14:paraId="6A923A5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机场路院区、广园院区排水证</w:t>
            </w:r>
          </w:p>
        </w:tc>
        <w:tc>
          <w:tcPr>
            <w:tcW w:w="5247" w:type="dxa"/>
            <w:noWrap w:val="0"/>
            <w:vAlign w:val="top"/>
          </w:tcPr>
          <w:p w14:paraId="655695C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协助医院办理医院排水许可证。自合同签订之日起30个工作日内取得两个院区有效的医院排水许可证原件</w:t>
            </w:r>
            <w:r>
              <w:rPr>
                <w:rFonts w:hint="eastAsia" w:asciiTheme="minorEastAsia" w:hAnsiTheme="minorEastAsia" w:cstheme="minorEastAsia"/>
                <w:sz w:val="28"/>
                <w:szCs w:val="28"/>
                <w:vertAlign w:val="baseline"/>
                <w:lang w:val="en-US" w:eastAsia="zh-CN"/>
                <w14:ligatures w14:val="none"/>
              </w:rPr>
              <w:t>。</w:t>
            </w:r>
            <w:r>
              <w:rPr>
                <w:rFonts w:hint="eastAsia" w:asciiTheme="minorEastAsia" w:hAnsiTheme="minorEastAsia" w:eastAsiaTheme="minorEastAsia" w:cstheme="minorEastAsia"/>
                <w:sz w:val="28"/>
                <w:szCs w:val="28"/>
                <w:vertAlign w:val="baseline"/>
                <w:lang w:val="en-US" w:eastAsia="zh-CN"/>
                <w14:ligatures w14:val="none"/>
              </w:rPr>
              <w:t>（提供承诺函，格式自拟）</w:t>
            </w:r>
          </w:p>
        </w:tc>
      </w:tr>
      <w:tr w14:paraId="6C18F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dxa"/>
            <w:noWrap w:val="0"/>
            <w:vAlign w:val="top"/>
          </w:tcPr>
          <w:p w14:paraId="7739755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10</w:t>
            </w:r>
          </w:p>
        </w:tc>
        <w:tc>
          <w:tcPr>
            <w:tcW w:w="2262" w:type="dxa"/>
            <w:noWrap w:val="0"/>
            <w:vAlign w:val="top"/>
          </w:tcPr>
          <w:p w14:paraId="6C59430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机场路院区企业事业单位突发环境事件应急预案备案表</w:t>
            </w:r>
          </w:p>
        </w:tc>
        <w:tc>
          <w:tcPr>
            <w:tcW w:w="5247" w:type="dxa"/>
            <w:noWrap w:val="0"/>
            <w:vAlign w:val="top"/>
          </w:tcPr>
          <w:p w14:paraId="4ACF48D2">
            <w:pPr>
              <w:keepNext w:val="0"/>
              <w:keepLines w:val="0"/>
              <w:pageBreakBefore w:val="0"/>
              <w:widowControl w:val="0"/>
              <w:numPr>
                <w:ilvl w:val="0"/>
                <w:numId w:val="0"/>
              </w:numPr>
              <w:tabs>
                <w:tab w:val="center" w:pos="2515"/>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vertAlign w:val="baseline"/>
                <w:lang w:val="en-US" w:eastAsia="zh-CN"/>
                <w14:ligatures w14:val="none"/>
              </w:rPr>
            </w:pPr>
            <w:r>
              <w:rPr>
                <w:rFonts w:hint="eastAsia" w:asciiTheme="minorEastAsia" w:hAnsiTheme="minorEastAsia" w:eastAsiaTheme="minorEastAsia" w:cstheme="minorEastAsia"/>
                <w:sz w:val="28"/>
                <w:szCs w:val="28"/>
                <w:vertAlign w:val="baseline"/>
                <w:lang w:val="en-US" w:eastAsia="zh-CN"/>
                <w14:ligatures w14:val="none"/>
              </w:rPr>
              <w:t>协助医院完成编制</w:t>
            </w:r>
            <w:r>
              <w:rPr>
                <w:rFonts w:hint="eastAsia" w:asciiTheme="minorEastAsia" w:hAnsiTheme="minorEastAsia" w:eastAsiaTheme="minorEastAsia" w:cstheme="minorEastAsia"/>
                <w:sz w:val="28"/>
                <w:szCs w:val="28"/>
                <w:vertAlign w:val="baseline"/>
                <w:lang w:val="en-US" w:eastAsia="zh-CN"/>
                <w14:ligatures w14:val="none"/>
              </w:rPr>
              <w:tab/>
            </w:r>
            <w:r>
              <w:rPr>
                <w:rFonts w:hint="eastAsia" w:asciiTheme="minorEastAsia" w:hAnsiTheme="minorEastAsia" w:eastAsiaTheme="minorEastAsia" w:cstheme="minorEastAsia"/>
                <w:sz w:val="28"/>
                <w:szCs w:val="28"/>
                <w:vertAlign w:val="baseline"/>
                <w:lang w:val="en-US" w:eastAsia="zh-CN"/>
                <w14:ligatures w14:val="none"/>
              </w:rPr>
              <w:t>企业事业单位突发环境事件应急及提交备案的工作。自合同签订之日起30个工作日内与污染物排放管理方案同步完成取得备案回执</w:t>
            </w:r>
            <w:r>
              <w:rPr>
                <w:rFonts w:hint="eastAsia" w:asciiTheme="minorEastAsia" w:hAnsiTheme="minorEastAsia" w:cstheme="minorEastAsia"/>
                <w:sz w:val="28"/>
                <w:szCs w:val="28"/>
                <w:vertAlign w:val="baseline"/>
                <w:lang w:val="en-US" w:eastAsia="zh-CN"/>
                <w14:ligatures w14:val="none"/>
              </w:rPr>
              <w:t>。</w:t>
            </w:r>
          </w:p>
        </w:tc>
      </w:tr>
    </w:tbl>
    <w:p w14:paraId="77C56F97">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服务要求</w:t>
      </w:r>
    </w:p>
    <w:p w14:paraId="064CA01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1）服务商应对污水处理设施的状况及性能建立定期检修保养制度，对各项设施的图纸资料进行收集、归类和整理，完善公用设施信息化管理系统，保持水处理设施处于良好使用状态，做好各类台账的收集、归类和整理并将设施运行情况等情况定期报告给采购人。</w:t>
      </w:r>
    </w:p>
    <w:p w14:paraId="0CE080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（2）服务商在日常管理中，应充分考虑环境影响，维护生态环境。</w:t>
      </w:r>
    </w:p>
    <w:p w14:paraId="6A142F6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（3）服务商应建立完善安全生产制度。</w:t>
      </w:r>
    </w:p>
    <w:p w14:paraId="742FB0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（4）制定污水处理站所有设备的运行、操作、保养、维修规程，按照规定的工况和运转规律，正确地操作和维修保养，使设备处于良好的技术状态。</w:t>
      </w:r>
    </w:p>
    <w:p w14:paraId="65721C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另因机械设备在长时期运行过程中，因摩擦、高温、潮湿和各种化学效应的作用，不可避免地造成零部件的磨损、配合失调、技术状态逐渐恶化、作业效果逐渐下降。服务公司必须准确、及时、快速、高质量地拆修，以使设备恢复性能，处于良好的工作状态。</w:t>
      </w:r>
    </w:p>
    <w:p w14:paraId="5B525E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（5）服务商应建立健全水质检测和检验制度，按照国家或行业规定的检测项目、检测频次和有关标准、方法定期检测污水处理站进水和出水等项目，做好各项检测分析资料和水质报告的汇总、归档。</w:t>
      </w:r>
    </w:p>
    <w:p w14:paraId="35AB31B8">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服务期</w:t>
      </w:r>
    </w:p>
    <w:p w14:paraId="362C84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中标后服务期为1年，具体起止日期以采购合同为准。</w:t>
      </w:r>
    </w:p>
    <w:p w14:paraId="56D9870F">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其它服务要求</w:t>
      </w:r>
    </w:p>
    <w:p w14:paraId="4DD48D4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服务商需提供近3年内的医院污水处理站管理服务项目的业绩证明，以及主管项目人员需持有相应的污/废水处理工证。</w:t>
      </w:r>
    </w:p>
    <w:p w14:paraId="3C3F15AD">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项目服务地点及范围</w:t>
      </w:r>
    </w:p>
    <w:p w14:paraId="1CD1CCD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服务地点为广州市白云区机场路1128号及越秀区广园西路344号院内的广州市白云区妇幼保健院污水处理站，从污水处理站格栅进水口至污水处理站总出水口之间的范围。</w:t>
      </w:r>
    </w:p>
    <w:p w14:paraId="6A096CF0">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合同签订</w:t>
      </w:r>
    </w:p>
    <w:p w14:paraId="00AC68C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具体委托管理合同由中标服务商与采购人协商签订。</w:t>
      </w:r>
    </w:p>
    <w:p w14:paraId="23EDB172">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outlineLvl w:val="1"/>
        <w:rPr>
          <w:rFonts w:hint="eastAsia" w:asciiTheme="minorEastAsia" w:hAnsiTheme="minorEastAsia" w:eastAsiaTheme="minorEastAsia" w:cstheme="minorEastAsia"/>
          <w:b/>
          <w:bCs/>
          <w:sz w:val="30"/>
          <w:szCs w:val="30"/>
          <w:lang w:val="en-US" w:eastAsia="zh-CN"/>
        </w:rPr>
      </w:pPr>
      <w:r>
        <w:rPr>
          <w:rFonts w:hint="eastAsia" w:asciiTheme="minorEastAsia" w:hAnsiTheme="minorEastAsia" w:eastAsiaTheme="minorEastAsia" w:cstheme="minorEastAsia"/>
          <w:b/>
          <w:bCs/>
          <w:sz w:val="30"/>
          <w:szCs w:val="30"/>
          <w:lang w:val="en-US" w:eastAsia="zh-CN"/>
        </w:rPr>
        <w:t>项目交接时间</w:t>
      </w:r>
    </w:p>
    <w:p w14:paraId="7A6B71F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确定中标日后15个工作日内进行合同签订，合同签订后的5个工作日内进行项目管理交接。</w:t>
      </w:r>
    </w:p>
    <w:p w14:paraId="1CD67EDA">
      <w:pPr>
        <w:jc w:val="right"/>
        <w:rPr>
          <w:color w:val="auto"/>
        </w:rPr>
      </w:pPr>
    </w:p>
    <w:p w14:paraId="58F0C3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righ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广州医科大学附属第三医院白云分院</w:t>
      </w:r>
    </w:p>
    <w:p w14:paraId="3516120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right"/>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(广州市白云区妇幼保健院）</w:t>
      </w:r>
    </w:p>
    <w:p w14:paraId="5B72ACB4">
      <w:pPr>
        <w:rPr>
          <w:rFonts w:hint="eastAsia" w:asciiTheme="minorEastAsia" w:hAnsiTheme="minorEastAsia" w:eastAsiaTheme="minorEastAsia" w:cstheme="minorEastAsia"/>
          <w:b/>
          <w:bCs/>
          <w:color w:val="auto"/>
          <w:kern w:val="0"/>
          <w:sz w:val="24"/>
          <w:szCs w:val="24"/>
          <w:lang w:val="en-US" w:eastAsia="zh-CN" w:bidi="ar-SA"/>
        </w:rPr>
      </w:pPr>
      <w:r>
        <w:rPr>
          <w:rFonts w:hint="eastAsia" w:asciiTheme="minorEastAsia" w:hAnsiTheme="minorEastAsia" w:eastAsiaTheme="minorEastAsia" w:cstheme="minorEastAsia"/>
          <w:b/>
          <w:bCs/>
          <w:color w:val="auto"/>
          <w:kern w:val="0"/>
          <w:sz w:val="24"/>
          <w:szCs w:val="24"/>
          <w:lang w:val="en-US" w:eastAsia="zh-CN" w:bidi="ar-SA"/>
        </w:rPr>
        <w:br w:type="page"/>
      </w:r>
    </w:p>
    <w:p w14:paraId="360882EC">
      <w:pPr>
        <w:rPr>
          <w:rFonts w:hint="eastAsia" w:asciiTheme="minorEastAsia" w:hAnsiTheme="minorEastAsia" w:eastAsiaTheme="minorEastAsia" w:cstheme="minorEastAsia"/>
          <w:b/>
          <w:bCs/>
          <w:color w:val="auto"/>
          <w:kern w:val="0"/>
          <w:sz w:val="24"/>
          <w:szCs w:val="24"/>
          <w:lang w:val="en-US" w:eastAsia="zh-CN" w:bidi="ar-SA"/>
        </w:rPr>
      </w:pPr>
      <w:r>
        <w:rPr>
          <w:rFonts w:hint="eastAsia" w:asciiTheme="minorEastAsia" w:hAnsiTheme="minorEastAsia" w:eastAsiaTheme="minorEastAsia" w:cstheme="minorEastAsia"/>
          <w:b/>
          <w:bCs/>
          <w:color w:val="auto"/>
          <w:kern w:val="0"/>
          <w:sz w:val="24"/>
          <w:szCs w:val="24"/>
          <w:lang w:val="en-US" w:eastAsia="zh-CN" w:bidi="ar-SA"/>
        </w:rPr>
        <w:t>附件1</w:t>
      </w:r>
    </w:p>
    <w:p w14:paraId="5109F31A">
      <w:pPr>
        <w:jc w:val="center"/>
        <w:rPr>
          <w:rFonts w:hint="eastAsia" w:asciiTheme="minorEastAsia" w:hAnsiTheme="minorEastAsia" w:eastAsiaTheme="minorEastAsia" w:cstheme="minorEastAsia"/>
          <w:b/>
          <w:bCs/>
          <w:color w:val="auto"/>
          <w:kern w:val="0"/>
          <w:sz w:val="24"/>
          <w:szCs w:val="24"/>
          <w:lang w:val="en-US" w:eastAsia="zh-CN" w:bidi="ar-SA"/>
        </w:rPr>
      </w:pPr>
    </w:p>
    <w:p w14:paraId="4C17C60E">
      <w:pPr>
        <w:jc w:val="center"/>
        <w:rPr>
          <w:rFonts w:hint="eastAsia" w:asciiTheme="minorEastAsia" w:hAnsiTheme="minorEastAsia" w:eastAsiaTheme="minorEastAsia" w:cstheme="minorEastAsia"/>
          <w:b/>
          <w:bCs/>
          <w:color w:val="auto"/>
          <w:kern w:val="0"/>
          <w:sz w:val="24"/>
          <w:szCs w:val="24"/>
          <w:lang w:val="en-US" w:eastAsia="zh-CN" w:bidi="ar-SA"/>
        </w:rPr>
      </w:pPr>
    </w:p>
    <w:p w14:paraId="520ED3FC">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污水站运营服务月度考核表</w:t>
      </w:r>
    </w:p>
    <w:p w14:paraId="040328ED">
      <w:pPr>
        <w:rPr>
          <w:rFonts w:hint="eastAsia" w:asciiTheme="minorEastAsia" w:hAnsiTheme="minorEastAsia" w:eastAsiaTheme="minorEastAsia" w:cstheme="minorEastAsia"/>
          <w:b w:val="0"/>
          <w:bCs w:val="0"/>
          <w:color w:val="auto"/>
          <w:kern w:val="0"/>
          <w:sz w:val="24"/>
          <w:szCs w:val="24"/>
          <w:lang w:val="en-US" w:eastAsia="zh-CN" w:bidi="ar-SA"/>
        </w:rPr>
      </w:pPr>
      <w:r>
        <w:rPr>
          <w:rFonts w:hint="eastAsia" w:asciiTheme="minorEastAsia" w:hAnsiTheme="minorEastAsia" w:eastAsiaTheme="minorEastAsia" w:cstheme="minorEastAsia"/>
          <w:b w:val="0"/>
          <w:bCs w:val="0"/>
          <w:color w:val="auto"/>
          <w:kern w:val="0"/>
          <w:sz w:val="24"/>
          <w:szCs w:val="24"/>
          <w:lang w:val="en-US" w:eastAsia="zh-CN" w:bidi="ar-SA"/>
        </w:rPr>
        <w:t>考核周期： ____年____月____日 至 ____年____月____日</w:t>
      </w:r>
    </w:p>
    <w:p w14:paraId="2E917B06">
      <w:pPr>
        <w:rPr>
          <w:rFonts w:hint="eastAsia" w:asciiTheme="minorEastAsia" w:hAnsiTheme="minorEastAsia" w:eastAsiaTheme="minorEastAsia" w:cstheme="minorEastAsia"/>
          <w:b w:val="0"/>
          <w:bCs w:val="0"/>
          <w:color w:val="auto"/>
          <w:kern w:val="0"/>
          <w:sz w:val="24"/>
          <w:szCs w:val="24"/>
          <w:lang w:val="en-US" w:eastAsia="zh-CN" w:bidi="ar-SA"/>
        </w:rPr>
      </w:pPr>
      <w:r>
        <w:rPr>
          <w:rFonts w:hint="eastAsia" w:asciiTheme="minorEastAsia" w:hAnsiTheme="minorEastAsia" w:eastAsiaTheme="minorEastAsia" w:cstheme="minorEastAsia"/>
          <w:b w:val="0"/>
          <w:bCs w:val="0"/>
          <w:color w:val="auto"/>
          <w:kern w:val="0"/>
          <w:sz w:val="24"/>
          <w:szCs w:val="24"/>
          <w:lang w:val="en-US" w:eastAsia="zh-CN" w:bidi="ar-SA"/>
        </w:rPr>
        <w:t>被考核公司： _________________________</w:t>
      </w:r>
    </w:p>
    <w:p w14:paraId="5767BE77">
      <w:pPr>
        <w:rPr>
          <w:rFonts w:hint="eastAsia" w:asciiTheme="minorEastAsia" w:hAnsiTheme="minorEastAsia" w:eastAsiaTheme="minorEastAsia" w:cstheme="minorEastAsia"/>
          <w:b w:val="0"/>
          <w:bCs w:val="0"/>
          <w:color w:val="auto"/>
          <w:kern w:val="0"/>
          <w:sz w:val="24"/>
          <w:szCs w:val="24"/>
          <w:lang w:val="en-US" w:eastAsia="zh-CN" w:bidi="ar-SA"/>
        </w:rPr>
      </w:pPr>
      <w:r>
        <w:rPr>
          <w:rFonts w:hint="eastAsia" w:asciiTheme="minorEastAsia" w:hAnsiTheme="minorEastAsia" w:eastAsiaTheme="minorEastAsia" w:cstheme="minorEastAsia"/>
          <w:b w:val="0"/>
          <w:bCs w:val="0"/>
          <w:color w:val="auto"/>
          <w:kern w:val="0"/>
          <w:sz w:val="24"/>
          <w:szCs w:val="24"/>
          <w:lang w:val="en-US" w:eastAsia="zh-CN" w:bidi="ar-SA"/>
        </w:rPr>
        <w:t>考核人/部门： _________________________</w:t>
      </w:r>
    </w:p>
    <w:tbl>
      <w:tblPr>
        <w:tblStyle w:val="13"/>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451"/>
        <w:gridCol w:w="952"/>
        <w:gridCol w:w="682"/>
        <w:gridCol w:w="4672"/>
        <w:gridCol w:w="2161"/>
      </w:tblGrid>
      <w:tr w14:paraId="2E76E64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944" w:hRule="atLeast"/>
        </w:trPr>
        <w:tc>
          <w:tcPr>
            <w:tcW w:w="451" w:type="dxa"/>
            <w:tcBorders>
              <w:top w:val="single" w:color="000000" w:sz="4" w:space="0"/>
              <w:left w:val="single" w:color="000000" w:sz="4" w:space="0"/>
              <w:bottom w:val="single" w:color="000000" w:sz="4" w:space="0"/>
              <w:right w:val="single" w:color="000000" w:sz="4" w:space="0"/>
            </w:tcBorders>
            <w:shd w:val="clear" w:color="auto" w:fill="D7D7D7"/>
            <w:tcMar>
              <w:top w:w="0" w:type="dxa"/>
              <w:left w:w="105" w:type="dxa"/>
              <w:bottom w:w="0" w:type="dxa"/>
              <w:right w:w="105" w:type="dxa"/>
            </w:tcMar>
            <w:vAlign w:val="top"/>
          </w:tcPr>
          <w:p w14:paraId="4828F5D7">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项目</w:t>
            </w:r>
          </w:p>
        </w:tc>
        <w:tc>
          <w:tcPr>
            <w:tcW w:w="952" w:type="dxa"/>
            <w:tcBorders>
              <w:top w:val="single" w:color="000000" w:sz="4" w:space="0"/>
              <w:left w:val="single" w:color="000000" w:sz="4" w:space="0"/>
              <w:bottom w:val="single" w:color="000000" w:sz="4" w:space="0"/>
              <w:right w:val="single" w:color="000000" w:sz="4" w:space="0"/>
            </w:tcBorders>
            <w:shd w:val="clear" w:color="auto" w:fill="D7D7D7"/>
            <w:tcMar>
              <w:top w:w="0" w:type="dxa"/>
              <w:left w:w="105" w:type="dxa"/>
              <w:bottom w:w="0" w:type="dxa"/>
              <w:right w:w="105" w:type="dxa"/>
            </w:tcMar>
            <w:vAlign w:val="top"/>
          </w:tcPr>
          <w:p w14:paraId="7ED63363">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指标（分值）</w:t>
            </w:r>
          </w:p>
        </w:tc>
        <w:tc>
          <w:tcPr>
            <w:tcW w:w="682" w:type="dxa"/>
            <w:tcBorders>
              <w:top w:val="single" w:color="000000" w:sz="4" w:space="0"/>
              <w:left w:val="single" w:color="000000" w:sz="4" w:space="0"/>
              <w:bottom w:val="single" w:color="000000" w:sz="4" w:space="0"/>
              <w:right w:val="single" w:color="000000" w:sz="4" w:space="0"/>
            </w:tcBorders>
            <w:shd w:val="clear" w:color="auto" w:fill="D7D7D7"/>
            <w:tcMar>
              <w:top w:w="0" w:type="dxa"/>
              <w:left w:w="105" w:type="dxa"/>
              <w:bottom w:w="0" w:type="dxa"/>
              <w:right w:w="105" w:type="dxa"/>
            </w:tcMar>
            <w:vAlign w:val="top"/>
          </w:tcPr>
          <w:p w14:paraId="633FA8FA">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得分</w:t>
            </w:r>
          </w:p>
        </w:tc>
        <w:tc>
          <w:tcPr>
            <w:tcW w:w="4672" w:type="dxa"/>
            <w:tcBorders>
              <w:top w:val="single" w:color="000000" w:sz="4" w:space="0"/>
              <w:left w:val="single" w:color="000000" w:sz="4" w:space="0"/>
              <w:bottom w:val="single" w:color="000000" w:sz="4" w:space="0"/>
              <w:right w:val="single" w:color="000000" w:sz="4" w:space="0"/>
            </w:tcBorders>
            <w:shd w:val="clear" w:color="auto" w:fill="D7D7D7"/>
            <w:tcMar>
              <w:top w:w="0" w:type="dxa"/>
              <w:left w:w="105" w:type="dxa"/>
              <w:bottom w:w="0" w:type="dxa"/>
              <w:right w:w="105" w:type="dxa"/>
            </w:tcMar>
            <w:vAlign w:val="top"/>
          </w:tcPr>
          <w:p w14:paraId="5ABF8C27">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具体考评内容</w:t>
            </w:r>
          </w:p>
        </w:tc>
        <w:tc>
          <w:tcPr>
            <w:tcW w:w="2161" w:type="dxa"/>
            <w:tcBorders>
              <w:top w:val="single" w:color="000000" w:sz="4" w:space="0"/>
              <w:left w:val="single" w:color="000000" w:sz="4" w:space="0"/>
              <w:bottom w:val="single" w:color="000000" w:sz="4" w:space="0"/>
              <w:right w:val="single" w:color="000000" w:sz="4" w:space="0"/>
            </w:tcBorders>
            <w:shd w:val="clear" w:color="auto" w:fill="D7D7D7"/>
            <w:tcMar>
              <w:top w:w="0" w:type="dxa"/>
              <w:left w:w="105" w:type="dxa"/>
              <w:bottom w:w="0" w:type="dxa"/>
              <w:right w:w="105" w:type="dxa"/>
            </w:tcMar>
            <w:vAlign w:val="top"/>
          </w:tcPr>
          <w:p w14:paraId="4475B815">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备注</w:t>
            </w:r>
          </w:p>
        </w:tc>
      </w:tr>
      <w:tr w14:paraId="58BA21C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944" w:hRule="atLeast"/>
        </w:trPr>
        <w:tc>
          <w:tcPr>
            <w:tcW w:w="451" w:type="dxa"/>
            <w:vMerge w:val="restart"/>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5C51FA3">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污水站</w:t>
            </w:r>
          </w:p>
          <w:p w14:paraId="5FA75312">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运营服务</w:t>
            </w:r>
          </w:p>
        </w:tc>
        <w:tc>
          <w:tcPr>
            <w:tcW w:w="95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0B394DB">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员工形象（</w:t>
            </w:r>
            <w:r>
              <w:rPr>
                <w:rFonts w:hint="eastAsia" w:asciiTheme="minorEastAsia" w:hAnsiTheme="minorEastAsia" w:cstheme="minorEastAsia"/>
                <w:sz w:val="24"/>
                <w:szCs w:val="24"/>
                <w:lang w:val="en-US" w:eastAsia="zh-CN"/>
              </w:rPr>
              <w:t>10</w:t>
            </w:r>
            <w:r>
              <w:rPr>
                <w:rFonts w:hint="eastAsia" w:asciiTheme="minorEastAsia" w:hAnsiTheme="minorEastAsia" w:eastAsiaTheme="minorEastAsia" w:cstheme="minorEastAsia"/>
                <w:sz w:val="24"/>
                <w:szCs w:val="24"/>
              </w:rPr>
              <w:t>）</w:t>
            </w:r>
          </w:p>
        </w:tc>
        <w:tc>
          <w:tcPr>
            <w:tcW w:w="68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26E89B9">
            <w:pPr>
              <w:pStyle w:val="29"/>
              <w:jc w:val="center"/>
              <w:rPr>
                <w:rFonts w:hint="eastAsia" w:asciiTheme="minorEastAsia" w:hAnsiTheme="minorEastAsia" w:eastAsiaTheme="minorEastAsia" w:cstheme="minorEastAsia"/>
                <w:sz w:val="24"/>
                <w:szCs w:val="24"/>
              </w:rPr>
            </w:pPr>
          </w:p>
        </w:tc>
        <w:tc>
          <w:tcPr>
            <w:tcW w:w="46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079DAC5">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工作人员着工作装，衣着整洁，戴工牌</w:t>
            </w:r>
          </w:p>
        </w:tc>
        <w:tc>
          <w:tcPr>
            <w:tcW w:w="216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C6C73B1">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每发现一名员工形象未达到要求扣</w:t>
            </w:r>
            <w:r>
              <w:rPr>
                <w:rFonts w:hint="eastAsia" w:asciiTheme="minorEastAsia" w:hAnsiTheme="minorEastAsia" w:cstheme="minorEastAsia"/>
                <w:sz w:val="24"/>
                <w:szCs w:val="24"/>
                <w:lang w:val="en-US" w:eastAsia="zh-CN"/>
              </w:rPr>
              <w:t>1</w:t>
            </w:r>
            <w:r>
              <w:rPr>
                <w:rFonts w:hint="eastAsia" w:asciiTheme="minorEastAsia" w:hAnsiTheme="minorEastAsia" w:eastAsiaTheme="minorEastAsia" w:cstheme="minorEastAsia"/>
                <w:sz w:val="24"/>
                <w:szCs w:val="24"/>
              </w:rPr>
              <w:t>分，扣完为止。</w:t>
            </w:r>
          </w:p>
        </w:tc>
      </w:tr>
      <w:tr w14:paraId="097B469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51" w:type="dxa"/>
            <w:vMerge w:val="continue"/>
            <w:tcBorders>
              <w:top w:val="nil"/>
              <w:left w:val="single" w:color="000000" w:sz="4" w:space="0"/>
              <w:bottom w:val="single" w:color="000000" w:sz="4" w:space="0"/>
              <w:right w:val="single" w:color="000000" w:sz="4" w:space="0"/>
            </w:tcBorders>
          </w:tcPr>
          <w:p w14:paraId="6E1CE146">
            <w:pPr>
              <w:rPr>
                <w:rFonts w:hint="eastAsia" w:asciiTheme="minorEastAsia" w:hAnsiTheme="minorEastAsia" w:eastAsiaTheme="minorEastAsia" w:cstheme="minorEastAsia"/>
                <w:sz w:val="24"/>
                <w:szCs w:val="24"/>
              </w:rPr>
            </w:pPr>
          </w:p>
        </w:tc>
        <w:tc>
          <w:tcPr>
            <w:tcW w:w="95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EAA1546">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员工纪律（</w:t>
            </w:r>
            <w:r>
              <w:rPr>
                <w:rFonts w:hint="eastAsia" w:asciiTheme="minorEastAsia" w:hAnsiTheme="minorEastAsia" w:cstheme="minorEastAsia"/>
                <w:sz w:val="24"/>
                <w:szCs w:val="24"/>
                <w:lang w:val="en-US" w:eastAsia="zh-CN"/>
              </w:rPr>
              <w:t>6</w:t>
            </w:r>
            <w:r>
              <w:rPr>
                <w:rFonts w:hint="eastAsia" w:asciiTheme="minorEastAsia" w:hAnsiTheme="minorEastAsia" w:eastAsiaTheme="minorEastAsia" w:cstheme="minorEastAsia"/>
                <w:sz w:val="24"/>
                <w:szCs w:val="24"/>
              </w:rPr>
              <w:t>）</w:t>
            </w:r>
          </w:p>
        </w:tc>
        <w:tc>
          <w:tcPr>
            <w:tcW w:w="68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4E41FEA">
            <w:pPr>
              <w:pStyle w:val="29"/>
              <w:jc w:val="center"/>
              <w:rPr>
                <w:rFonts w:hint="eastAsia" w:asciiTheme="minorEastAsia" w:hAnsiTheme="minorEastAsia" w:eastAsiaTheme="minorEastAsia" w:cstheme="minorEastAsia"/>
                <w:sz w:val="24"/>
                <w:szCs w:val="24"/>
              </w:rPr>
            </w:pPr>
          </w:p>
        </w:tc>
        <w:tc>
          <w:tcPr>
            <w:tcW w:w="46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5EBEEC6">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8小时在岗，不相关人员未出现在污水站</w:t>
            </w:r>
          </w:p>
        </w:tc>
        <w:tc>
          <w:tcPr>
            <w:tcW w:w="216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0C1B295">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每发现1例不符合扣2分，扣完为止</w:t>
            </w:r>
          </w:p>
        </w:tc>
      </w:tr>
      <w:tr w14:paraId="4797419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924" w:hRule="atLeast"/>
        </w:trPr>
        <w:tc>
          <w:tcPr>
            <w:tcW w:w="451" w:type="dxa"/>
            <w:vMerge w:val="continue"/>
            <w:tcBorders>
              <w:top w:val="nil"/>
              <w:left w:val="single" w:color="000000" w:sz="4" w:space="0"/>
              <w:bottom w:val="single" w:color="000000" w:sz="4" w:space="0"/>
              <w:right w:val="single" w:color="000000" w:sz="4" w:space="0"/>
            </w:tcBorders>
          </w:tcPr>
          <w:p w14:paraId="38F337BF">
            <w:pPr>
              <w:rPr>
                <w:rFonts w:hint="eastAsia" w:asciiTheme="minorEastAsia" w:hAnsiTheme="minorEastAsia" w:eastAsiaTheme="minorEastAsia" w:cstheme="minorEastAsia"/>
                <w:sz w:val="24"/>
                <w:szCs w:val="24"/>
              </w:rPr>
            </w:pPr>
          </w:p>
        </w:tc>
        <w:tc>
          <w:tcPr>
            <w:tcW w:w="95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A74A0F5">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污水站全面维护保养工作（</w:t>
            </w:r>
            <w:r>
              <w:rPr>
                <w:rFonts w:hint="eastAsia" w:asciiTheme="minorEastAsia" w:hAnsiTheme="minorEastAsia" w:cstheme="minorEastAsia"/>
                <w:sz w:val="24"/>
                <w:szCs w:val="24"/>
                <w:lang w:val="en-US" w:eastAsia="zh-CN"/>
              </w:rPr>
              <w:t>34</w:t>
            </w:r>
            <w:r>
              <w:rPr>
                <w:rFonts w:hint="eastAsia" w:asciiTheme="minorEastAsia" w:hAnsiTheme="minorEastAsia" w:eastAsiaTheme="minorEastAsia" w:cstheme="minorEastAsia"/>
                <w:sz w:val="24"/>
                <w:szCs w:val="24"/>
              </w:rPr>
              <w:t>）</w:t>
            </w:r>
          </w:p>
        </w:tc>
        <w:tc>
          <w:tcPr>
            <w:tcW w:w="68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742FC63">
            <w:pPr>
              <w:pStyle w:val="29"/>
              <w:jc w:val="center"/>
              <w:rPr>
                <w:rFonts w:hint="eastAsia" w:asciiTheme="minorEastAsia" w:hAnsiTheme="minorEastAsia" w:eastAsiaTheme="minorEastAsia" w:cstheme="minorEastAsia"/>
                <w:sz w:val="24"/>
                <w:szCs w:val="24"/>
              </w:rPr>
            </w:pPr>
          </w:p>
        </w:tc>
        <w:tc>
          <w:tcPr>
            <w:tcW w:w="46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71FBB7D">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1.班前班后由操作人员认真检查设备，擦拭部位和加注润滑油，使设备保持整齐、清洁、润滑、安全。</w:t>
            </w:r>
          </w:p>
          <w:p w14:paraId="44C6C0E1">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2.格栅井、集水池及各类管道污泥、垃圾的及时清理。</w:t>
            </w:r>
          </w:p>
          <w:p w14:paraId="55E4F162">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3.设备仪器的运行、维修保养记录、水质监测记录、固体废弃物处理台账记录、污水排放记录、耗材的原始数据监测及收集、统计、整理，并记录登记造册。</w:t>
            </w:r>
          </w:p>
          <w:p w14:paraId="2655548C">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4.建立设备二级维护保养标识（包括本次保养时间、下次保养时间），且标识在有效期内。</w:t>
            </w:r>
          </w:p>
          <w:p w14:paraId="48231906">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5.设备维修：日常应急性设备故障，属于一般情况的，在2小时内完成修复；如果需外出采购，在36小时内完成修复；如果需外协加工，在48小时内完成修复。</w:t>
            </w:r>
          </w:p>
          <w:p w14:paraId="45D4B51C">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对一般的电气故障，如接触不良、开关按钮失灵等，在2小时内完成修复；中型的电气故障，如电机损坏等，在48小时内完成修复；大型的电气故障，做到在一周内完成修复。</w:t>
            </w:r>
          </w:p>
        </w:tc>
        <w:tc>
          <w:tcPr>
            <w:tcW w:w="216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7B012F3">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每发现1例不符合扣1分，扣完为止</w:t>
            </w:r>
          </w:p>
        </w:tc>
      </w:tr>
      <w:tr w14:paraId="3B27F12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878" w:hRule="atLeast"/>
        </w:trPr>
        <w:tc>
          <w:tcPr>
            <w:tcW w:w="451" w:type="dxa"/>
            <w:vMerge w:val="continue"/>
            <w:tcBorders>
              <w:top w:val="nil"/>
              <w:left w:val="single" w:color="000000" w:sz="4" w:space="0"/>
              <w:bottom w:val="single" w:color="000000" w:sz="4" w:space="0"/>
              <w:right w:val="single" w:color="000000" w:sz="4" w:space="0"/>
            </w:tcBorders>
          </w:tcPr>
          <w:p w14:paraId="32861A6A">
            <w:pPr>
              <w:rPr>
                <w:rFonts w:hint="eastAsia" w:asciiTheme="minorEastAsia" w:hAnsiTheme="minorEastAsia" w:eastAsiaTheme="minorEastAsia" w:cstheme="minorEastAsia"/>
                <w:sz w:val="24"/>
                <w:szCs w:val="24"/>
              </w:rPr>
            </w:pPr>
          </w:p>
        </w:tc>
        <w:tc>
          <w:tcPr>
            <w:tcW w:w="95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DA93869">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危化品管理（10）</w:t>
            </w:r>
          </w:p>
        </w:tc>
        <w:tc>
          <w:tcPr>
            <w:tcW w:w="68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3AA3EC8">
            <w:pPr>
              <w:pStyle w:val="29"/>
              <w:jc w:val="center"/>
              <w:rPr>
                <w:rFonts w:hint="eastAsia" w:asciiTheme="minorEastAsia" w:hAnsiTheme="minorEastAsia" w:eastAsiaTheme="minorEastAsia" w:cstheme="minorEastAsia"/>
                <w:sz w:val="24"/>
                <w:szCs w:val="24"/>
              </w:rPr>
            </w:pPr>
          </w:p>
        </w:tc>
        <w:tc>
          <w:tcPr>
            <w:tcW w:w="46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E64FE2F">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1.双人双锁；</w:t>
            </w:r>
          </w:p>
          <w:p w14:paraId="6A9235CB">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2.出入库双人签名；</w:t>
            </w:r>
          </w:p>
          <w:p w14:paraId="0CA74F3B">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3.每月规范填写《危险化学品使用情况表》；</w:t>
            </w:r>
          </w:p>
          <w:p w14:paraId="2F1430E2">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4.危化品数量准确；</w:t>
            </w:r>
          </w:p>
          <w:p w14:paraId="0757BE15">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5.危化品储存间通风情况良好；</w:t>
            </w:r>
          </w:p>
          <w:p w14:paraId="14A50426">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6.工作人员熟悉危化品的应急预案。</w:t>
            </w:r>
          </w:p>
        </w:tc>
        <w:tc>
          <w:tcPr>
            <w:tcW w:w="216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A4D9BF2">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每发现1例漏报或者误报扣1分，扣完为止</w:t>
            </w:r>
          </w:p>
        </w:tc>
      </w:tr>
      <w:tr w14:paraId="196A411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500" w:hRule="atLeast"/>
        </w:trPr>
        <w:tc>
          <w:tcPr>
            <w:tcW w:w="451" w:type="dxa"/>
            <w:vMerge w:val="continue"/>
            <w:tcBorders>
              <w:top w:val="nil"/>
              <w:left w:val="single" w:color="000000" w:sz="4" w:space="0"/>
              <w:bottom w:val="single" w:color="000000" w:sz="4" w:space="0"/>
              <w:right w:val="single" w:color="000000" w:sz="4" w:space="0"/>
            </w:tcBorders>
          </w:tcPr>
          <w:p w14:paraId="0A019271">
            <w:pPr>
              <w:rPr>
                <w:rFonts w:hint="eastAsia" w:asciiTheme="minorEastAsia" w:hAnsiTheme="minorEastAsia" w:eastAsiaTheme="minorEastAsia" w:cstheme="minorEastAsia"/>
                <w:sz w:val="24"/>
                <w:szCs w:val="24"/>
              </w:rPr>
            </w:pPr>
          </w:p>
        </w:tc>
        <w:tc>
          <w:tcPr>
            <w:tcW w:w="95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905DDE0">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水质监测（30）</w:t>
            </w:r>
          </w:p>
        </w:tc>
        <w:tc>
          <w:tcPr>
            <w:tcW w:w="68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7C81761">
            <w:pPr>
              <w:pStyle w:val="29"/>
              <w:jc w:val="center"/>
              <w:rPr>
                <w:rFonts w:hint="eastAsia" w:asciiTheme="minorEastAsia" w:hAnsiTheme="minorEastAsia" w:eastAsiaTheme="minorEastAsia" w:cstheme="minorEastAsia"/>
                <w:sz w:val="24"/>
                <w:szCs w:val="24"/>
              </w:rPr>
            </w:pPr>
          </w:p>
        </w:tc>
        <w:tc>
          <w:tcPr>
            <w:tcW w:w="46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BAF7AF1">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1.每日至少两次水质监测（pH、余氯），且在标准范围内。</w:t>
            </w:r>
          </w:p>
          <w:p w14:paraId="71C1181A">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2.每季度由有资质的公司进行水质监测，监测结果达标。</w:t>
            </w:r>
          </w:p>
          <w:p w14:paraId="43141592">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3.若上级环保部门抽检水质监测结果为不合格，则水质监测指标分值为0，且上级环保部门水质监测不合格所造成费用（含复检、罚款等费用）由污水站运营服务单位全额承担。</w:t>
            </w:r>
          </w:p>
        </w:tc>
        <w:tc>
          <w:tcPr>
            <w:tcW w:w="216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9E009C7">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每发现1例不符合扣5分，扣完为止</w:t>
            </w:r>
          </w:p>
        </w:tc>
      </w:tr>
      <w:tr w14:paraId="19FE49E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878" w:hRule="atLeast"/>
        </w:trPr>
        <w:tc>
          <w:tcPr>
            <w:tcW w:w="451" w:type="dxa"/>
            <w:vMerge w:val="continue"/>
            <w:tcBorders>
              <w:top w:val="nil"/>
              <w:left w:val="single" w:color="000000" w:sz="4" w:space="0"/>
              <w:bottom w:val="single" w:color="000000" w:sz="4" w:space="0"/>
              <w:right w:val="single" w:color="000000" w:sz="4" w:space="0"/>
            </w:tcBorders>
          </w:tcPr>
          <w:p w14:paraId="22A62865">
            <w:pPr>
              <w:rPr>
                <w:rFonts w:hint="eastAsia" w:asciiTheme="minorEastAsia" w:hAnsiTheme="minorEastAsia" w:eastAsiaTheme="minorEastAsia" w:cstheme="minorEastAsia"/>
                <w:sz w:val="24"/>
                <w:szCs w:val="24"/>
              </w:rPr>
            </w:pPr>
          </w:p>
        </w:tc>
        <w:tc>
          <w:tcPr>
            <w:tcW w:w="95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08220CD">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操作规范（</w:t>
            </w:r>
            <w:r>
              <w:rPr>
                <w:rFonts w:hint="eastAsia" w:asciiTheme="minorEastAsia" w:hAnsiTheme="minorEastAsia" w:cstheme="minorEastAsia"/>
                <w:sz w:val="24"/>
                <w:szCs w:val="24"/>
                <w:lang w:val="en-US" w:eastAsia="zh-CN"/>
              </w:rPr>
              <w:t>10</w:t>
            </w:r>
            <w:r>
              <w:rPr>
                <w:rFonts w:hint="eastAsia" w:asciiTheme="minorEastAsia" w:hAnsiTheme="minorEastAsia" w:eastAsiaTheme="minorEastAsia" w:cstheme="minorEastAsia"/>
                <w:sz w:val="24"/>
                <w:szCs w:val="24"/>
              </w:rPr>
              <w:t>）</w:t>
            </w:r>
          </w:p>
        </w:tc>
        <w:tc>
          <w:tcPr>
            <w:tcW w:w="68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439F399">
            <w:pPr>
              <w:pStyle w:val="29"/>
              <w:jc w:val="center"/>
              <w:rPr>
                <w:rFonts w:hint="eastAsia" w:asciiTheme="minorEastAsia" w:hAnsiTheme="minorEastAsia" w:eastAsiaTheme="minorEastAsia" w:cstheme="minorEastAsia"/>
                <w:sz w:val="24"/>
                <w:szCs w:val="24"/>
              </w:rPr>
            </w:pPr>
          </w:p>
        </w:tc>
        <w:tc>
          <w:tcPr>
            <w:tcW w:w="46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57F7BF8">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1.查看在岗人员的各设备设施的操作的规范性。</w:t>
            </w:r>
          </w:p>
          <w:p w14:paraId="1DBC93B9">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2.每年至少在医院组织一次应急演练（危化品、消防、设备故障，以及模拟重要用水用电区域的停水停电应急演练等），并做好记录及分析。</w:t>
            </w:r>
          </w:p>
          <w:p w14:paraId="6D19B990">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3.工作人员防护到位（劳保用品等）。</w:t>
            </w:r>
          </w:p>
        </w:tc>
        <w:tc>
          <w:tcPr>
            <w:tcW w:w="216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A72F09D">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每发现1例不符合扣1分，扣完为止</w:t>
            </w:r>
          </w:p>
        </w:tc>
      </w:tr>
      <w:tr w14:paraId="1D3F387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577" w:hRule="atLeast"/>
        </w:trPr>
        <w:tc>
          <w:tcPr>
            <w:tcW w:w="1403" w:type="dxa"/>
            <w:gridSpan w:val="2"/>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97FB7C4">
            <w:pPr>
              <w:pStyle w:val="29"/>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总计</w:t>
            </w:r>
          </w:p>
        </w:tc>
        <w:tc>
          <w:tcPr>
            <w:tcW w:w="68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CF45893">
            <w:pPr>
              <w:pStyle w:val="29"/>
              <w:jc w:val="center"/>
              <w:rPr>
                <w:rFonts w:hint="eastAsia" w:asciiTheme="minorEastAsia" w:hAnsiTheme="minorEastAsia" w:eastAsiaTheme="minorEastAsia" w:cstheme="minorEastAsia"/>
                <w:sz w:val="24"/>
                <w:szCs w:val="24"/>
              </w:rPr>
            </w:pPr>
          </w:p>
        </w:tc>
        <w:tc>
          <w:tcPr>
            <w:tcW w:w="6833" w:type="dxa"/>
            <w:gridSpan w:val="2"/>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4E7D577">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1.发生环保局水质监测不合格的，扣除当月服务费，并由维保公司负全责（运营公司已合理提出问题，且正在实施整改期间及突发自然灾害的两种情况除外）；</w:t>
            </w:r>
          </w:p>
          <w:p w14:paraId="763A7A2F">
            <w:pPr>
              <w:pStyle w:val="29"/>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2.每一单有效投诉视情节轻重扣分，至少扣1分，情节严重的，按医院相关管理制度执行。</w:t>
            </w:r>
          </w:p>
        </w:tc>
      </w:tr>
    </w:tbl>
    <w:p w14:paraId="2B48DA48">
      <w:pPr>
        <w:pStyle w:val="29"/>
        <w:keepNext w:val="0"/>
        <w:keepLines w:val="0"/>
        <w:pageBreakBefore w:val="0"/>
        <w:widowControl/>
        <w:kinsoku/>
        <w:wordWrap/>
        <w:overflowPunct/>
        <w:topLinePunct w:val="0"/>
        <w:autoSpaceDE/>
        <w:autoSpaceDN/>
        <w:bidi w:val="0"/>
        <w:adjustRightInd w:val="0"/>
        <w:snapToGrid/>
        <w:spacing w:line="240" w:lineRule="atLeast"/>
        <w:ind w:firstLine="422" w:firstLineChars="20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lang w:val="en-US" w:eastAsia="zh-CN"/>
        </w:rPr>
        <w:t>注：</w:t>
      </w:r>
      <w:r>
        <w:rPr>
          <w:rFonts w:hint="eastAsia" w:asciiTheme="minorEastAsia" w:hAnsiTheme="minorEastAsia" w:eastAsiaTheme="minorEastAsia" w:cstheme="minorEastAsia"/>
          <w:sz w:val="21"/>
          <w:szCs w:val="21"/>
        </w:rPr>
        <w:t>乙方接受甲方的监督和管理，甲方每月对污水站运营进行考核，对不规范运作和不按合同要求执行时，甲方有权要求乙方整改纠正。考核分值在90分（含）以上，甲方支付当月全额运营服务费，分值在80-89分扣罚当月运营费用的5%，70-79分扣罚当月运营费用的10%，60-69分（含）扣罚当月运营费用的20%，分值在60分以下扣罚当月运营费用的30%，分值低于90分的，按甲方要求进行整改，如连续三次拒不整改执行的，分值达不到90分（含）以上，甲方有权单方面解除合同关系。</w:t>
      </w:r>
    </w:p>
    <w:p w14:paraId="2F4238EB">
      <w:pPr>
        <w:keepNext w:val="0"/>
        <w:keepLines w:val="0"/>
        <w:widowControl w:val="0"/>
        <w:suppressLineNumbers w:val="0"/>
        <w:shd w:val="clear" w:fill="FFFFFF"/>
        <w:spacing w:before="274" w:beforeAutospacing="0" w:after="206" w:afterAutospacing="0" w:line="360" w:lineRule="auto"/>
        <w:ind w:left="0" w:right="0"/>
        <w:jc w:val="left"/>
        <w:rPr>
          <w:rFonts w:hint="eastAsia" w:asciiTheme="minorEastAsia" w:hAnsiTheme="minorEastAsia" w:eastAsiaTheme="minorEastAsia" w:cstheme="minorEastAsia"/>
          <w:i w:val="0"/>
          <w:iCs w:val="0"/>
          <w:color w:val="auto"/>
          <w:kern w:val="0"/>
          <w:sz w:val="24"/>
          <w:szCs w:val="24"/>
          <w:u w:val="none"/>
          <w:lang w:val="en-US" w:eastAsia="zh-CN" w:bidi="ar"/>
        </w:rPr>
      </w:pPr>
    </w:p>
    <w:p w14:paraId="3BD6AA1E">
      <w:pPr>
        <w:keepNext w:val="0"/>
        <w:keepLines w:val="0"/>
        <w:widowControl w:val="0"/>
        <w:suppressLineNumbers w:val="0"/>
        <w:shd w:val="clear" w:fill="FFFFFF"/>
        <w:spacing w:before="274" w:beforeAutospacing="0" w:after="206" w:afterAutospacing="0" w:line="360" w:lineRule="auto"/>
        <w:ind w:left="0" w:right="0"/>
        <w:jc w:val="right"/>
        <w:rPr>
          <w:rStyle w:val="27"/>
          <w:rFonts w:hint="eastAsia" w:asciiTheme="minorEastAsia" w:hAnsiTheme="minorEastAsia" w:eastAsiaTheme="minorEastAsia" w:cstheme="minorEastAsia"/>
          <w:color w:val="auto"/>
          <w:sz w:val="24"/>
          <w:szCs w:val="24"/>
          <w:lang w:val="en-US" w:eastAsia="zh-CN" w:bidi="ar"/>
        </w:rPr>
      </w:pPr>
      <w:r>
        <w:rPr>
          <w:rFonts w:hint="eastAsia" w:asciiTheme="minorEastAsia" w:hAnsiTheme="minorEastAsia" w:eastAsiaTheme="minorEastAsia" w:cstheme="minorEastAsia"/>
          <w:i w:val="0"/>
          <w:iCs w:val="0"/>
          <w:color w:val="auto"/>
          <w:kern w:val="0"/>
          <w:sz w:val="24"/>
          <w:szCs w:val="24"/>
          <w:u w:val="none"/>
          <w:lang w:val="en-US" w:eastAsia="zh-CN" w:bidi="ar"/>
        </w:rPr>
        <w:t>考核人签字：</w:t>
      </w:r>
      <w:r>
        <w:rPr>
          <w:rStyle w:val="27"/>
          <w:rFonts w:hint="eastAsia" w:asciiTheme="minorEastAsia" w:hAnsiTheme="minorEastAsia" w:eastAsiaTheme="minorEastAsia" w:cstheme="minorEastAsia"/>
          <w:color w:val="auto"/>
          <w:sz w:val="24"/>
          <w:szCs w:val="24"/>
          <w:lang w:val="en-US" w:eastAsia="zh-CN" w:bidi="ar"/>
        </w:rPr>
        <w:t xml:space="preserve"> _________________</w:t>
      </w:r>
    </w:p>
    <w:p w14:paraId="78B9245F">
      <w:pPr>
        <w:keepNext w:val="0"/>
        <w:keepLines w:val="0"/>
        <w:widowControl w:val="0"/>
        <w:suppressLineNumbers w:val="0"/>
        <w:shd w:val="clear" w:fill="FFFFFF"/>
        <w:spacing w:before="274" w:beforeAutospacing="0" w:after="206" w:afterAutospacing="0" w:line="360" w:lineRule="auto"/>
        <w:ind w:left="0" w:right="0"/>
        <w:jc w:val="right"/>
        <w:rPr>
          <w:rFonts w:hint="eastAsia"/>
          <w:kern w:val="0"/>
          <w:sz w:val="32"/>
          <w:szCs w:val="32"/>
          <w:lang w:val="en-US" w:eastAsia="zh-CN"/>
        </w:rPr>
      </w:pPr>
      <w:r>
        <w:rPr>
          <w:rFonts w:hint="eastAsia" w:asciiTheme="minorEastAsia" w:hAnsiTheme="minorEastAsia" w:eastAsiaTheme="minorEastAsia" w:cstheme="minorEastAsia"/>
          <w:i w:val="0"/>
          <w:iCs w:val="0"/>
          <w:color w:val="auto"/>
          <w:kern w:val="0"/>
          <w:sz w:val="24"/>
          <w:szCs w:val="24"/>
          <w:u w:val="none"/>
          <w:lang w:val="en-US" w:eastAsia="zh-CN" w:bidi="ar"/>
        </w:rPr>
        <w:t>日期：</w:t>
      </w:r>
      <w:r>
        <w:rPr>
          <w:rStyle w:val="27"/>
          <w:rFonts w:hint="eastAsia" w:asciiTheme="minorEastAsia" w:hAnsiTheme="minorEastAsia" w:eastAsiaTheme="minorEastAsia" w:cstheme="minorEastAsia"/>
          <w:color w:val="auto"/>
          <w:sz w:val="24"/>
          <w:szCs w:val="24"/>
          <w:lang w:val="en-US" w:eastAsia="zh-CN" w:bidi="ar"/>
        </w:rPr>
        <w:t xml:space="preserve"> _________________</w:t>
      </w:r>
    </w:p>
    <w:p w14:paraId="648AC698">
      <w:pPr>
        <w:pStyle w:val="2"/>
        <w:jc w:val="both"/>
        <w:rPr>
          <w:rFonts w:hint="eastAsia"/>
          <w:kern w:val="0"/>
          <w:sz w:val="32"/>
          <w:szCs w:val="32"/>
          <w:lang w:val="en-US" w:eastAsia="zh-CN"/>
        </w:rPr>
        <w:sectPr>
          <w:footerReference r:id="rId3" w:type="default"/>
          <w:footerReference r:id="rId4" w:type="even"/>
          <w:pgSz w:w="11906" w:h="16838"/>
          <w:pgMar w:top="2098" w:right="1474" w:bottom="1985" w:left="1588" w:header="851" w:footer="1474" w:gutter="0"/>
          <w:pgNumType w:fmt="numberInDash"/>
          <w:cols w:space="425" w:num="1"/>
          <w:docGrid w:type="lines" w:linePitch="312" w:charSpace="0"/>
        </w:sectPr>
      </w:pPr>
    </w:p>
    <w:p w14:paraId="31464740">
      <w:pPr>
        <w:rPr>
          <w:rFonts w:hint="default" w:asciiTheme="minorEastAsia" w:hAnsiTheme="minorEastAsia" w:eastAsiaTheme="minorEastAsia" w:cstheme="minorEastAsia"/>
          <w:b/>
          <w:bCs/>
          <w:color w:val="auto"/>
          <w:kern w:val="0"/>
          <w:sz w:val="24"/>
          <w:szCs w:val="24"/>
          <w:lang w:val="en-US" w:eastAsia="zh-CN" w:bidi="ar-SA"/>
        </w:rPr>
      </w:pPr>
      <w:r>
        <w:rPr>
          <w:rFonts w:hint="eastAsia" w:asciiTheme="minorEastAsia" w:hAnsiTheme="minorEastAsia" w:eastAsiaTheme="minorEastAsia" w:cstheme="minorEastAsia"/>
          <w:b/>
          <w:bCs/>
          <w:color w:val="auto"/>
          <w:kern w:val="0"/>
          <w:sz w:val="24"/>
          <w:szCs w:val="24"/>
          <w:lang w:val="en-US" w:eastAsia="zh-CN" w:bidi="ar-SA"/>
        </w:rPr>
        <w:t>附件</w:t>
      </w:r>
      <w:r>
        <w:rPr>
          <w:rFonts w:hint="eastAsia" w:asciiTheme="minorEastAsia" w:hAnsiTheme="minorEastAsia" w:cstheme="minorEastAsia"/>
          <w:b/>
          <w:bCs/>
          <w:color w:val="auto"/>
          <w:kern w:val="0"/>
          <w:sz w:val="24"/>
          <w:szCs w:val="24"/>
          <w:lang w:val="en-US" w:eastAsia="zh-CN" w:bidi="ar-SA"/>
        </w:rPr>
        <w:t>2</w:t>
      </w:r>
    </w:p>
    <w:p w14:paraId="48FF4573">
      <w:pPr>
        <w:bidi w:val="0"/>
        <w:jc w:val="center"/>
        <w:rPr>
          <w:rFonts w:hint="eastAsia"/>
          <w:lang w:val="en-US" w:eastAsia="zh-CN"/>
        </w:rPr>
      </w:pPr>
      <w:r>
        <w:rPr>
          <w:rFonts w:hint="eastAsia"/>
          <w:lang w:val="en-US" w:eastAsia="zh-CN"/>
        </w:rPr>
        <w:drawing>
          <wp:inline distT="0" distB="0" distL="114300" distR="114300">
            <wp:extent cx="4559935" cy="7828915"/>
            <wp:effectExtent l="0" t="0" r="12065" b="635"/>
            <wp:docPr id="1" name="图片 1" descr="医疗机构水污染物排放标准（表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医疗机构水污染物排放标准（表2）"/>
                    <pic:cNvPicPr>
                      <a:picLocks noChangeAspect="1"/>
                    </pic:cNvPicPr>
                  </pic:nvPicPr>
                  <pic:blipFill>
                    <a:blip r:embed="rId6"/>
                    <a:stretch>
                      <a:fillRect/>
                    </a:stretch>
                  </pic:blipFill>
                  <pic:spPr>
                    <a:xfrm>
                      <a:off x="0" y="0"/>
                      <a:ext cx="4559935" cy="7828915"/>
                    </a:xfrm>
                    <a:prstGeom prst="rect">
                      <a:avLst/>
                    </a:prstGeom>
                  </pic:spPr>
                </pic:pic>
              </a:graphicData>
            </a:graphic>
          </wp:inline>
        </w:drawing>
      </w:r>
    </w:p>
    <w:p w14:paraId="7DE5F828">
      <w:pPr>
        <w:bidi w:val="0"/>
        <w:rPr>
          <w:rFonts w:hint="eastAsia"/>
          <w:lang w:val="en-US" w:eastAsia="zh-CN"/>
        </w:rPr>
      </w:pPr>
    </w:p>
    <w:p w14:paraId="115EE730">
      <w:pPr>
        <w:numPr>
          <w:ilvl w:val="0"/>
          <w:numId w:val="0"/>
        </w:numPr>
        <w:jc w:val="center"/>
        <w:outlineLvl w:val="0"/>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调研诚信保证函</w:t>
      </w:r>
    </w:p>
    <w:p w14:paraId="7BE7580D">
      <w:pPr>
        <w:numPr>
          <w:ilvl w:val="0"/>
          <w:numId w:val="0"/>
        </w:numPr>
        <w:jc w:val="left"/>
        <w:rPr>
          <w:rFonts w:hint="eastAsia" w:ascii="宋体" w:hAnsi="宋体" w:eastAsia="宋体" w:cs="宋体"/>
          <w:b w:val="0"/>
          <w:bCs w:val="0"/>
          <w:sz w:val="28"/>
          <w:szCs w:val="28"/>
          <w:lang w:val="en-US" w:eastAsia="zh-CN"/>
        </w:rPr>
      </w:pPr>
    </w:p>
    <w:p w14:paraId="70B30ADD">
      <w:pPr>
        <w:numPr>
          <w:ilvl w:val="0"/>
          <w:numId w:val="0"/>
        </w:numPr>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广州医科大学附属第三医院白云分院：</w:t>
      </w:r>
    </w:p>
    <w:p w14:paraId="615FED3F">
      <w:pPr>
        <w:numPr>
          <w:ilvl w:val="0"/>
          <w:numId w:val="0"/>
        </w:numPr>
        <w:ind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我公司自愿参与贵单位的调研活动，并向贵单位保证如下：</w:t>
      </w:r>
    </w:p>
    <w:p w14:paraId="3C5C18DC">
      <w:pPr>
        <w:numPr>
          <w:ilvl w:val="0"/>
          <w:numId w:val="0"/>
        </w:numPr>
        <w:ind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1.我公司保证完全服从贵单位的调研流程与规定，我公司将积极配合贵单位的资质审查工作，且承诺毫无保留地向贵方提供资质审查一切所需的证明材料。</w:t>
      </w:r>
    </w:p>
    <w:p w14:paraId="17830497">
      <w:pPr>
        <w:numPr>
          <w:ilvl w:val="0"/>
          <w:numId w:val="0"/>
        </w:numPr>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 xml:space="preserve">    2.我公司承诺在本次调研活动中提供的一切文件，无论是原件还是复印件均为真实、合法、有效，绝无任何虚假、伪造和夸大的成份。如上述承诺与事实不符，我公司愿承担由此而产生的一切责任，并同意贵单位有权将我公司列入“供应商黑名单”及一年内禁止参加贵单位调研、遴选和相关采购项目，如造成贵单位损失的或涉及相关法律后果和法律责任的，我公司自愿承担相应的法律后果和法律责任，并赔偿贵单位的全部损失。</w:t>
      </w:r>
    </w:p>
    <w:p w14:paraId="470383A4">
      <w:pPr>
        <w:numPr>
          <w:ilvl w:val="0"/>
          <w:numId w:val="0"/>
        </w:numPr>
        <w:ind w:firstLine="560" w:firstLineChars="200"/>
        <w:jc w:val="left"/>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3.我公司保证所报名产品质量符合国家的相关规定要求，来源合法合规。</w:t>
      </w:r>
    </w:p>
    <w:p w14:paraId="5653C7D1">
      <w:pPr>
        <w:autoSpaceDE w:val="0"/>
        <w:autoSpaceDN w:val="0"/>
        <w:adjustRightInd w:val="0"/>
        <w:spacing w:line="380" w:lineRule="exact"/>
        <w:ind w:right="246"/>
        <w:rPr>
          <w:rFonts w:hint="eastAsia" w:ascii="宋体" w:hAnsi="宋体" w:eastAsia="宋体" w:cs="宋体"/>
          <w:color w:val="000000"/>
          <w:kern w:val="0"/>
          <w:sz w:val="28"/>
          <w:szCs w:val="28"/>
        </w:rPr>
      </w:pPr>
    </w:p>
    <w:p w14:paraId="31399043">
      <w:pPr>
        <w:autoSpaceDE w:val="0"/>
        <w:autoSpaceDN w:val="0"/>
        <w:adjustRightInd w:val="0"/>
        <w:spacing w:line="240" w:lineRule="auto"/>
        <w:ind w:left="0" w:leftChars="0" w:right="246" w:firstLine="638" w:firstLineChars="228"/>
        <w:rPr>
          <w:rFonts w:hint="eastAsia" w:ascii="宋体" w:hAnsi="宋体" w:eastAsia="宋体" w:cs="宋体"/>
          <w:color w:val="000000"/>
          <w:kern w:val="0"/>
          <w:sz w:val="28"/>
          <w:szCs w:val="28"/>
        </w:rPr>
      </w:pPr>
      <w:r>
        <w:rPr>
          <w:rFonts w:hint="eastAsia" w:ascii="宋体" w:hAnsi="宋体" w:eastAsia="宋体" w:cs="宋体"/>
          <w:color w:val="000000"/>
          <w:kern w:val="0"/>
          <w:sz w:val="28"/>
          <w:szCs w:val="28"/>
          <w:lang w:val="en-US" w:eastAsia="zh-CN"/>
        </w:rPr>
        <w:t>报名单位</w:t>
      </w:r>
      <w:r>
        <w:rPr>
          <w:rFonts w:hint="eastAsia" w:ascii="宋体" w:hAnsi="宋体" w:eastAsia="宋体" w:cs="宋体"/>
          <w:color w:val="000000"/>
          <w:kern w:val="0"/>
          <w:sz w:val="28"/>
          <w:szCs w:val="28"/>
          <w:lang w:eastAsia="zh-CN"/>
        </w:rPr>
        <w:t>名称（公章）</w:t>
      </w:r>
      <w:r>
        <w:rPr>
          <w:rFonts w:hint="eastAsia" w:ascii="宋体" w:hAnsi="宋体" w:eastAsia="宋体" w:cs="宋体"/>
          <w:color w:val="000000"/>
          <w:kern w:val="0"/>
          <w:sz w:val="28"/>
          <w:szCs w:val="28"/>
        </w:rPr>
        <w:t xml:space="preserve">：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   </w:t>
      </w:r>
    </w:p>
    <w:p w14:paraId="74F23415">
      <w:pPr>
        <w:autoSpaceDE w:val="0"/>
        <w:autoSpaceDN w:val="0"/>
        <w:adjustRightInd w:val="0"/>
        <w:spacing w:line="240" w:lineRule="auto"/>
        <w:ind w:left="0" w:leftChars="0" w:right="246" w:firstLine="638" w:firstLineChars="228"/>
        <w:rPr>
          <w:rFonts w:hint="eastAsia" w:ascii="宋体" w:hAnsi="宋体" w:eastAsia="宋体" w:cs="宋体"/>
        </w:rPr>
      </w:pPr>
      <w:r>
        <w:rPr>
          <w:rFonts w:hint="eastAsia" w:ascii="宋体" w:hAnsi="宋体" w:eastAsia="宋体" w:cs="宋体"/>
          <w:color w:val="000000"/>
          <w:kern w:val="0"/>
          <w:sz w:val="28"/>
          <w:szCs w:val="28"/>
        </w:rPr>
        <w:t>日期：</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年</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 xml:space="preserve">月 </w:t>
      </w:r>
      <w:r>
        <w:rPr>
          <w:rFonts w:hint="eastAsia" w:ascii="宋体" w:hAnsi="宋体" w:eastAsia="宋体" w:cs="宋体"/>
          <w:color w:val="000000"/>
          <w:kern w:val="0"/>
          <w:sz w:val="28"/>
          <w:szCs w:val="28"/>
          <w:lang w:val="en-US" w:eastAsia="zh-CN"/>
        </w:rPr>
        <w:t xml:space="preserve">   </w:t>
      </w:r>
      <w:r>
        <w:rPr>
          <w:rFonts w:hint="eastAsia" w:ascii="宋体" w:hAnsi="宋体" w:eastAsia="宋体" w:cs="宋体"/>
          <w:color w:val="000000"/>
          <w:kern w:val="0"/>
          <w:sz w:val="28"/>
          <w:szCs w:val="28"/>
        </w:rPr>
        <w:t>日</w:t>
      </w:r>
    </w:p>
    <w:p w14:paraId="473E10C0">
      <w:pPr>
        <w:rPr>
          <w:rFonts w:hint="eastAsia"/>
        </w:rPr>
      </w:pPr>
    </w:p>
    <w:p w14:paraId="7BB7597C">
      <w:pPr>
        <w:pStyle w:val="7"/>
        <w:rPr>
          <w:rFonts w:hint="eastAsia"/>
        </w:rPr>
      </w:pPr>
    </w:p>
    <w:p w14:paraId="5E552CF8">
      <w:pPr>
        <w:widowControl/>
        <w:spacing w:before="100" w:beforeAutospacing="1" w:after="100" w:afterAutospacing="1"/>
        <w:jc w:val="center"/>
        <w:rPr>
          <w:rFonts w:ascii="仿宋" w:hAnsi="仿宋" w:eastAsia="仿宋" w:cs="宋体"/>
          <w:b/>
          <w:bCs/>
          <w:kern w:val="0"/>
          <w:sz w:val="36"/>
          <w:szCs w:val="36"/>
        </w:rPr>
      </w:pPr>
    </w:p>
    <w:p w14:paraId="1B15175B">
      <w:pPr>
        <w:widowControl/>
        <w:spacing w:before="100" w:beforeAutospacing="1" w:after="100" w:afterAutospacing="1"/>
        <w:jc w:val="center"/>
        <w:rPr>
          <w:rFonts w:ascii="仿宋" w:hAnsi="仿宋" w:eastAsia="仿宋" w:cs="宋体"/>
          <w:b/>
          <w:bCs/>
          <w:kern w:val="0"/>
          <w:sz w:val="36"/>
          <w:szCs w:val="36"/>
        </w:rPr>
      </w:pPr>
    </w:p>
    <w:p w14:paraId="49962E3F">
      <w:pPr>
        <w:widowControl/>
        <w:spacing w:before="100" w:beforeAutospacing="1" w:after="100" w:afterAutospacing="1"/>
        <w:jc w:val="center"/>
        <w:outlineLvl w:val="0"/>
        <w:rPr>
          <w:rFonts w:ascii="仿宋" w:hAnsi="仿宋" w:eastAsia="仿宋" w:cs="宋体"/>
          <w:b/>
          <w:bCs/>
          <w:kern w:val="0"/>
          <w:sz w:val="52"/>
          <w:szCs w:val="52"/>
        </w:rPr>
      </w:pPr>
      <w:r>
        <w:rPr>
          <w:rFonts w:hint="eastAsia" w:ascii="仿宋" w:hAnsi="仿宋" w:eastAsia="仿宋" w:cs="宋体"/>
          <w:b/>
          <w:bCs/>
          <w:kern w:val="0"/>
          <w:sz w:val="52"/>
          <w:szCs w:val="52"/>
        </w:rPr>
        <w:t>采购需求调查反馈意见报告</w:t>
      </w:r>
    </w:p>
    <w:p w14:paraId="2FD11B13">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9D33EA3">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2640CE82">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53DBD629">
      <w:pPr>
        <w:pStyle w:val="4"/>
        <w:ind w:firstLine="0" w:firstLineChars="0"/>
        <w:rPr>
          <w:rFonts w:ascii="仿宋" w:hAnsi="仿宋" w:eastAsia="仿宋" w:cs="宋体"/>
          <w:kern w:val="0"/>
          <w:sz w:val="28"/>
          <w:szCs w:val="28"/>
        </w:rPr>
      </w:pPr>
    </w:p>
    <w:p w14:paraId="34A68AAA">
      <w:pPr>
        <w:pStyle w:val="4"/>
        <w:ind w:firstLine="0" w:firstLineChars="0"/>
        <w:rPr>
          <w:rFonts w:ascii="仿宋" w:hAnsi="仿宋" w:eastAsia="仿宋" w:cs="宋体"/>
          <w:kern w:val="0"/>
          <w:sz w:val="28"/>
          <w:szCs w:val="28"/>
        </w:rPr>
      </w:pPr>
    </w:p>
    <w:p w14:paraId="5F631DAA">
      <w:pPr>
        <w:pStyle w:val="4"/>
        <w:ind w:firstLine="0" w:firstLineChars="0"/>
        <w:rPr>
          <w:rFonts w:ascii="仿宋" w:hAnsi="仿宋" w:eastAsia="仿宋" w:cs="宋体"/>
          <w:kern w:val="0"/>
          <w:sz w:val="28"/>
          <w:szCs w:val="28"/>
        </w:rPr>
      </w:pPr>
    </w:p>
    <w:p w14:paraId="078D106B">
      <w:pPr>
        <w:pStyle w:val="4"/>
        <w:ind w:firstLine="0" w:firstLineChars="0"/>
        <w:rPr>
          <w:rFonts w:ascii="仿宋" w:hAnsi="仿宋" w:eastAsia="仿宋" w:cs="宋体"/>
          <w:kern w:val="0"/>
          <w:sz w:val="28"/>
          <w:szCs w:val="28"/>
        </w:rPr>
      </w:pPr>
    </w:p>
    <w:p w14:paraId="4CE32AE0">
      <w:pPr>
        <w:pStyle w:val="4"/>
        <w:ind w:left="1800" w:hanging="1800" w:hangingChars="500"/>
        <w:rPr>
          <w:rFonts w:hint="default" w:ascii="仿宋" w:hAnsi="仿宋" w:eastAsia="仿宋" w:cs="宋体"/>
          <w:kern w:val="0"/>
          <w:sz w:val="36"/>
          <w:szCs w:val="36"/>
          <w:lang w:val="en-US" w:eastAsia="zh-CN"/>
        </w:rPr>
      </w:pPr>
      <w:r>
        <w:rPr>
          <w:rFonts w:hint="eastAsia" w:ascii="仿宋" w:hAnsi="仿宋" w:eastAsia="仿宋" w:cs="宋体"/>
          <w:kern w:val="0"/>
          <w:sz w:val="36"/>
          <w:szCs w:val="36"/>
        </w:rPr>
        <w:t xml:space="preserve"> </w:t>
      </w:r>
      <w:r>
        <w:rPr>
          <w:rFonts w:hint="eastAsia" w:ascii="仿宋" w:hAnsi="仿宋" w:eastAsia="仿宋" w:cs="宋体"/>
          <w:kern w:val="0"/>
          <w:sz w:val="36"/>
          <w:szCs w:val="36"/>
          <w:lang w:val="en-US" w:eastAsia="zh-CN"/>
        </w:rPr>
        <w:t>项目名称：</w:t>
      </w:r>
      <w:r>
        <w:rPr>
          <w:rFonts w:hint="eastAsia" w:ascii="仿宋" w:hAnsi="仿宋" w:eastAsia="仿宋" w:cs="宋体"/>
          <w:kern w:val="0"/>
          <w:sz w:val="36"/>
          <w:szCs w:val="36"/>
          <w:u w:val="single"/>
          <w:lang w:val="en-US" w:eastAsia="zh-CN"/>
        </w:rPr>
        <w:t>广州医科大学附属第三医院白云分院（广州市白云区妇幼保健院）污染物排放管理服务采购需求</w:t>
      </w:r>
    </w:p>
    <w:p w14:paraId="5DD6F43B">
      <w:pPr>
        <w:pStyle w:val="4"/>
        <w:ind w:firstLine="0" w:firstLineChars="0"/>
        <w:rPr>
          <w:rFonts w:ascii="仿宋" w:hAnsi="仿宋" w:eastAsia="仿宋" w:cs="宋体"/>
          <w:kern w:val="0"/>
          <w:sz w:val="36"/>
          <w:szCs w:val="36"/>
          <w:u w:val="single"/>
        </w:rPr>
      </w:pPr>
      <w:r>
        <w:rPr>
          <w:rFonts w:hint="eastAsia" w:ascii="仿宋" w:hAnsi="仿宋" w:eastAsia="仿宋" w:cs="宋体"/>
          <w:kern w:val="0"/>
          <w:sz w:val="36"/>
          <w:szCs w:val="36"/>
        </w:rPr>
        <w:t>公司名称（盖章）：</w:t>
      </w:r>
      <w:r>
        <w:rPr>
          <w:rFonts w:hint="eastAsia" w:ascii="仿宋" w:hAnsi="仿宋" w:eastAsia="仿宋" w:cs="宋体"/>
          <w:kern w:val="0"/>
          <w:sz w:val="36"/>
          <w:szCs w:val="36"/>
          <w:u w:val="single"/>
        </w:rPr>
        <w:t xml:space="preserve"> </w:t>
      </w:r>
      <w:r>
        <w:rPr>
          <w:rFonts w:ascii="仿宋" w:hAnsi="仿宋" w:eastAsia="仿宋" w:cs="宋体"/>
          <w:kern w:val="0"/>
          <w:sz w:val="36"/>
          <w:szCs w:val="36"/>
          <w:u w:val="single"/>
        </w:rPr>
        <w:t xml:space="preserve">                    </w:t>
      </w:r>
    </w:p>
    <w:p w14:paraId="61747C5E">
      <w:pPr>
        <w:pStyle w:val="4"/>
        <w:ind w:firstLine="0" w:firstLineChars="0"/>
        <w:rPr>
          <w:rFonts w:hint="eastAsia" w:ascii="仿宋" w:hAnsi="仿宋" w:eastAsia="仿宋" w:cs="宋体"/>
          <w:kern w:val="0"/>
          <w:sz w:val="36"/>
          <w:szCs w:val="36"/>
          <w:lang w:eastAsia="zh-CN"/>
        </w:rPr>
      </w:pPr>
      <w:r>
        <w:rPr>
          <w:rFonts w:hint="eastAsia" w:ascii="仿宋" w:hAnsi="仿宋" w:eastAsia="仿宋" w:cs="宋体"/>
          <w:kern w:val="0"/>
          <w:sz w:val="36"/>
          <w:szCs w:val="36"/>
        </w:rPr>
        <w:t>采购人：</w:t>
      </w:r>
      <w:r>
        <w:rPr>
          <w:rFonts w:hint="eastAsia" w:ascii="仿宋" w:hAnsi="仿宋" w:eastAsia="仿宋" w:cs="宋体"/>
          <w:kern w:val="0"/>
          <w:sz w:val="36"/>
          <w:szCs w:val="36"/>
          <w:u w:val="single"/>
          <w:lang w:eastAsia="zh-CN"/>
        </w:rPr>
        <w:t>广州医科大学附属第三医院白云分院</w:t>
      </w:r>
    </w:p>
    <w:p w14:paraId="53736C3B">
      <w:pPr>
        <w:pStyle w:val="4"/>
        <w:ind w:firstLine="0" w:firstLineChars="0"/>
        <w:rPr>
          <w:rFonts w:hint="default" w:ascii="仿宋" w:hAnsi="仿宋" w:eastAsia="仿宋" w:cs="宋体"/>
          <w:kern w:val="0"/>
          <w:sz w:val="36"/>
          <w:szCs w:val="36"/>
          <w:u w:val="single"/>
          <w:lang w:val="en-US" w:eastAsia="zh-CN"/>
        </w:rPr>
      </w:pPr>
      <w:r>
        <w:rPr>
          <w:rFonts w:hint="eastAsia" w:ascii="仿宋" w:hAnsi="仿宋" w:eastAsia="仿宋" w:cs="宋体"/>
          <w:kern w:val="0"/>
          <w:sz w:val="36"/>
          <w:szCs w:val="36"/>
        </w:rPr>
        <w:t>调查组织单位：</w:t>
      </w:r>
      <w:r>
        <w:rPr>
          <w:rFonts w:hint="eastAsia" w:ascii="仿宋" w:hAnsi="仿宋" w:eastAsia="仿宋" w:cs="宋体"/>
          <w:kern w:val="0"/>
          <w:sz w:val="36"/>
          <w:szCs w:val="36"/>
          <w:u w:val="single"/>
          <w:lang w:val="en-US" w:eastAsia="zh-CN"/>
        </w:rPr>
        <w:t>广东广招招标采购有限公司</w:t>
      </w:r>
    </w:p>
    <w:p w14:paraId="752FAAA2">
      <w:pPr>
        <w:pStyle w:val="4"/>
        <w:ind w:firstLine="0" w:firstLineChars="0"/>
        <w:jc w:val="center"/>
        <w:rPr>
          <w:rFonts w:ascii="仿宋" w:hAnsi="仿宋" w:eastAsia="仿宋" w:cs="宋体"/>
          <w:kern w:val="0"/>
          <w:sz w:val="36"/>
          <w:szCs w:val="36"/>
        </w:rPr>
      </w:pPr>
      <w:r>
        <w:rPr>
          <w:rFonts w:hint="eastAsia" w:ascii="仿宋" w:hAnsi="仿宋" w:eastAsia="仿宋" w:cs="宋体"/>
          <w:kern w:val="0"/>
          <w:sz w:val="36"/>
          <w:szCs w:val="36"/>
          <w:lang w:eastAsia="zh-CN"/>
        </w:rPr>
        <w:t>2025</w:t>
      </w:r>
      <w:r>
        <w:rPr>
          <w:rFonts w:hint="eastAsia" w:ascii="仿宋" w:hAnsi="仿宋" w:eastAsia="仿宋" w:cs="宋体"/>
          <w:kern w:val="0"/>
          <w:sz w:val="36"/>
          <w:szCs w:val="36"/>
        </w:rPr>
        <w:t>年</w:t>
      </w:r>
      <w:r>
        <w:rPr>
          <w:rFonts w:hint="eastAsia" w:ascii="仿宋" w:hAnsi="仿宋" w:eastAsia="仿宋" w:cs="宋体"/>
          <w:kern w:val="0"/>
          <w:sz w:val="36"/>
          <w:szCs w:val="36"/>
          <w:lang w:val="en-US" w:eastAsia="zh-CN"/>
        </w:rPr>
        <w:t>12</w:t>
      </w:r>
      <w:r>
        <w:rPr>
          <w:rFonts w:hint="eastAsia" w:ascii="仿宋" w:hAnsi="仿宋" w:eastAsia="仿宋" w:cs="宋体"/>
          <w:kern w:val="0"/>
          <w:sz w:val="36"/>
          <w:szCs w:val="36"/>
        </w:rPr>
        <w:t>月</w:t>
      </w:r>
    </w:p>
    <w:p w14:paraId="19A082D9">
      <w:pPr>
        <w:pStyle w:val="4"/>
        <w:ind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69E575B2">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表1</w:t>
      </w:r>
    </w:p>
    <w:p w14:paraId="1FEED207">
      <w:pPr>
        <w:pStyle w:val="4"/>
        <w:ind w:firstLine="0" w:firstLineChars="0"/>
        <w:jc w:val="center"/>
        <w:outlineLvl w:val="1"/>
        <w:rPr>
          <w:rFonts w:ascii="仿宋" w:hAnsi="仿宋" w:eastAsia="仿宋" w:cs="宋体"/>
          <w:kern w:val="0"/>
          <w:sz w:val="28"/>
          <w:szCs w:val="28"/>
        </w:rPr>
      </w:pPr>
      <w:r>
        <w:rPr>
          <w:rFonts w:hint="eastAsia" w:ascii="仿宋" w:hAnsi="仿宋" w:eastAsia="仿宋" w:cs="宋体"/>
          <w:b/>
          <w:bCs/>
          <w:sz w:val="36"/>
          <w:szCs w:val="36"/>
        </w:rPr>
        <w:t>企业</w:t>
      </w:r>
      <w:r>
        <w:rPr>
          <w:rFonts w:hint="eastAsia" w:ascii="仿宋" w:hAnsi="仿宋" w:eastAsia="仿宋" w:cs="宋体"/>
          <w:b/>
          <w:bCs/>
          <w:sz w:val="36"/>
          <w:szCs w:val="36"/>
          <w:lang w:val="en-US" w:eastAsia="zh-CN"/>
        </w:rPr>
        <w:t>基本情况</w:t>
      </w:r>
      <w:r>
        <w:rPr>
          <w:rFonts w:hint="eastAsia" w:ascii="仿宋" w:hAnsi="仿宋" w:eastAsia="仿宋" w:cs="宋体"/>
          <w:b/>
          <w:bCs/>
          <w:color w:val="FF0000"/>
          <w:sz w:val="36"/>
          <w:szCs w:val="36"/>
          <w:lang w:val="en-US" w:eastAsia="zh-CN"/>
        </w:rPr>
        <w:t>（必填）</w:t>
      </w:r>
    </w:p>
    <w:p w14:paraId="7FB5EADB">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val="en-US" w:eastAsia="zh-CN"/>
        </w:rPr>
        <w:t>广东广招招标采购有限公司</w:t>
      </w:r>
    </w:p>
    <w:p w14:paraId="5B24FDE1">
      <w:pPr>
        <w:widowControl/>
        <w:spacing w:after="150" w:line="360" w:lineRule="auto"/>
        <w:ind w:firstLine="420"/>
        <w:jc w:val="left"/>
        <w:rPr>
          <w:rFonts w:ascii="仿宋" w:hAnsi="仿宋" w:eastAsia="仿宋" w:cs="宋体"/>
          <w:kern w:val="0"/>
          <w:sz w:val="28"/>
          <w:szCs w:val="28"/>
        </w:rPr>
      </w:pPr>
      <w:r>
        <w:rPr>
          <w:rFonts w:hint="eastAsia" w:ascii="仿宋" w:hAnsi="仿宋" w:eastAsia="仿宋" w:cs="宋体"/>
          <w:kern w:val="0"/>
          <w:sz w:val="28"/>
          <w:szCs w:val="28"/>
        </w:rPr>
        <w:t xml:space="preserve"> </w:t>
      </w:r>
      <w:r>
        <w:rPr>
          <w:rFonts w:ascii="仿宋" w:hAnsi="仿宋" w:eastAsia="仿宋" w:cs="宋体"/>
          <w:kern w:val="0"/>
          <w:sz w:val="28"/>
          <w:szCs w:val="28"/>
        </w:rPr>
        <w:t xml:space="preserve"> </w:t>
      </w:r>
      <w:r>
        <w:rPr>
          <w:rFonts w:hint="eastAsia" w:ascii="仿宋" w:hAnsi="仿宋" w:eastAsia="仿宋" w:cs="宋体"/>
          <w:kern w:val="0"/>
          <w:sz w:val="28"/>
          <w:szCs w:val="28"/>
        </w:rPr>
        <w:t>根据广州医科大学附属第三医院白云分院（广州市白云区妇幼保健院）</w:t>
      </w:r>
      <w:r>
        <w:rPr>
          <w:rFonts w:hint="eastAsia" w:ascii="仿宋" w:hAnsi="仿宋" w:eastAsia="仿宋" w:cs="宋体"/>
          <w:kern w:val="0"/>
          <w:sz w:val="28"/>
          <w:szCs w:val="28"/>
          <w:lang w:val="en-US" w:eastAsia="zh-CN"/>
        </w:rPr>
        <w:t>污染物排放管理服务采购</w:t>
      </w:r>
      <w:r>
        <w:rPr>
          <w:rFonts w:hint="eastAsia" w:ascii="仿宋" w:hAnsi="仿宋" w:eastAsia="仿宋" w:cs="宋体"/>
          <w:kern w:val="0"/>
          <w:sz w:val="28"/>
          <w:szCs w:val="28"/>
        </w:rPr>
        <w:t>需求调查内容，我公司现按要求提交反馈意见。</w:t>
      </w:r>
    </w:p>
    <w:tbl>
      <w:tblPr>
        <w:tblStyle w:val="13"/>
        <w:tblW w:w="5167" w:type="pct"/>
        <w:jc w:val="center"/>
        <w:tblLayout w:type="autofit"/>
        <w:tblCellMar>
          <w:top w:w="0" w:type="dxa"/>
          <w:left w:w="108" w:type="dxa"/>
          <w:bottom w:w="0" w:type="dxa"/>
          <w:right w:w="108" w:type="dxa"/>
        </w:tblCellMar>
      </w:tblPr>
      <w:tblGrid>
        <w:gridCol w:w="2049"/>
        <w:gridCol w:w="2321"/>
        <w:gridCol w:w="2508"/>
        <w:gridCol w:w="2485"/>
      </w:tblGrid>
      <w:tr w14:paraId="4EA38918">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4AB07A4D">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sz w:val="24"/>
              </w:rPr>
              <w:t>供应商名称</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1D3DF813">
            <w:pPr>
              <w:widowControl/>
              <w:spacing w:line="360" w:lineRule="auto"/>
              <w:jc w:val="center"/>
              <w:textAlignment w:val="center"/>
              <w:rPr>
                <w:rFonts w:hint="eastAsia" w:ascii="宋体" w:hAnsi="宋体" w:eastAsia="宋体" w:cs="宋体"/>
                <w:b w:val="0"/>
                <w:bCs w:val="0"/>
                <w:color w:val="000000"/>
                <w:kern w:val="0"/>
                <w:sz w:val="24"/>
                <w:lang w:bidi="ar"/>
              </w:rPr>
            </w:pPr>
          </w:p>
        </w:tc>
      </w:tr>
      <w:tr w14:paraId="148554E9">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noWrap w:val="0"/>
            <w:vAlign w:val="center"/>
          </w:tcPr>
          <w:p w14:paraId="12A041FC">
            <w:pPr>
              <w:widowControl/>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信用机构代码</w:t>
            </w:r>
          </w:p>
        </w:tc>
        <w:tc>
          <w:tcPr>
            <w:tcW w:w="3905" w:type="pct"/>
            <w:gridSpan w:val="3"/>
            <w:tcBorders>
              <w:top w:val="single" w:color="000000" w:sz="4" w:space="0"/>
              <w:left w:val="single" w:color="000000" w:sz="4" w:space="0"/>
              <w:bottom w:val="single" w:color="000000" w:sz="4" w:space="0"/>
              <w:right w:val="single" w:color="000000" w:sz="4" w:space="0"/>
            </w:tcBorders>
            <w:noWrap w:val="0"/>
            <w:vAlign w:val="center"/>
          </w:tcPr>
          <w:p w14:paraId="3C25D71C">
            <w:pPr>
              <w:widowControl/>
              <w:spacing w:line="360" w:lineRule="auto"/>
              <w:jc w:val="center"/>
              <w:textAlignment w:val="center"/>
              <w:rPr>
                <w:rFonts w:hint="eastAsia" w:ascii="宋体" w:hAnsi="宋体" w:eastAsia="宋体" w:cs="宋体"/>
                <w:b w:val="0"/>
                <w:bCs w:val="0"/>
                <w:color w:val="000000"/>
                <w:kern w:val="0"/>
                <w:sz w:val="24"/>
                <w:lang w:bidi="ar"/>
              </w:rPr>
            </w:pPr>
          </w:p>
        </w:tc>
      </w:tr>
      <w:tr w14:paraId="0C8767AB">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8F647E">
            <w:pPr>
              <w:widowControl/>
              <w:jc w:val="center"/>
              <w:textAlignment w:val="center"/>
              <w:rPr>
                <w:rFonts w:hint="default"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w:t>
            </w:r>
            <w:r>
              <w:rPr>
                <w:rFonts w:hint="eastAsia" w:ascii="宋体" w:hAnsi="宋体" w:cs="宋体"/>
                <w:b w:val="0"/>
                <w:bCs w:val="0"/>
                <w:sz w:val="24"/>
                <w:lang w:val="en-US" w:eastAsia="zh-CN"/>
              </w:rPr>
              <w:t>所属行业</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048E18">
            <w:pPr>
              <w:widowControl/>
              <w:jc w:val="center"/>
              <w:textAlignment w:val="center"/>
              <w:rPr>
                <w:rFonts w:hint="eastAsia" w:ascii="宋体" w:hAnsi="宋体" w:eastAsia="宋体" w:cs="宋体"/>
                <w:b w:val="0"/>
                <w:bCs w:val="0"/>
                <w:kern w:val="2"/>
                <w:sz w:val="24"/>
                <w:szCs w:val="21"/>
                <w:lang w:val="en-US" w:eastAsia="zh-CN" w:bidi="ar-SA"/>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E245DF">
            <w:pPr>
              <w:widowControl/>
              <w:jc w:val="center"/>
              <w:textAlignment w:val="center"/>
              <w:rPr>
                <w:rFonts w:hint="eastAsia" w:ascii="宋体" w:hAnsi="宋体" w:eastAsia="宋体" w:cs="宋体"/>
                <w:b w:val="0"/>
                <w:bCs w:val="0"/>
                <w:kern w:val="2"/>
                <w:sz w:val="32"/>
                <w:szCs w:val="21"/>
                <w:lang w:val="en-US" w:eastAsia="zh-CN" w:bidi="ar-SA"/>
                <w14:ligatures w14:val="none"/>
              </w:rPr>
            </w:pPr>
            <w:r>
              <w:rPr>
                <w:rFonts w:hint="eastAsia" w:ascii="宋体" w:hAnsi="宋体" w:eastAsia="宋体" w:cs="宋体"/>
                <w:b w:val="0"/>
                <w:bCs w:val="0"/>
                <w:sz w:val="24"/>
              </w:rPr>
              <w:t>供应商是否中小企业</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C5E87F">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大型企业</w:t>
            </w:r>
          </w:p>
          <w:p w14:paraId="7E30FF56">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中型企业</w:t>
            </w:r>
          </w:p>
          <w:p w14:paraId="5B3F2A36">
            <w:pPr>
              <w:widowControl/>
              <w:jc w:val="center"/>
              <w:textAlignment w:val="center"/>
              <w:rPr>
                <w:rFonts w:hint="eastAsia" w:ascii="宋体" w:hAnsi="宋体" w:eastAsia="宋体" w:cs="宋体"/>
                <w:b w:val="0"/>
                <w:bCs w:val="0"/>
                <w:color w:val="000000"/>
                <w:kern w:val="0"/>
                <w:sz w:val="24"/>
                <w:lang w:bidi="ar"/>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小型企业</w:t>
            </w:r>
          </w:p>
          <w:p w14:paraId="6B643E5C">
            <w:pPr>
              <w:widowControl/>
              <w:spacing w:line="360" w:lineRule="auto"/>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color w:val="000000"/>
                <w:kern w:val="0"/>
                <w:sz w:val="24"/>
                <w:lang w:bidi="ar"/>
              </w:rPr>
              <w:sym w:font="Wingdings 2" w:char="00A3"/>
            </w:r>
            <w:r>
              <w:rPr>
                <w:rFonts w:hint="eastAsia" w:ascii="宋体" w:hAnsi="宋体" w:eastAsia="宋体" w:cs="宋体"/>
                <w:b w:val="0"/>
                <w:bCs w:val="0"/>
                <w:color w:val="000000"/>
                <w:kern w:val="0"/>
                <w:sz w:val="24"/>
                <w:lang w:bidi="ar"/>
              </w:rPr>
              <w:t>微型企业</w:t>
            </w:r>
          </w:p>
        </w:tc>
      </w:tr>
      <w:tr w14:paraId="68740D63">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89E8D9">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供应商联系人</w:t>
            </w:r>
          </w:p>
        </w:tc>
        <w:tc>
          <w:tcPr>
            <w:tcW w:w="12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1CD5B4">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0DEDCA">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r>
              <w:rPr>
                <w:rFonts w:hint="eastAsia" w:ascii="宋体" w:hAnsi="宋体" w:eastAsia="宋体" w:cs="宋体"/>
                <w:b w:val="0"/>
                <w:bCs w:val="0"/>
                <w:sz w:val="24"/>
              </w:rPr>
              <w:t>联系人电话</w:t>
            </w:r>
          </w:p>
        </w:tc>
        <w:tc>
          <w:tcPr>
            <w:tcW w:w="132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55C4A2">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C2D3695">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9A9972">
            <w:pPr>
              <w:widowControl/>
              <w:jc w:val="center"/>
              <w:textAlignment w:val="center"/>
              <w:rPr>
                <w:rFonts w:hint="default" w:ascii="宋体" w:hAnsi="宋体" w:eastAsia="宋体" w:cs="宋体"/>
                <w:b w:val="0"/>
                <w:bCs w:val="0"/>
                <w:sz w:val="24"/>
                <w:lang w:val="en-US" w:eastAsia="zh-CN"/>
              </w:rPr>
            </w:pPr>
            <w:r>
              <w:rPr>
                <w:rFonts w:hint="eastAsia" w:ascii="宋体" w:hAnsi="宋体" w:cs="宋体"/>
                <w:b w:val="0"/>
                <w:bCs w:val="0"/>
                <w:sz w:val="24"/>
                <w:lang w:val="en-US" w:eastAsia="zh-CN"/>
              </w:rPr>
              <w:t>企业资质</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7760B3">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r>
      <w:tr w14:paraId="710A5A1D">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E13614">
            <w:pPr>
              <w:widowControl/>
              <w:jc w:val="center"/>
              <w:textAlignment w:val="center"/>
              <w:rPr>
                <w:rFonts w:hint="default" w:ascii="宋体" w:hAnsi="宋体" w:cs="宋体"/>
                <w:b w:val="0"/>
                <w:bCs w:val="0"/>
                <w:sz w:val="24"/>
                <w:lang w:val="en-US" w:eastAsia="zh-CN"/>
              </w:rPr>
            </w:pPr>
            <w:r>
              <w:rPr>
                <w:rFonts w:hint="eastAsia" w:ascii="宋体" w:hAnsi="宋体" w:cs="宋体"/>
                <w:b w:val="0"/>
                <w:bCs w:val="0"/>
                <w:sz w:val="24"/>
                <w:lang w:val="en-US" w:eastAsia="zh-CN"/>
              </w:rPr>
              <w:t>服务过的客户名单</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6FBB69">
            <w:pPr>
              <w:widowControl/>
              <w:jc w:val="center"/>
              <w:textAlignment w:val="center"/>
              <w:rPr>
                <w:rFonts w:hint="eastAsia" w:ascii="宋体" w:hAnsi="宋体" w:eastAsia="宋体" w:cs="宋体"/>
                <w:b w:val="0"/>
                <w:bCs w:val="0"/>
                <w:color w:val="000000"/>
                <w:kern w:val="0"/>
                <w:sz w:val="24"/>
                <w:szCs w:val="21"/>
                <w:lang w:val="en-US" w:eastAsia="zh-CN" w:bidi="ar"/>
                <w14:ligatures w14:val="none"/>
              </w:rPr>
            </w:pPr>
          </w:p>
        </w:tc>
      </w:tr>
    </w:tbl>
    <w:p w14:paraId="030C5A88">
      <w:pPr>
        <w:pStyle w:val="24"/>
        <w:bidi w:val="0"/>
        <w:rPr>
          <w:rFonts w:hint="eastAsia"/>
        </w:rPr>
      </w:pPr>
    </w:p>
    <w:p w14:paraId="505E3E79">
      <w:pPr>
        <w:pStyle w:val="24"/>
        <w:bidi w:val="0"/>
        <w:rPr>
          <w:rFonts w:ascii="仿宋" w:hAnsi="仿宋" w:eastAsia="仿宋"/>
          <w:kern w:val="0"/>
          <w:sz w:val="28"/>
          <w:szCs w:val="28"/>
        </w:rPr>
      </w:pPr>
      <w:r>
        <w:rPr>
          <w:rFonts w:hint="eastAsia"/>
          <w:color w:val="FF0000"/>
        </w:rPr>
        <w:t>后附企业营业执照</w:t>
      </w:r>
      <w:r>
        <w:rPr>
          <w:rFonts w:hint="eastAsia"/>
          <w:color w:val="FF0000"/>
          <w:lang w:eastAsia="zh-CN"/>
        </w:rPr>
        <w:t>、</w:t>
      </w:r>
      <w:r>
        <w:rPr>
          <w:rFonts w:hint="eastAsia"/>
          <w:color w:val="FF0000"/>
          <w:lang w:val="en-US" w:eastAsia="zh-CN"/>
        </w:rPr>
        <w:t>资质证书</w:t>
      </w:r>
      <w:r>
        <w:rPr>
          <w:rFonts w:hint="eastAsia" w:ascii="仿宋" w:hAnsi="仿宋" w:eastAsia="仿宋"/>
          <w:kern w:val="0"/>
          <w:sz w:val="28"/>
          <w:szCs w:val="28"/>
        </w:rPr>
        <w:t xml:space="preserve"> </w:t>
      </w:r>
    </w:p>
    <w:p w14:paraId="43C1E8A7">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E655773">
      <w:pPr>
        <w:widowControl/>
        <w:spacing w:after="150" w:line="360" w:lineRule="auto"/>
        <w:ind w:firstLine="420"/>
        <w:jc w:val="right"/>
        <w:rPr>
          <w:rFonts w:hint="eastAsia"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2A660DF3">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表2</w:t>
      </w:r>
    </w:p>
    <w:p w14:paraId="10718863">
      <w:pPr>
        <w:pStyle w:val="4"/>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相关产业发展情况</w:t>
      </w:r>
    </w:p>
    <w:p w14:paraId="1C94F86A">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val="en-US" w:eastAsia="zh-CN"/>
        </w:rPr>
        <w:t>广东广招招标采购有限公司</w:t>
      </w:r>
    </w:p>
    <w:p w14:paraId="22A5F848">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注：供应商应针对本项目提供相关产业发展情况说明，附件相关佐证材料（如有）。</w:t>
      </w:r>
    </w:p>
    <w:p w14:paraId="267D93D6">
      <w:pPr>
        <w:rPr>
          <w:rFonts w:ascii="仿宋" w:hAnsi="仿宋" w:eastAsia="仿宋"/>
          <w:sz w:val="32"/>
          <w:szCs w:val="32"/>
        </w:rPr>
      </w:pPr>
      <w:r>
        <w:rPr>
          <w:rFonts w:hint="eastAsia" w:ascii="仿宋" w:hAnsi="仿宋" w:eastAsia="仿宋"/>
          <w:sz w:val="32"/>
          <w:szCs w:val="32"/>
        </w:rPr>
        <w:t>1.现有产品的技术路线、工艺水平、技术水平或行业的发展历程、行业现状等：</w:t>
      </w:r>
    </w:p>
    <w:p w14:paraId="53E7CA9A">
      <w:pPr>
        <w:rPr>
          <w:sz w:val="32"/>
          <w:szCs w:val="32"/>
        </w:rPr>
      </w:pPr>
      <w:r>
        <w:rPr>
          <w:sz w:val="32"/>
          <w:szCs w:val="32"/>
        </w:rPr>
        <w:t xml:space="preserve"> </w:t>
      </w:r>
    </w:p>
    <w:p w14:paraId="42CDBFFE">
      <w:pPr>
        <w:rPr>
          <w:sz w:val="32"/>
          <w:szCs w:val="32"/>
        </w:rPr>
      </w:pPr>
      <w:r>
        <w:rPr>
          <w:sz w:val="32"/>
          <w:szCs w:val="32"/>
        </w:rPr>
        <w:t xml:space="preserve">  </w:t>
      </w:r>
    </w:p>
    <w:p w14:paraId="38C18AF4">
      <w:pPr>
        <w:rPr>
          <w:sz w:val="32"/>
          <w:szCs w:val="32"/>
        </w:rPr>
      </w:pPr>
      <w:r>
        <w:rPr>
          <w:sz w:val="32"/>
          <w:szCs w:val="32"/>
        </w:rPr>
        <w:t xml:space="preserve"> </w:t>
      </w:r>
    </w:p>
    <w:p w14:paraId="6C0423DF">
      <w:pPr>
        <w:rPr>
          <w:rFonts w:ascii="仿宋" w:hAnsi="仿宋" w:eastAsia="仿宋"/>
          <w:sz w:val="32"/>
          <w:szCs w:val="32"/>
        </w:rPr>
      </w:pPr>
      <w:r>
        <w:rPr>
          <w:rFonts w:hint="eastAsia" w:ascii="仿宋" w:hAnsi="仿宋" w:eastAsia="仿宋"/>
          <w:sz w:val="32"/>
          <w:szCs w:val="32"/>
        </w:rPr>
        <w:t>2.可能涉及的企业资质（如生产企业准入资格）、产品资质（如涉及到强制检验）、人员资质（如上岗证</w:t>
      </w:r>
      <w:r>
        <w:rPr>
          <w:rFonts w:hint="eastAsia" w:ascii="仿宋" w:hAnsi="仿宋" w:eastAsia="仿宋"/>
          <w:sz w:val="32"/>
          <w:szCs w:val="32"/>
          <w:lang w:eastAsia="zh-CN"/>
        </w:rPr>
        <w:t>、</w:t>
      </w:r>
      <w:r>
        <w:rPr>
          <w:rFonts w:hint="eastAsia" w:ascii="仿宋" w:hAnsi="仿宋" w:eastAsia="仿宋"/>
          <w:sz w:val="32"/>
          <w:szCs w:val="32"/>
          <w:lang w:val="en-US" w:eastAsia="zh-CN"/>
        </w:rPr>
        <w:t>资格证</w:t>
      </w:r>
      <w:r>
        <w:rPr>
          <w:rFonts w:hint="eastAsia" w:ascii="仿宋" w:hAnsi="仿宋" w:eastAsia="仿宋"/>
          <w:sz w:val="32"/>
          <w:szCs w:val="32"/>
        </w:rPr>
        <w:t>等证件）：</w:t>
      </w:r>
    </w:p>
    <w:p w14:paraId="687A0F8F">
      <w:pPr>
        <w:rPr>
          <w:sz w:val="32"/>
          <w:szCs w:val="32"/>
        </w:rPr>
      </w:pPr>
      <w:r>
        <w:rPr>
          <w:sz w:val="32"/>
          <w:szCs w:val="32"/>
        </w:rPr>
        <w:t xml:space="preserve">  </w:t>
      </w:r>
    </w:p>
    <w:p w14:paraId="267CC5F7">
      <w:pPr>
        <w:rPr>
          <w:sz w:val="32"/>
          <w:szCs w:val="32"/>
        </w:rPr>
      </w:pPr>
      <w:r>
        <w:rPr>
          <w:sz w:val="32"/>
          <w:szCs w:val="32"/>
        </w:rPr>
        <w:t xml:space="preserve"> </w:t>
      </w:r>
    </w:p>
    <w:p w14:paraId="0371B1D7">
      <w:pPr>
        <w:rPr>
          <w:rFonts w:ascii="仿宋" w:hAnsi="仿宋" w:eastAsia="仿宋"/>
          <w:sz w:val="32"/>
          <w:szCs w:val="32"/>
        </w:rPr>
      </w:pPr>
      <w:r>
        <w:rPr>
          <w:rFonts w:hint="eastAsia" w:ascii="仿宋" w:hAnsi="仿宋" w:eastAsia="仿宋"/>
          <w:sz w:val="32"/>
          <w:szCs w:val="32"/>
        </w:rPr>
        <w:t>3.涉及的相关标准（含国家标准）和规范：</w:t>
      </w:r>
    </w:p>
    <w:p w14:paraId="6AE6A701">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4A509D33">
      <w:pPr>
        <w:widowControl/>
        <w:spacing w:after="150" w:line="360" w:lineRule="auto"/>
        <w:ind w:firstLine="420"/>
        <w:jc w:val="right"/>
        <w:rPr>
          <w:rFonts w:ascii="仿宋" w:hAnsi="仿宋" w:eastAsia="仿宋"/>
          <w:kern w:val="0"/>
          <w:sz w:val="28"/>
          <w:szCs w:val="28"/>
        </w:rPr>
      </w:pPr>
      <w:r>
        <w:rPr>
          <w:rFonts w:hint="eastAsia" w:ascii="仿宋" w:hAnsi="仿宋" w:eastAsia="仿宋" w:cs="宋体"/>
          <w:kern w:val="0"/>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CCFFAD4">
      <w:pPr>
        <w:widowControl/>
        <w:spacing w:after="150" w:line="360" w:lineRule="auto"/>
        <w:ind w:firstLine="420"/>
        <w:jc w:val="right"/>
        <w:rPr>
          <w:rFonts w:hint="eastAsia"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318E0BA1">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758A31B3">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表3</w:t>
      </w:r>
    </w:p>
    <w:p w14:paraId="03E1EA19">
      <w:pPr>
        <w:pStyle w:val="4"/>
        <w:ind w:firstLine="0" w:firstLineChars="0"/>
        <w:jc w:val="center"/>
        <w:outlineLvl w:val="1"/>
        <w:rPr>
          <w:rFonts w:ascii="仿宋" w:hAnsi="仿宋" w:eastAsia="仿宋" w:cs="宋体"/>
          <w:b/>
          <w:bCs/>
          <w:kern w:val="0"/>
          <w:sz w:val="36"/>
          <w:szCs w:val="36"/>
        </w:rPr>
      </w:pPr>
      <w:r>
        <w:rPr>
          <w:rFonts w:hint="eastAsia" w:ascii="仿宋" w:hAnsi="仿宋" w:eastAsia="仿宋" w:cs="宋体"/>
          <w:b/>
          <w:bCs/>
          <w:sz w:val="36"/>
          <w:szCs w:val="36"/>
        </w:rPr>
        <w:t>市场供给情况</w:t>
      </w:r>
    </w:p>
    <w:p w14:paraId="7724786F">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eastAsia" w:ascii="仿宋" w:hAnsi="仿宋" w:eastAsia="仿宋" w:cs="宋体"/>
          <w:kern w:val="0"/>
          <w:sz w:val="28"/>
          <w:szCs w:val="28"/>
          <w:lang w:val="en-US" w:eastAsia="zh-CN"/>
        </w:rPr>
        <w:t>广东广招招标采购有限公司</w:t>
      </w:r>
    </w:p>
    <w:p w14:paraId="07C60DC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注：供应商应针对本项目提供市场供给情况说明，附件相关佐证材料（如有）。</w:t>
      </w:r>
    </w:p>
    <w:p w14:paraId="474278B6">
      <w:pPr>
        <w:rPr>
          <w:rFonts w:ascii="仿宋" w:hAnsi="仿宋" w:eastAsia="仿宋"/>
          <w:sz w:val="32"/>
          <w:szCs w:val="32"/>
        </w:rPr>
      </w:pPr>
      <w:r>
        <w:rPr>
          <w:rFonts w:hint="eastAsia" w:ascii="仿宋" w:hAnsi="仿宋" w:eastAsia="仿宋"/>
          <w:sz w:val="32"/>
          <w:szCs w:val="32"/>
        </w:rPr>
        <w:t>1.市场竞争程度：</w:t>
      </w:r>
    </w:p>
    <w:p w14:paraId="26F23F58">
      <w:pPr>
        <w:rPr>
          <w:sz w:val="32"/>
          <w:szCs w:val="32"/>
        </w:rPr>
      </w:pPr>
      <w:r>
        <w:rPr>
          <w:sz w:val="32"/>
          <w:szCs w:val="32"/>
        </w:rPr>
        <w:t xml:space="preserve"> </w:t>
      </w:r>
    </w:p>
    <w:p w14:paraId="356380E8">
      <w:pPr>
        <w:rPr>
          <w:sz w:val="32"/>
          <w:szCs w:val="32"/>
        </w:rPr>
      </w:pPr>
      <w:r>
        <w:rPr>
          <w:sz w:val="32"/>
          <w:szCs w:val="32"/>
        </w:rPr>
        <w:t xml:space="preserve"> </w:t>
      </w:r>
    </w:p>
    <w:p w14:paraId="07B2C87C">
      <w:pPr>
        <w:rPr>
          <w:sz w:val="32"/>
          <w:szCs w:val="32"/>
        </w:rPr>
      </w:pPr>
      <w:r>
        <w:rPr>
          <w:sz w:val="32"/>
          <w:szCs w:val="32"/>
        </w:rPr>
        <w:t xml:space="preserve"> </w:t>
      </w:r>
    </w:p>
    <w:p w14:paraId="1270BB55">
      <w:pPr>
        <w:rPr>
          <w:sz w:val="32"/>
          <w:szCs w:val="32"/>
        </w:rPr>
      </w:pPr>
      <w:r>
        <w:rPr>
          <w:sz w:val="32"/>
          <w:szCs w:val="32"/>
        </w:rPr>
        <w:t xml:space="preserve"> </w:t>
      </w:r>
    </w:p>
    <w:p w14:paraId="06F3ED04">
      <w:pPr>
        <w:rPr>
          <w:rFonts w:ascii="仿宋" w:hAnsi="仿宋" w:eastAsia="仿宋"/>
          <w:sz w:val="32"/>
          <w:szCs w:val="32"/>
        </w:rPr>
      </w:pPr>
      <w:r>
        <w:rPr>
          <w:rFonts w:hint="eastAsia" w:ascii="仿宋" w:hAnsi="仿宋" w:eastAsia="仿宋"/>
          <w:sz w:val="32"/>
          <w:szCs w:val="32"/>
        </w:rPr>
        <w:t>2.价格水平或价格构成：</w:t>
      </w:r>
    </w:p>
    <w:p w14:paraId="7C98C924">
      <w:pPr>
        <w:rPr>
          <w:sz w:val="32"/>
          <w:szCs w:val="32"/>
        </w:rPr>
      </w:pPr>
      <w:r>
        <w:rPr>
          <w:sz w:val="32"/>
          <w:szCs w:val="32"/>
        </w:rPr>
        <w:t xml:space="preserve"> </w:t>
      </w:r>
    </w:p>
    <w:p w14:paraId="2D0241D2">
      <w:pPr>
        <w:rPr>
          <w:sz w:val="32"/>
          <w:szCs w:val="32"/>
        </w:rPr>
      </w:pPr>
      <w:r>
        <w:rPr>
          <w:sz w:val="32"/>
          <w:szCs w:val="32"/>
        </w:rPr>
        <w:t xml:space="preserve"> </w:t>
      </w:r>
    </w:p>
    <w:p w14:paraId="3C6E3815">
      <w:pPr>
        <w:rPr>
          <w:sz w:val="32"/>
          <w:szCs w:val="32"/>
        </w:rPr>
      </w:pPr>
      <w:r>
        <w:rPr>
          <w:sz w:val="32"/>
          <w:szCs w:val="32"/>
        </w:rPr>
        <w:t xml:space="preserve"> </w:t>
      </w:r>
    </w:p>
    <w:p w14:paraId="2A78A76F">
      <w:pPr>
        <w:rPr>
          <w:sz w:val="32"/>
          <w:szCs w:val="32"/>
        </w:rPr>
      </w:pPr>
      <w:r>
        <w:rPr>
          <w:sz w:val="32"/>
          <w:szCs w:val="32"/>
        </w:rPr>
        <w:t xml:space="preserve"> </w:t>
      </w:r>
    </w:p>
    <w:p w14:paraId="24910194">
      <w:pPr>
        <w:rPr>
          <w:rFonts w:ascii="仿宋" w:hAnsi="仿宋" w:eastAsia="仿宋" w:cs="宋体"/>
          <w:sz w:val="28"/>
          <w:szCs w:val="28"/>
        </w:rPr>
      </w:pPr>
      <w:r>
        <w:rPr>
          <w:rFonts w:hint="eastAsia" w:ascii="仿宋" w:hAnsi="仿宋" w:eastAsia="仿宋"/>
          <w:sz w:val="32"/>
          <w:szCs w:val="32"/>
        </w:rPr>
        <w:t>3.履约能力、售后服务能力：</w:t>
      </w:r>
    </w:p>
    <w:p w14:paraId="28FF7B24">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2D3F1B72">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39C53598">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5F7600C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br w:type="page"/>
      </w:r>
      <w:r>
        <w:rPr>
          <w:rFonts w:hint="eastAsia" w:ascii="仿宋" w:hAnsi="仿宋" w:eastAsia="仿宋" w:cs="宋体"/>
          <w:b/>
          <w:bCs/>
          <w:kern w:val="0"/>
          <w:sz w:val="28"/>
          <w:szCs w:val="28"/>
        </w:rPr>
        <w:t>表4</w:t>
      </w:r>
    </w:p>
    <w:p w14:paraId="5FFC93BF">
      <w:pPr>
        <w:pStyle w:val="4"/>
        <w:ind w:firstLine="0" w:firstLineChars="0"/>
        <w:jc w:val="center"/>
        <w:outlineLvl w:val="1"/>
        <w:rPr>
          <w:rFonts w:ascii="仿宋" w:hAnsi="仿宋" w:eastAsia="仿宋" w:cs="宋体"/>
          <w:kern w:val="0"/>
          <w:sz w:val="28"/>
          <w:szCs w:val="28"/>
        </w:rPr>
      </w:pPr>
      <w:bookmarkStart w:id="0" w:name="_Hlk143094076"/>
      <w:r>
        <w:rPr>
          <w:rFonts w:hint="eastAsia" w:ascii="仿宋" w:hAnsi="仿宋" w:eastAsia="仿宋" w:cs="宋体"/>
          <w:b/>
          <w:bCs/>
          <w:sz w:val="36"/>
          <w:szCs w:val="36"/>
        </w:rPr>
        <w:t>202</w:t>
      </w:r>
      <w:r>
        <w:rPr>
          <w:rFonts w:hint="eastAsia" w:ascii="仿宋" w:hAnsi="仿宋" w:eastAsia="仿宋" w:cs="宋体"/>
          <w:b/>
          <w:bCs/>
          <w:sz w:val="36"/>
          <w:szCs w:val="36"/>
          <w:lang w:val="en-US" w:eastAsia="zh-CN"/>
        </w:rPr>
        <w:t>2</w:t>
      </w:r>
      <w:r>
        <w:rPr>
          <w:rFonts w:hint="eastAsia" w:ascii="仿宋" w:hAnsi="仿宋" w:eastAsia="仿宋" w:cs="宋体"/>
          <w:b/>
          <w:bCs/>
          <w:sz w:val="36"/>
          <w:szCs w:val="36"/>
        </w:rPr>
        <w:t>年以来</w:t>
      </w:r>
      <w:r>
        <w:rPr>
          <w:rFonts w:hint="eastAsia" w:ascii="仿宋" w:hAnsi="仿宋" w:eastAsia="仿宋" w:cs="宋体"/>
          <w:b/>
          <w:bCs/>
          <w:sz w:val="36"/>
          <w:szCs w:val="36"/>
          <w:lang w:val="en-US" w:eastAsia="zh-CN"/>
        </w:rPr>
        <w:t>同类项目</w:t>
      </w:r>
      <w:r>
        <w:rPr>
          <w:rFonts w:hint="eastAsia" w:ascii="仿宋" w:hAnsi="仿宋" w:eastAsia="仿宋" w:cs="宋体"/>
          <w:b/>
          <w:bCs/>
          <w:sz w:val="36"/>
          <w:szCs w:val="36"/>
        </w:rPr>
        <w:t>成交价格记录（如有）</w:t>
      </w:r>
    </w:p>
    <w:bookmarkEnd w:id="0"/>
    <w:p w14:paraId="27EA9C63">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7F5155D6">
      <w:pPr>
        <w:pStyle w:val="4"/>
        <w:spacing w:line="360" w:lineRule="auto"/>
        <w:ind w:firstLine="0" w:firstLineChars="0"/>
        <w:rPr>
          <w:rFonts w:hint="default"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default" w:ascii="仿宋" w:hAnsi="仿宋" w:eastAsia="仿宋" w:cs="宋体"/>
          <w:kern w:val="0"/>
          <w:sz w:val="28"/>
          <w:szCs w:val="28"/>
        </w:rPr>
        <w:t>广东广招招标采购有限公司</w:t>
      </w:r>
    </w:p>
    <w:tbl>
      <w:tblPr>
        <w:tblStyle w:val="14"/>
        <w:tblW w:w="79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
        <w:gridCol w:w="1204"/>
        <w:gridCol w:w="1326"/>
        <w:gridCol w:w="1243"/>
        <w:gridCol w:w="1034"/>
        <w:gridCol w:w="1139"/>
        <w:gridCol w:w="1139"/>
      </w:tblGrid>
      <w:tr w14:paraId="6E7BF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4D510F28">
            <w:pPr>
              <w:jc w:val="center"/>
              <w:rPr>
                <w:rFonts w:ascii="仿宋" w:hAnsi="仿宋" w:eastAsia="仿宋"/>
                <w:b/>
                <w:bCs/>
                <w:kern w:val="2"/>
                <w:sz w:val="24"/>
                <w:szCs w:val="24"/>
                <w14:ligatures w14:val="none"/>
              </w:rPr>
            </w:pPr>
            <w:r>
              <w:rPr>
                <w:rFonts w:hint="eastAsia" w:ascii="仿宋" w:hAnsi="仿宋" w:eastAsia="仿宋"/>
                <w:b/>
                <w:bCs/>
                <w:kern w:val="0"/>
                <w:sz w:val="24"/>
                <w:szCs w:val="24"/>
                <w14:ligatures w14:val="none"/>
              </w:rPr>
              <w:t>序号</w:t>
            </w:r>
          </w:p>
        </w:tc>
        <w:tc>
          <w:tcPr>
            <w:tcW w:w="1204" w:type="dxa"/>
            <w:tcBorders>
              <w:top w:val="single" w:color="auto" w:sz="4" w:space="0"/>
              <w:left w:val="single" w:color="auto" w:sz="4" w:space="0"/>
              <w:bottom w:val="single" w:color="auto" w:sz="4" w:space="0"/>
              <w:right w:val="single" w:color="auto" w:sz="4" w:space="0"/>
            </w:tcBorders>
            <w:vAlign w:val="center"/>
          </w:tcPr>
          <w:p w14:paraId="19EB0EB8">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采购人</w:t>
            </w:r>
          </w:p>
        </w:tc>
        <w:tc>
          <w:tcPr>
            <w:tcW w:w="1326" w:type="dxa"/>
            <w:tcBorders>
              <w:top w:val="single" w:color="auto" w:sz="4" w:space="0"/>
              <w:left w:val="single" w:color="auto" w:sz="4" w:space="0"/>
              <w:bottom w:val="single" w:color="auto" w:sz="4" w:space="0"/>
              <w:right w:val="single" w:color="auto" w:sz="4" w:space="0"/>
            </w:tcBorders>
            <w:vAlign w:val="center"/>
          </w:tcPr>
          <w:p w14:paraId="24B6523D">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项目名称</w:t>
            </w:r>
          </w:p>
        </w:tc>
        <w:tc>
          <w:tcPr>
            <w:tcW w:w="1243" w:type="dxa"/>
            <w:tcBorders>
              <w:top w:val="single" w:color="auto" w:sz="4" w:space="0"/>
              <w:left w:val="single" w:color="auto" w:sz="4" w:space="0"/>
              <w:bottom w:val="single" w:color="auto" w:sz="4" w:space="0"/>
              <w:right w:val="single" w:color="auto" w:sz="4" w:space="0"/>
            </w:tcBorders>
            <w:vAlign w:val="center"/>
          </w:tcPr>
          <w:p w14:paraId="0F2F857E">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项目预算</w:t>
            </w:r>
          </w:p>
        </w:tc>
        <w:tc>
          <w:tcPr>
            <w:tcW w:w="1034" w:type="dxa"/>
            <w:tcBorders>
              <w:top w:val="single" w:color="auto" w:sz="4" w:space="0"/>
              <w:left w:val="single" w:color="auto" w:sz="4" w:space="0"/>
              <w:bottom w:val="single" w:color="auto" w:sz="4" w:space="0"/>
              <w:right w:val="single" w:color="auto" w:sz="4" w:space="0"/>
            </w:tcBorders>
            <w:vAlign w:val="center"/>
          </w:tcPr>
          <w:p w14:paraId="158C38C7">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中标/成交人</w:t>
            </w:r>
          </w:p>
        </w:tc>
        <w:tc>
          <w:tcPr>
            <w:tcW w:w="1139" w:type="dxa"/>
            <w:tcBorders>
              <w:top w:val="single" w:color="auto" w:sz="4" w:space="0"/>
              <w:left w:val="single" w:color="auto" w:sz="4" w:space="0"/>
              <w:bottom w:val="single" w:color="auto" w:sz="4" w:space="0"/>
              <w:right w:val="single" w:color="auto" w:sz="4" w:space="0"/>
            </w:tcBorders>
            <w:vAlign w:val="center"/>
          </w:tcPr>
          <w:p w14:paraId="5FFAB7BB">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中标/成交价</w:t>
            </w:r>
          </w:p>
        </w:tc>
        <w:tc>
          <w:tcPr>
            <w:tcW w:w="1139" w:type="dxa"/>
            <w:tcBorders>
              <w:top w:val="single" w:color="auto" w:sz="4" w:space="0"/>
              <w:left w:val="single" w:color="auto" w:sz="4" w:space="0"/>
              <w:bottom w:val="single" w:color="auto" w:sz="4" w:space="0"/>
              <w:right w:val="single" w:color="auto" w:sz="4" w:space="0"/>
            </w:tcBorders>
            <w:vAlign w:val="center"/>
          </w:tcPr>
          <w:p w14:paraId="47CEA194">
            <w:pPr>
              <w:jc w:val="center"/>
              <w:rPr>
                <w:rFonts w:hint="default" w:ascii="仿宋" w:hAnsi="仿宋" w:eastAsia="仿宋"/>
                <w:b/>
                <w:bCs/>
                <w:kern w:val="0"/>
                <w:sz w:val="24"/>
                <w:szCs w:val="24"/>
                <w:lang w:val="en-US" w:eastAsia="zh-CN"/>
                <w14:ligatures w14:val="none"/>
              </w:rPr>
            </w:pPr>
            <w:r>
              <w:rPr>
                <w:rFonts w:hint="eastAsia" w:ascii="仿宋" w:hAnsi="仿宋" w:eastAsia="仿宋"/>
                <w:b/>
                <w:bCs/>
                <w:kern w:val="0"/>
                <w:sz w:val="24"/>
                <w:szCs w:val="24"/>
                <w:lang w:val="en-US" w:eastAsia="zh-CN"/>
                <w14:ligatures w14:val="none"/>
              </w:rPr>
              <w:t>中标内容</w:t>
            </w:r>
          </w:p>
        </w:tc>
      </w:tr>
      <w:tr w14:paraId="371A1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643FB185">
            <w:pPr>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744DCD7E">
            <w:pPr>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66CFED6">
            <w:pPr>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19626657">
            <w:pPr>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768D42F8">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EDAD714">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64E807C2">
            <w:pPr>
              <w:jc w:val="center"/>
              <w:rPr>
                <w:rFonts w:ascii="仿宋" w:hAnsi="仿宋" w:eastAsia="仿宋"/>
                <w:kern w:val="0"/>
                <w:sz w:val="24"/>
                <w:szCs w:val="24"/>
                <w14:ligatures w14:val="none"/>
              </w:rPr>
            </w:pPr>
          </w:p>
        </w:tc>
      </w:tr>
      <w:tr w14:paraId="1D4D1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3446501B">
            <w:pPr>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0D21CD89">
            <w:pPr>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564D8E11">
            <w:pPr>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3847DCAB">
            <w:pPr>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257710D4">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169C959B">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7522933">
            <w:pPr>
              <w:jc w:val="center"/>
              <w:rPr>
                <w:rFonts w:ascii="仿宋" w:hAnsi="仿宋" w:eastAsia="仿宋"/>
                <w:kern w:val="0"/>
                <w:sz w:val="24"/>
                <w:szCs w:val="24"/>
                <w14:ligatures w14:val="none"/>
              </w:rPr>
            </w:pPr>
          </w:p>
        </w:tc>
      </w:tr>
      <w:tr w14:paraId="59609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24653B13">
            <w:pPr>
              <w:jc w:val="center"/>
              <w:rPr>
                <w:rFonts w:ascii="仿宋" w:hAnsi="仿宋" w:eastAsia="仿宋"/>
                <w:kern w:val="0"/>
                <w:sz w:val="24"/>
                <w:szCs w:val="24"/>
                <w14:ligatures w14:val="none"/>
              </w:rPr>
            </w:pPr>
          </w:p>
        </w:tc>
        <w:tc>
          <w:tcPr>
            <w:tcW w:w="1204" w:type="dxa"/>
            <w:tcBorders>
              <w:top w:val="single" w:color="auto" w:sz="4" w:space="0"/>
              <w:left w:val="single" w:color="auto" w:sz="4" w:space="0"/>
              <w:bottom w:val="single" w:color="auto" w:sz="4" w:space="0"/>
              <w:right w:val="single" w:color="auto" w:sz="4" w:space="0"/>
            </w:tcBorders>
            <w:vAlign w:val="center"/>
          </w:tcPr>
          <w:p w14:paraId="5D74E4CA">
            <w:pPr>
              <w:jc w:val="center"/>
              <w:rPr>
                <w:rFonts w:ascii="仿宋" w:hAnsi="仿宋" w:eastAsia="仿宋"/>
                <w:kern w:val="0"/>
                <w:sz w:val="24"/>
                <w:szCs w:val="24"/>
                <w14:ligatures w14:val="none"/>
              </w:rPr>
            </w:pPr>
          </w:p>
        </w:tc>
        <w:tc>
          <w:tcPr>
            <w:tcW w:w="1326" w:type="dxa"/>
            <w:tcBorders>
              <w:top w:val="single" w:color="auto" w:sz="4" w:space="0"/>
              <w:left w:val="single" w:color="auto" w:sz="4" w:space="0"/>
              <w:bottom w:val="single" w:color="auto" w:sz="4" w:space="0"/>
              <w:right w:val="single" w:color="auto" w:sz="4" w:space="0"/>
            </w:tcBorders>
            <w:vAlign w:val="center"/>
          </w:tcPr>
          <w:p w14:paraId="6A74F940">
            <w:pPr>
              <w:jc w:val="center"/>
              <w:rPr>
                <w:rFonts w:ascii="仿宋" w:hAnsi="仿宋" w:eastAsia="仿宋"/>
                <w:kern w:val="0"/>
                <w:sz w:val="24"/>
                <w:szCs w:val="24"/>
                <w14:ligatures w14:val="none"/>
              </w:rPr>
            </w:pPr>
          </w:p>
        </w:tc>
        <w:tc>
          <w:tcPr>
            <w:tcW w:w="1243" w:type="dxa"/>
            <w:tcBorders>
              <w:top w:val="single" w:color="auto" w:sz="4" w:space="0"/>
              <w:left w:val="single" w:color="auto" w:sz="4" w:space="0"/>
              <w:bottom w:val="single" w:color="auto" w:sz="4" w:space="0"/>
              <w:right w:val="single" w:color="auto" w:sz="4" w:space="0"/>
            </w:tcBorders>
            <w:vAlign w:val="center"/>
          </w:tcPr>
          <w:p w14:paraId="66B50F6F">
            <w:pPr>
              <w:jc w:val="center"/>
              <w:rPr>
                <w:rFonts w:ascii="仿宋" w:hAnsi="仿宋" w:eastAsia="仿宋"/>
                <w:kern w:val="0"/>
                <w:sz w:val="24"/>
                <w:szCs w:val="24"/>
                <w14:ligatures w14:val="none"/>
              </w:rPr>
            </w:pPr>
          </w:p>
        </w:tc>
        <w:tc>
          <w:tcPr>
            <w:tcW w:w="1034" w:type="dxa"/>
            <w:tcBorders>
              <w:top w:val="single" w:color="auto" w:sz="4" w:space="0"/>
              <w:left w:val="single" w:color="auto" w:sz="4" w:space="0"/>
              <w:bottom w:val="single" w:color="auto" w:sz="4" w:space="0"/>
              <w:right w:val="single" w:color="auto" w:sz="4" w:space="0"/>
            </w:tcBorders>
            <w:vAlign w:val="center"/>
          </w:tcPr>
          <w:p w14:paraId="64439E98">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34DE1FDD">
            <w:pPr>
              <w:jc w:val="center"/>
              <w:rPr>
                <w:rFonts w:ascii="仿宋" w:hAnsi="仿宋" w:eastAsia="仿宋"/>
                <w:kern w:val="0"/>
                <w:sz w:val="24"/>
                <w:szCs w:val="24"/>
                <w14:ligatures w14:val="none"/>
              </w:rPr>
            </w:pPr>
          </w:p>
        </w:tc>
        <w:tc>
          <w:tcPr>
            <w:tcW w:w="1139" w:type="dxa"/>
            <w:tcBorders>
              <w:top w:val="single" w:color="auto" w:sz="4" w:space="0"/>
              <w:left w:val="single" w:color="auto" w:sz="4" w:space="0"/>
              <w:bottom w:val="single" w:color="auto" w:sz="4" w:space="0"/>
              <w:right w:val="single" w:color="auto" w:sz="4" w:space="0"/>
            </w:tcBorders>
            <w:vAlign w:val="center"/>
          </w:tcPr>
          <w:p w14:paraId="5DBA13DD">
            <w:pPr>
              <w:jc w:val="center"/>
              <w:rPr>
                <w:rFonts w:ascii="仿宋" w:hAnsi="仿宋" w:eastAsia="仿宋"/>
                <w:kern w:val="0"/>
                <w:sz w:val="24"/>
                <w:szCs w:val="24"/>
                <w14:ligatures w14:val="none"/>
              </w:rPr>
            </w:pPr>
          </w:p>
        </w:tc>
      </w:tr>
    </w:tbl>
    <w:p w14:paraId="560936A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w:t>
      </w:r>
      <w:r>
        <w:rPr>
          <w:rFonts w:hint="eastAsia" w:ascii="仿宋" w:hAnsi="仿宋" w:eastAsia="仿宋" w:cs="宋体"/>
          <w:kern w:val="0"/>
          <w:sz w:val="28"/>
          <w:szCs w:val="28"/>
          <w:lang w:val="en-US" w:eastAsia="zh-CN"/>
        </w:rPr>
        <w:t>的工作内容</w:t>
      </w:r>
      <w:r>
        <w:rPr>
          <w:rFonts w:hint="eastAsia" w:ascii="仿宋" w:hAnsi="仿宋" w:eastAsia="仿宋" w:cs="宋体"/>
          <w:kern w:val="0"/>
          <w:sz w:val="28"/>
          <w:szCs w:val="28"/>
        </w:rPr>
        <w:t>提供</w:t>
      </w:r>
      <w:r>
        <w:rPr>
          <w:rFonts w:hint="eastAsia" w:ascii="仿宋" w:hAnsi="仿宋" w:eastAsia="仿宋" w:cs="宋体"/>
          <w:kern w:val="0"/>
          <w:sz w:val="28"/>
          <w:szCs w:val="28"/>
          <w:lang w:val="en-US" w:eastAsia="zh-CN"/>
        </w:rPr>
        <w:t>同类项目的</w:t>
      </w:r>
      <w:r>
        <w:rPr>
          <w:rFonts w:hint="eastAsia" w:ascii="仿宋" w:hAnsi="仿宋" w:eastAsia="仿宋" w:cs="宋体"/>
          <w:sz w:val="28"/>
          <w:szCs w:val="28"/>
        </w:rPr>
        <w:t>成交价格信息，如有应列表并附上相关</w:t>
      </w:r>
      <w:r>
        <w:rPr>
          <w:rFonts w:hint="eastAsia" w:ascii="仿宋" w:hAnsi="仿宋" w:eastAsia="仿宋" w:cs="宋体"/>
          <w:kern w:val="0"/>
          <w:sz w:val="28"/>
          <w:szCs w:val="28"/>
        </w:rPr>
        <w:t>合同等材料（如有）。</w:t>
      </w:r>
    </w:p>
    <w:p w14:paraId="31ADB34E">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7AB3FB74">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1989447B">
      <w:pPr>
        <w:widowControl/>
        <w:spacing w:after="150" w:line="360" w:lineRule="auto"/>
        <w:ind w:firstLine="420"/>
        <w:jc w:val="right"/>
        <w:rPr>
          <w:rFonts w:ascii="仿宋" w:hAnsi="仿宋" w:eastAsia="仿宋"/>
          <w:kern w:val="0"/>
          <w:sz w:val="28"/>
          <w:szCs w:val="28"/>
        </w:rPr>
      </w:pPr>
      <w:r>
        <w:rPr>
          <w:rFonts w:hint="eastAsia" w:ascii="仿宋" w:hAnsi="仿宋" w:eastAsia="仿宋" w:cs="宋体"/>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250C7A21">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398A85DB">
      <w:pPr>
        <w:pStyle w:val="4"/>
        <w:ind w:firstLine="0" w:firstLineChars="0"/>
        <w:rPr>
          <w:rFonts w:ascii="仿宋" w:hAnsi="仿宋" w:eastAsia="仿宋" w:cs="宋体"/>
          <w:sz w:val="28"/>
          <w:szCs w:val="28"/>
        </w:rPr>
      </w:pPr>
    </w:p>
    <w:p w14:paraId="694C41D3">
      <w:pPr>
        <w:pStyle w:val="4"/>
        <w:ind w:firstLine="0" w:firstLineChars="0"/>
        <w:rPr>
          <w:rFonts w:hint="eastAsia" w:ascii="仿宋" w:hAnsi="仿宋" w:eastAsia="仿宋" w:cs="宋体"/>
          <w:kern w:val="0"/>
          <w:sz w:val="28"/>
          <w:szCs w:val="28"/>
        </w:rPr>
      </w:pPr>
      <w:r>
        <w:rPr>
          <w:rFonts w:hint="eastAsia" w:ascii="仿宋" w:hAnsi="仿宋" w:eastAsia="仿宋" w:cs="宋体"/>
          <w:kern w:val="0"/>
          <w:sz w:val="28"/>
          <w:szCs w:val="28"/>
        </w:rPr>
        <w:t xml:space="preserve"> </w:t>
      </w:r>
    </w:p>
    <w:p w14:paraId="6E0DBA89">
      <w:pPr>
        <w:pStyle w:val="4"/>
        <w:ind w:firstLine="0" w:firstLineChars="0"/>
        <w:rPr>
          <w:rFonts w:ascii="仿宋" w:hAnsi="仿宋" w:eastAsia="仿宋" w:cs="宋体"/>
          <w:kern w:val="0"/>
          <w:sz w:val="28"/>
          <w:szCs w:val="28"/>
        </w:rPr>
      </w:pPr>
    </w:p>
    <w:p w14:paraId="23DAADB6">
      <w:pPr>
        <w:pStyle w:val="4"/>
        <w:ind w:firstLine="0" w:firstLineChars="0"/>
        <w:rPr>
          <w:rFonts w:ascii="仿宋" w:hAnsi="仿宋" w:eastAsia="仿宋" w:cs="宋体"/>
          <w:b/>
          <w:bCs/>
          <w:kern w:val="0"/>
          <w:sz w:val="28"/>
          <w:szCs w:val="28"/>
        </w:rPr>
      </w:pPr>
      <w:r>
        <w:rPr>
          <w:rFonts w:hint="eastAsia" w:ascii="仿宋" w:hAnsi="仿宋" w:eastAsia="仿宋" w:cs="宋体"/>
          <w:kern w:val="0"/>
          <w:sz w:val="28"/>
          <w:szCs w:val="28"/>
        </w:rPr>
        <w:t xml:space="preserve"> </w:t>
      </w:r>
      <w:r>
        <w:rPr>
          <w:rFonts w:hint="eastAsia" w:ascii="仿宋" w:hAnsi="仿宋" w:eastAsia="仿宋" w:cs="宋体"/>
          <w:b/>
          <w:bCs/>
          <w:kern w:val="0"/>
          <w:sz w:val="28"/>
          <w:szCs w:val="28"/>
        </w:rPr>
        <w:t>表5</w:t>
      </w:r>
    </w:p>
    <w:p w14:paraId="08230FDA">
      <w:pPr>
        <w:pStyle w:val="4"/>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 xml:space="preserve">后续采购情况 </w:t>
      </w:r>
    </w:p>
    <w:p w14:paraId="543F6C03">
      <w:pPr>
        <w:pStyle w:val="4"/>
        <w:spacing w:line="360" w:lineRule="auto"/>
        <w:ind w:firstLine="0" w:firstLineChars="0"/>
        <w:rPr>
          <w:rFonts w:hint="default"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default" w:ascii="仿宋" w:hAnsi="仿宋" w:eastAsia="仿宋" w:cs="宋体"/>
          <w:kern w:val="0"/>
          <w:sz w:val="28"/>
          <w:szCs w:val="28"/>
        </w:rPr>
        <w:t>广东广招招标采购有限公司</w:t>
      </w:r>
    </w:p>
    <w:p w14:paraId="1EBEC3CF">
      <w:pPr>
        <w:ind w:firstLine="280" w:firstLineChars="100"/>
        <w:rPr>
          <w:rFonts w:hint="eastAsia"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bidi="ar-SA"/>
        </w:rPr>
        <w:t>可能涉及的污水处理药剂、人员</w:t>
      </w:r>
      <w:r>
        <w:rPr>
          <w:rFonts w:hint="default" w:ascii="仿宋" w:hAnsi="仿宋" w:eastAsia="仿宋" w:cs="宋体"/>
          <w:kern w:val="0"/>
          <w:sz w:val="28"/>
          <w:szCs w:val="28"/>
          <w:lang w:eastAsia="zh-CN" w:bidi="ar-SA"/>
        </w:rPr>
        <w:t>、设备运行维护、</w:t>
      </w:r>
      <w:r>
        <w:rPr>
          <w:rFonts w:hint="eastAsia" w:ascii="仿宋" w:hAnsi="仿宋" w:eastAsia="仿宋" w:cs="宋体"/>
          <w:kern w:val="0"/>
          <w:sz w:val="28"/>
          <w:szCs w:val="28"/>
          <w:lang w:val="en-US" w:eastAsia="zh-CN" w:bidi="ar-SA"/>
        </w:rPr>
        <w:t>升级更新、污水监测工作、易损件维修/更换等情况（主要是污水处理药剂，易损件维修/更换等等</w:t>
      </w:r>
      <w:r>
        <w:rPr>
          <w:rFonts w:hint="default" w:ascii="仿宋" w:hAnsi="仿宋" w:eastAsia="仿宋" w:cs="宋体"/>
          <w:kern w:val="0"/>
          <w:sz w:val="28"/>
          <w:szCs w:val="28"/>
          <w:lang w:eastAsia="zh-CN" w:bidi="ar-SA"/>
        </w:rPr>
        <w:t>情况</w:t>
      </w:r>
      <w:r>
        <w:rPr>
          <w:rFonts w:hint="eastAsia" w:ascii="仿宋" w:hAnsi="仿宋" w:eastAsia="仿宋" w:cs="宋体"/>
          <w:kern w:val="0"/>
          <w:sz w:val="28"/>
          <w:szCs w:val="28"/>
          <w:lang w:val="en-US" w:eastAsia="zh-CN" w:bidi="ar-SA"/>
        </w:rPr>
        <w:t>）：</w:t>
      </w:r>
    </w:p>
    <w:tbl>
      <w:tblPr>
        <w:tblStyle w:val="14"/>
        <w:tblW w:w="83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126"/>
        <w:gridCol w:w="2552"/>
        <w:gridCol w:w="1406"/>
        <w:gridCol w:w="1429"/>
      </w:tblGrid>
      <w:tr w14:paraId="2D7C3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846" w:type="dxa"/>
            <w:tcBorders>
              <w:top w:val="single" w:color="auto" w:sz="4" w:space="0"/>
              <w:left w:val="single" w:color="auto" w:sz="4" w:space="0"/>
              <w:bottom w:val="single" w:color="auto" w:sz="4" w:space="0"/>
              <w:right w:val="single" w:color="auto" w:sz="4" w:space="0"/>
            </w:tcBorders>
            <w:vAlign w:val="center"/>
          </w:tcPr>
          <w:p w14:paraId="2CC0E11B">
            <w:pPr>
              <w:jc w:val="center"/>
              <w:rPr>
                <w:rFonts w:ascii="仿宋" w:hAnsi="仿宋" w:eastAsia="仿宋"/>
                <w:b/>
                <w:bCs/>
                <w:kern w:val="2"/>
                <w:sz w:val="24"/>
                <w:szCs w:val="24"/>
                <w14:ligatures w14:val="none"/>
              </w:rPr>
            </w:pPr>
            <w:r>
              <w:rPr>
                <w:rFonts w:hint="eastAsia" w:ascii="仿宋" w:hAnsi="仿宋" w:eastAsia="仿宋" w:cs="宋体"/>
                <w:kern w:val="0"/>
                <w:sz w:val="28"/>
                <w:szCs w:val="28"/>
                <w14:ligatures w14:val="none"/>
              </w:rPr>
              <w:t xml:space="preserve"> </w:t>
            </w:r>
            <w:r>
              <w:rPr>
                <w:rFonts w:hint="eastAsia" w:ascii="仿宋" w:hAnsi="仿宋" w:eastAsia="仿宋"/>
                <w:b/>
                <w:bCs/>
                <w:kern w:val="0"/>
                <w:sz w:val="24"/>
                <w:szCs w:val="24"/>
                <w14:ligatures w14:val="none"/>
              </w:rPr>
              <w:t>序号</w:t>
            </w:r>
          </w:p>
        </w:tc>
        <w:tc>
          <w:tcPr>
            <w:tcW w:w="2126" w:type="dxa"/>
            <w:tcBorders>
              <w:top w:val="single" w:color="auto" w:sz="4" w:space="0"/>
              <w:left w:val="single" w:color="auto" w:sz="4" w:space="0"/>
              <w:bottom w:val="single" w:color="auto" w:sz="4" w:space="0"/>
              <w:right w:val="single" w:color="auto" w:sz="4" w:space="0"/>
            </w:tcBorders>
            <w:vAlign w:val="center"/>
          </w:tcPr>
          <w:p w14:paraId="070E626A">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项目</w:t>
            </w:r>
          </w:p>
        </w:tc>
        <w:tc>
          <w:tcPr>
            <w:tcW w:w="2552" w:type="dxa"/>
            <w:tcBorders>
              <w:top w:val="single" w:color="auto" w:sz="4" w:space="0"/>
              <w:left w:val="single" w:color="auto" w:sz="4" w:space="0"/>
              <w:bottom w:val="single" w:color="auto" w:sz="4" w:space="0"/>
              <w:right w:val="single" w:color="auto" w:sz="4" w:space="0"/>
            </w:tcBorders>
            <w:vAlign w:val="center"/>
          </w:tcPr>
          <w:p w14:paraId="1187D5D2">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内容</w:t>
            </w:r>
          </w:p>
        </w:tc>
        <w:tc>
          <w:tcPr>
            <w:tcW w:w="1406" w:type="dxa"/>
            <w:tcBorders>
              <w:top w:val="single" w:color="auto" w:sz="4" w:space="0"/>
              <w:left w:val="single" w:color="auto" w:sz="4" w:space="0"/>
              <w:bottom w:val="single" w:color="auto" w:sz="4" w:space="0"/>
              <w:right w:val="single" w:color="auto" w:sz="4" w:space="0"/>
            </w:tcBorders>
            <w:vAlign w:val="center"/>
          </w:tcPr>
          <w:p w14:paraId="536877DA">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费用说明</w:t>
            </w:r>
          </w:p>
        </w:tc>
        <w:tc>
          <w:tcPr>
            <w:tcW w:w="1429" w:type="dxa"/>
            <w:tcBorders>
              <w:top w:val="single" w:color="auto" w:sz="4" w:space="0"/>
              <w:left w:val="single" w:color="auto" w:sz="4" w:space="0"/>
              <w:bottom w:val="single" w:color="auto" w:sz="4" w:space="0"/>
              <w:right w:val="single" w:color="auto" w:sz="4" w:space="0"/>
            </w:tcBorders>
            <w:vAlign w:val="center"/>
          </w:tcPr>
          <w:p w14:paraId="1AC83483">
            <w:pPr>
              <w:jc w:val="center"/>
              <w:rPr>
                <w:rFonts w:ascii="仿宋" w:hAnsi="仿宋" w:eastAsia="仿宋"/>
                <w:b/>
                <w:bCs/>
                <w:kern w:val="0"/>
                <w:sz w:val="24"/>
                <w:szCs w:val="24"/>
                <w14:ligatures w14:val="none"/>
              </w:rPr>
            </w:pPr>
            <w:r>
              <w:rPr>
                <w:rFonts w:hint="eastAsia" w:ascii="仿宋" w:hAnsi="仿宋" w:eastAsia="仿宋"/>
                <w:b/>
                <w:bCs/>
                <w:kern w:val="0"/>
                <w:sz w:val="24"/>
                <w:szCs w:val="24"/>
                <w14:ligatures w14:val="none"/>
              </w:rPr>
              <w:t>备注</w:t>
            </w:r>
          </w:p>
        </w:tc>
      </w:tr>
      <w:tr w14:paraId="78C08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846" w:type="dxa"/>
            <w:tcBorders>
              <w:top w:val="single" w:color="auto" w:sz="4" w:space="0"/>
              <w:left w:val="single" w:color="auto" w:sz="4" w:space="0"/>
              <w:bottom w:val="single" w:color="auto" w:sz="4" w:space="0"/>
              <w:right w:val="single" w:color="auto" w:sz="4" w:space="0"/>
            </w:tcBorders>
            <w:vAlign w:val="center"/>
          </w:tcPr>
          <w:p w14:paraId="4CC2DE93">
            <w:pPr>
              <w:jc w:val="center"/>
              <w:rPr>
                <w:rFonts w:ascii="仿宋" w:hAnsi="仿宋" w:eastAsia="仿宋"/>
                <w:kern w:val="0"/>
                <w:sz w:val="24"/>
                <w:szCs w:val="24"/>
                <w14:ligatures w14:val="none"/>
              </w:rPr>
            </w:pPr>
            <w:r>
              <w:rPr>
                <w:rFonts w:hint="eastAsia" w:ascii="仿宋" w:hAnsi="仿宋" w:eastAsia="仿宋"/>
                <w:kern w:val="0"/>
                <w:sz w:val="24"/>
                <w:szCs w:val="24"/>
                <w14:ligatures w14:val="none"/>
              </w:rPr>
              <w:t>1</w:t>
            </w:r>
          </w:p>
        </w:tc>
        <w:tc>
          <w:tcPr>
            <w:tcW w:w="2126" w:type="dxa"/>
            <w:tcBorders>
              <w:top w:val="single" w:color="auto" w:sz="4" w:space="0"/>
              <w:left w:val="single" w:color="auto" w:sz="4" w:space="0"/>
              <w:bottom w:val="single" w:color="auto" w:sz="4" w:space="0"/>
              <w:right w:val="single" w:color="auto" w:sz="4" w:space="0"/>
            </w:tcBorders>
            <w:vAlign w:val="top"/>
          </w:tcPr>
          <w:p w14:paraId="555A310A">
            <w:pPr>
              <w:jc w:val="left"/>
              <w:rPr>
                <w:rFonts w:hint="eastAsia" w:ascii="仿宋" w:hAnsi="仿宋" w:eastAsia="仿宋"/>
                <w:kern w:val="0"/>
                <w:sz w:val="24"/>
                <w:szCs w:val="24"/>
                <w14:ligatures w14:val="none"/>
              </w:rPr>
            </w:pPr>
            <w:r>
              <w:rPr>
                <w:rFonts w:hint="eastAsia" w:ascii="仿宋" w:hAnsi="仿宋" w:eastAsia="仿宋"/>
                <w:kern w:val="0"/>
                <w:sz w:val="24"/>
                <w:szCs w:val="24"/>
                <w:lang w:val="en-US" w:eastAsia="zh-CN"/>
                <w14:ligatures w14:val="none"/>
              </w:rPr>
              <w:t>污水处理药剂</w:t>
            </w:r>
          </w:p>
        </w:tc>
        <w:tc>
          <w:tcPr>
            <w:tcW w:w="2552" w:type="dxa"/>
            <w:tcBorders>
              <w:top w:val="single" w:color="auto" w:sz="4" w:space="0"/>
              <w:left w:val="single" w:color="auto" w:sz="4" w:space="0"/>
              <w:bottom w:val="single" w:color="auto" w:sz="4" w:space="0"/>
              <w:right w:val="single" w:color="auto" w:sz="4" w:space="0"/>
            </w:tcBorders>
            <w:vAlign w:val="top"/>
          </w:tcPr>
          <w:p w14:paraId="09272BDE">
            <w:pPr>
              <w:jc w:val="left"/>
              <w:rPr>
                <w:rFonts w:hint="eastAsia" w:ascii="仿宋" w:hAnsi="仿宋" w:eastAsia="仿宋"/>
                <w:kern w:val="0"/>
                <w:sz w:val="24"/>
                <w:szCs w:val="24"/>
                <w14:ligatures w14:val="none"/>
              </w:rPr>
            </w:pPr>
            <w:r>
              <w:rPr>
                <w:rFonts w:hint="eastAsia" w:ascii="仿宋" w:hAnsi="仿宋" w:eastAsia="仿宋"/>
                <w:kern w:val="0"/>
                <w:sz w:val="24"/>
                <w:szCs w:val="24"/>
                <w:lang w:val="en-US" w:eastAsia="zh-CN"/>
                <w14:ligatures w14:val="none"/>
              </w:rPr>
              <w:t>含服务周期内两院区污水处理站设计水量内需使用的全部量的次氯酸钠消毒药剂的投加，和其他正常水量水质情况可能用到的处理药剂。</w:t>
            </w:r>
          </w:p>
        </w:tc>
        <w:tc>
          <w:tcPr>
            <w:tcW w:w="1406" w:type="dxa"/>
            <w:tcBorders>
              <w:top w:val="single" w:color="auto" w:sz="4" w:space="0"/>
              <w:left w:val="single" w:color="auto" w:sz="4" w:space="0"/>
              <w:bottom w:val="single" w:color="auto" w:sz="4" w:space="0"/>
              <w:right w:val="single" w:color="auto" w:sz="4" w:space="0"/>
            </w:tcBorders>
            <w:vAlign w:val="center"/>
          </w:tcPr>
          <w:p w14:paraId="0AF3A2DB">
            <w:pPr>
              <w:jc w:val="center"/>
              <w:rPr>
                <w:rFonts w:ascii="仿宋" w:hAnsi="仿宋" w:eastAsia="仿宋"/>
                <w:kern w:val="0"/>
                <w:sz w:val="24"/>
                <w:szCs w:val="24"/>
                <w14:ligatures w14:val="none"/>
              </w:rPr>
            </w:pPr>
          </w:p>
        </w:tc>
        <w:tc>
          <w:tcPr>
            <w:tcW w:w="1429" w:type="dxa"/>
            <w:tcBorders>
              <w:top w:val="single" w:color="auto" w:sz="4" w:space="0"/>
              <w:left w:val="single" w:color="auto" w:sz="4" w:space="0"/>
              <w:bottom w:val="single" w:color="auto" w:sz="4" w:space="0"/>
              <w:right w:val="single" w:color="auto" w:sz="4" w:space="0"/>
            </w:tcBorders>
            <w:vAlign w:val="center"/>
          </w:tcPr>
          <w:p w14:paraId="72B852F3">
            <w:pPr>
              <w:jc w:val="center"/>
              <w:rPr>
                <w:rFonts w:ascii="仿宋" w:hAnsi="仿宋" w:eastAsia="仿宋"/>
                <w:kern w:val="0"/>
                <w:sz w:val="24"/>
                <w:szCs w:val="24"/>
                <w14:ligatures w14:val="none"/>
              </w:rPr>
            </w:pPr>
          </w:p>
        </w:tc>
      </w:tr>
      <w:tr w14:paraId="2BE88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846" w:type="dxa"/>
            <w:tcBorders>
              <w:top w:val="single" w:color="auto" w:sz="4" w:space="0"/>
              <w:left w:val="single" w:color="auto" w:sz="4" w:space="0"/>
              <w:bottom w:val="single" w:color="auto" w:sz="4" w:space="0"/>
              <w:right w:val="single" w:color="auto" w:sz="4" w:space="0"/>
            </w:tcBorders>
            <w:vAlign w:val="center"/>
          </w:tcPr>
          <w:p w14:paraId="51B325D8">
            <w:pPr>
              <w:jc w:val="center"/>
              <w:rPr>
                <w:rFonts w:ascii="仿宋" w:hAnsi="仿宋" w:eastAsia="仿宋"/>
                <w:kern w:val="0"/>
                <w:sz w:val="24"/>
                <w:szCs w:val="24"/>
                <w14:ligatures w14:val="none"/>
              </w:rPr>
            </w:pPr>
            <w:r>
              <w:rPr>
                <w:rFonts w:hint="eastAsia" w:ascii="仿宋" w:hAnsi="仿宋" w:eastAsia="仿宋"/>
                <w:kern w:val="0"/>
                <w:sz w:val="24"/>
                <w:szCs w:val="24"/>
                <w14:ligatures w14:val="none"/>
              </w:rPr>
              <w:t>2</w:t>
            </w:r>
          </w:p>
        </w:tc>
        <w:tc>
          <w:tcPr>
            <w:tcW w:w="2126" w:type="dxa"/>
            <w:tcBorders>
              <w:top w:val="single" w:color="auto" w:sz="4" w:space="0"/>
              <w:left w:val="single" w:color="auto" w:sz="4" w:space="0"/>
              <w:bottom w:val="single" w:color="auto" w:sz="4" w:space="0"/>
              <w:right w:val="single" w:color="auto" w:sz="4" w:space="0"/>
            </w:tcBorders>
            <w:vAlign w:val="top"/>
          </w:tcPr>
          <w:p w14:paraId="5AD1EF0C">
            <w:pPr>
              <w:jc w:val="left"/>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设备日常维护</w:t>
            </w:r>
          </w:p>
        </w:tc>
        <w:tc>
          <w:tcPr>
            <w:tcW w:w="2552" w:type="dxa"/>
            <w:tcBorders>
              <w:top w:val="single" w:color="auto" w:sz="4" w:space="0"/>
              <w:left w:val="single" w:color="auto" w:sz="4" w:space="0"/>
              <w:bottom w:val="single" w:color="auto" w:sz="4" w:space="0"/>
              <w:right w:val="single" w:color="auto" w:sz="4" w:space="0"/>
            </w:tcBorders>
            <w:vAlign w:val="top"/>
          </w:tcPr>
          <w:p w14:paraId="52B0AE51">
            <w:pPr>
              <w:jc w:val="left"/>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设备维护保养按每周一小保，一月一大保进行，所有设备检查维护。包括但不限于格栅井清理、鼓风机的机油和皮带更换、流量计定期校准、污泥清理外运处理等。沉淀池清理，池体清洁，专人负责所有设施卫生，安全检查。</w:t>
            </w:r>
          </w:p>
        </w:tc>
        <w:tc>
          <w:tcPr>
            <w:tcW w:w="1406" w:type="dxa"/>
            <w:tcBorders>
              <w:top w:val="single" w:color="auto" w:sz="4" w:space="0"/>
              <w:left w:val="single" w:color="auto" w:sz="4" w:space="0"/>
              <w:bottom w:val="single" w:color="auto" w:sz="4" w:space="0"/>
              <w:right w:val="single" w:color="auto" w:sz="4" w:space="0"/>
            </w:tcBorders>
            <w:vAlign w:val="center"/>
          </w:tcPr>
          <w:p w14:paraId="6CBEEE34">
            <w:pPr>
              <w:jc w:val="center"/>
              <w:rPr>
                <w:rFonts w:ascii="仿宋" w:hAnsi="仿宋" w:eastAsia="仿宋"/>
                <w:kern w:val="0"/>
                <w:sz w:val="24"/>
                <w:szCs w:val="24"/>
                <w14:ligatures w14:val="none"/>
              </w:rPr>
            </w:pPr>
          </w:p>
        </w:tc>
        <w:tc>
          <w:tcPr>
            <w:tcW w:w="1429" w:type="dxa"/>
            <w:tcBorders>
              <w:top w:val="single" w:color="auto" w:sz="4" w:space="0"/>
              <w:left w:val="single" w:color="auto" w:sz="4" w:space="0"/>
              <w:bottom w:val="single" w:color="auto" w:sz="4" w:space="0"/>
              <w:right w:val="single" w:color="auto" w:sz="4" w:space="0"/>
            </w:tcBorders>
            <w:vAlign w:val="center"/>
          </w:tcPr>
          <w:p w14:paraId="0898A732">
            <w:pPr>
              <w:jc w:val="center"/>
              <w:rPr>
                <w:rFonts w:ascii="仿宋" w:hAnsi="仿宋" w:eastAsia="仿宋"/>
                <w:kern w:val="0"/>
                <w:sz w:val="24"/>
                <w:szCs w:val="24"/>
                <w14:ligatures w14:val="none"/>
              </w:rPr>
            </w:pPr>
          </w:p>
        </w:tc>
      </w:tr>
      <w:tr w14:paraId="6E935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46" w:type="dxa"/>
            <w:tcBorders>
              <w:top w:val="single" w:color="auto" w:sz="4" w:space="0"/>
              <w:left w:val="single" w:color="auto" w:sz="4" w:space="0"/>
              <w:bottom w:val="single" w:color="auto" w:sz="4" w:space="0"/>
              <w:right w:val="single" w:color="auto" w:sz="4" w:space="0"/>
            </w:tcBorders>
            <w:vAlign w:val="center"/>
          </w:tcPr>
          <w:p w14:paraId="7DE0CF55">
            <w:pPr>
              <w:jc w:val="center"/>
              <w:rPr>
                <w:rFonts w:ascii="仿宋" w:hAnsi="仿宋" w:eastAsia="仿宋"/>
                <w:kern w:val="0"/>
                <w:sz w:val="24"/>
                <w:szCs w:val="24"/>
                <w14:ligatures w14:val="none"/>
              </w:rPr>
            </w:pPr>
            <w:r>
              <w:rPr>
                <w:rFonts w:hint="eastAsia" w:ascii="仿宋" w:hAnsi="仿宋" w:eastAsia="仿宋"/>
                <w:kern w:val="0"/>
                <w:sz w:val="24"/>
                <w:szCs w:val="24"/>
                <w14:ligatures w14:val="none"/>
              </w:rPr>
              <w:t>3</w:t>
            </w:r>
          </w:p>
        </w:tc>
        <w:tc>
          <w:tcPr>
            <w:tcW w:w="2126" w:type="dxa"/>
            <w:tcBorders>
              <w:top w:val="single" w:color="auto" w:sz="4" w:space="0"/>
              <w:left w:val="single" w:color="auto" w:sz="4" w:space="0"/>
              <w:bottom w:val="single" w:color="auto" w:sz="4" w:space="0"/>
              <w:right w:val="single" w:color="auto" w:sz="4" w:space="0"/>
            </w:tcBorders>
            <w:vAlign w:val="top"/>
          </w:tcPr>
          <w:p w14:paraId="6354FE3C">
            <w:pPr>
              <w:jc w:val="left"/>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易损件维修/更换</w:t>
            </w:r>
          </w:p>
        </w:tc>
        <w:tc>
          <w:tcPr>
            <w:tcW w:w="2552" w:type="dxa"/>
            <w:tcBorders>
              <w:top w:val="single" w:color="auto" w:sz="4" w:space="0"/>
              <w:left w:val="single" w:color="auto" w:sz="4" w:space="0"/>
              <w:bottom w:val="single" w:color="auto" w:sz="4" w:space="0"/>
              <w:right w:val="single" w:color="auto" w:sz="4" w:space="0"/>
            </w:tcBorders>
            <w:vAlign w:val="top"/>
          </w:tcPr>
          <w:p w14:paraId="5E4ACD0F">
            <w:pPr>
              <w:jc w:val="left"/>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中标供应商承担3000元以下的易损件维修/更换费用。包括但不限于流量计探头更换、鼓风机的机油更换、消毒设备管件更换、消毒设备泵头更换等。</w:t>
            </w:r>
          </w:p>
        </w:tc>
        <w:tc>
          <w:tcPr>
            <w:tcW w:w="1406" w:type="dxa"/>
            <w:tcBorders>
              <w:top w:val="single" w:color="auto" w:sz="4" w:space="0"/>
              <w:left w:val="single" w:color="auto" w:sz="4" w:space="0"/>
              <w:bottom w:val="single" w:color="auto" w:sz="4" w:space="0"/>
              <w:right w:val="single" w:color="auto" w:sz="4" w:space="0"/>
            </w:tcBorders>
            <w:vAlign w:val="center"/>
          </w:tcPr>
          <w:p w14:paraId="590EBAF8">
            <w:pPr>
              <w:jc w:val="center"/>
              <w:rPr>
                <w:rFonts w:ascii="仿宋" w:hAnsi="仿宋" w:eastAsia="仿宋"/>
                <w:kern w:val="0"/>
                <w:sz w:val="24"/>
                <w:szCs w:val="24"/>
                <w14:ligatures w14:val="none"/>
              </w:rPr>
            </w:pPr>
          </w:p>
        </w:tc>
        <w:tc>
          <w:tcPr>
            <w:tcW w:w="1429" w:type="dxa"/>
            <w:tcBorders>
              <w:top w:val="single" w:color="auto" w:sz="4" w:space="0"/>
              <w:left w:val="single" w:color="auto" w:sz="4" w:space="0"/>
              <w:bottom w:val="single" w:color="auto" w:sz="4" w:space="0"/>
              <w:right w:val="single" w:color="auto" w:sz="4" w:space="0"/>
            </w:tcBorders>
            <w:vAlign w:val="center"/>
          </w:tcPr>
          <w:p w14:paraId="68584785">
            <w:pPr>
              <w:jc w:val="center"/>
              <w:rPr>
                <w:rFonts w:ascii="仿宋" w:hAnsi="仿宋" w:eastAsia="仿宋"/>
                <w:kern w:val="0"/>
                <w:sz w:val="24"/>
                <w:szCs w:val="24"/>
                <w14:ligatures w14:val="none"/>
              </w:rPr>
            </w:pPr>
          </w:p>
        </w:tc>
      </w:tr>
      <w:tr w14:paraId="35022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46" w:type="dxa"/>
            <w:tcBorders>
              <w:top w:val="single" w:color="auto" w:sz="4" w:space="0"/>
              <w:left w:val="single" w:color="auto" w:sz="4" w:space="0"/>
              <w:bottom w:val="single" w:color="auto" w:sz="4" w:space="0"/>
              <w:right w:val="single" w:color="auto" w:sz="4" w:space="0"/>
            </w:tcBorders>
            <w:vAlign w:val="center"/>
          </w:tcPr>
          <w:p w14:paraId="3C75FB41">
            <w:pPr>
              <w:jc w:val="center"/>
              <w:rPr>
                <w:rFonts w:ascii="仿宋" w:hAnsi="仿宋" w:eastAsia="仿宋"/>
                <w:kern w:val="0"/>
                <w:sz w:val="24"/>
                <w:szCs w:val="24"/>
                <w14:ligatures w14:val="none"/>
              </w:rPr>
            </w:pPr>
            <w:r>
              <w:rPr>
                <w:rFonts w:hint="eastAsia" w:ascii="仿宋" w:hAnsi="仿宋" w:eastAsia="仿宋"/>
                <w:kern w:val="0"/>
                <w:sz w:val="24"/>
                <w:szCs w:val="24"/>
                <w14:ligatures w14:val="none"/>
              </w:rPr>
              <w:t>4</w:t>
            </w:r>
          </w:p>
        </w:tc>
        <w:tc>
          <w:tcPr>
            <w:tcW w:w="2126" w:type="dxa"/>
            <w:tcBorders>
              <w:top w:val="single" w:color="auto" w:sz="4" w:space="0"/>
              <w:left w:val="single" w:color="auto" w:sz="4" w:space="0"/>
              <w:bottom w:val="single" w:color="auto" w:sz="4" w:space="0"/>
              <w:right w:val="single" w:color="auto" w:sz="4" w:space="0"/>
            </w:tcBorders>
            <w:vAlign w:val="top"/>
          </w:tcPr>
          <w:p w14:paraId="0A7A1128">
            <w:pPr>
              <w:jc w:val="left"/>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人员劳保用品</w:t>
            </w:r>
          </w:p>
        </w:tc>
        <w:tc>
          <w:tcPr>
            <w:tcW w:w="2552" w:type="dxa"/>
            <w:tcBorders>
              <w:top w:val="single" w:color="auto" w:sz="4" w:space="0"/>
              <w:left w:val="single" w:color="auto" w:sz="4" w:space="0"/>
              <w:bottom w:val="single" w:color="auto" w:sz="4" w:space="0"/>
              <w:right w:val="single" w:color="auto" w:sz="4" w:space="0"/>
            </w:tcBorders>
            <w:vAlign w:val="top"/>
          </w:tcPr>
          <w:p w14:paraId="6E7C1B8F">
            <w:pPr>
              <w:jc w:val="left"/>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含服务周期内现场值班人员所需的全部防护眼镜、防护服、劳保鞋、胶手套等劳保用品。注：防护服用途为每次作业操作需要更换所需。</w:t>
            </w:r>
          </w:p>
        </w:tc>
        <w:tc>
          <w:tcPr>
            <w:tcW w:w="1406" w:type="dxa"/>
            <w:tcBorders>
              <w:top w:val="single" w:color="auto" w:sz="4" w:space="0"/>
              <w:left w:val="single" w:color="auto" w:sz="4" w:space="0"/>
              <w:bottom w:val="single" w:color="auto" w:sz="4" w:space="0"/>
              <w:right w:val="single" w:color="auto" w:sz="4" w:space="0"/>
            </w:tcBorders>
            <w:vAlign w:val="center"/>
          </w:tcPr>
          <w:p w14:paraId="77062878">
            <w:pPr>
              <w:jc w:val="center"/>
              <w:rPr>
                <w:rFonts w:ascii="仿宋" w:hAnsi="仿宋" w:eastAsia="仿宋"/>
                <w:kern w:val="0"/>
                <w:sz w:val="24"/>
                <w:szCs w:val="24"/>
                <w14:ligatures w14:val="none"/>
              </w:rPr>
            </w:pPr>
          </w:p>
        </w:tc>
        <w:tc>
          <w:tcPr>
            <w:tcW w:w="1429" w:type="dxa"/>
            <w:tcBorders>
              <w:top w:val="single" w:color="auto" w:sz="4" w:space="0"/>
              <w:left w:val="single" w:color="auto" w:sz="4" w:space="0"/>
              <w:bottom w:val="single" w:color="auto" w:sz="4" w:space="0"/>
              <w:right w:val="single" w:color="auto" w:sz="4" w:space="0"/>
            </w:tcBorders>
            <w:vAlign w:val="center"/>
          </w:tcPr>
          <w:p w14:paraId="05F2FA72">
            <w:pPr>
              <w:jc w:val="center"/>
              <w:rPr>
                <w:rFonts w:ascii="仿宋" w:hAnsi="仿宋" w:eastAsia="仿宋"/>
                <w:kern w:val="0"/>
                <w:sz w:val="24"/>
                <w:szCs w:val="24"/>
                <w14:ligatures w14:val="none"/>
              </w:rPr>
            </w:pPr>
          </w:p>
        </w:tc>
      </w:tr>
    </w:tbl>
    <w:p w14:paraId="3B22829D">
      <w:pPr>
        <w:pStyle w:val="4"/>
        <w:ind w:firstLine="0" w:firstLineChars="0"/>
        <w:rPr>
          <w:rFonts w:hint="eastAsia" w:ascii="仿宋" w:hAnsi="仿宋" w:eastAsia="仿宋" w:cstheme="minorBidi"/>
          <w:kern w:val="0"/>
          <w:sz w:val="24"/>
          <w:szCs w:val="24"/>
          <w:lang w:val="en-US" w:eastAsia="zh-CN" w:bidi="ar-SA"/>
          <w14:ligatures w14:val="none"/>
        </w:rPr>
      </w:pPr>
      <w:r>
        <w:rPr>
          <w:rFonts w:hint="eastAsia" w:ascii="仿宋" w:hAnsi="仿宋" w:eastAsia="仿宋" w:cstheme="minorBidi"/>
          <w:kern w:val="0"/>
          <w:sz w:val="24"/>
          <w:szCs w:val="24"/>
          <w:lang w:val="en-US" w:eastAsia="zh-CN" w:bidi="ar-SA"/>
          <w14:ligatures w14:val="none"/>
        </w:rPr>
        <w:t>注：供应商应针对本项目提供可能涉及的运行维护</w:t>
      </w:r>
      <w:r>
        <w:rPr>
          <w:rFonts w:hint="default" w:ascii="仿宋" w:hAnsi="仿宋" w:eastAsia="仿宋" w:cstheme="minorBidi"/>
          <w:kern w:val="0"/>
          <w:sz w:val="24"/>
          <w:szCs w:val="24"/>
          <w:lang w:eastAsia="zh-CN" w:bidi="ar-SA"/>
          <w14:ligatures w14:val="none"/>
        </w:rPr>
        <w:t>、</w:t>
      </w:r>
      <w:r>
        <w:rPr>
          <w:rFonts w:hint="eastAsia" w:ascii="仿宋" w:hAnsi="仿宋" w:eastAsia="仿宋" w:cstheme="minorBidi"/>
          <w:kern w:val="0"/>
          <w:sz w:val="24"/>
          <w:szCs w:val="24"/>
          <w:lang w:val="en-US" w:eastAsia="zh-CN" w:bidi="ar-SA"/>
          <w14:ligatures w14:val="none"/>
        </w:rPr>
        <w:t>升级更新、备品备件、劳保用品等后续采购情况说明，可自行增加行数进行详细说明，附件相关佐证材料（如有）。</w:t>
      </w:r>
    </w:p>
    <w:p w14:paraId="56F2D754">
      <w:pPr>
        <w:pStyle w:val="4"/>
        <w:ind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63F7D5F5">
      <w:pPr>
        <w:pStyle w:val="4"/>
        <w:ind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00ADD638">
      <w:pPr>
        <w:widowControl/>
        <w:spacing w:after="150" w:line="360" w:lineRule="auto"/>
        <w:ind w:firstLine="420"/>
        <w:jc w:val="right"/>
        <w:rPr>
          <w:rFonts w:ascii="仿宋" w:hAnsi="仿宋" w:eastAsia="仿宋"/>
          <w:kern w:val="0"/>
          <w:sz w:val="28"/>
          <w:szCs w:val="28"/>
        </w:rPr>
      </w:pPr>
      <w:r>
        <w:rPr>
          <w:rFonts w:hint="eastAsia" w:ascii="仿宋" w:hAnsi="仿宋" w:eastAsia="仿宋" w:cs="宋体"/>
          <w:b/>
          <w:bCs/>
          <w:sz w:val="36"/>
          <w:szCs w:val="36"/>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53ED2EE5">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4712B2BC">
      <w:pPr>
        <w:pStyle w:val="4"/>
        <w:ind w:firstLine="0" w:firstLineChars="0"/>
        <w:jc w:val="center"/>
        <w:rPr>
          <w:rFonts w:ascii="仿宋" w:hAnsi="仿宋" w:eastAsia="仿宋" w:cs="宋体"/>
          <w:b/>
          <w:bCs/>
          <w:sz w:val="36"/>
          <w:szCs w:val="36"/>
        </w:rPr>
      </w:pPr>
    </w:p>
    <w:p w14:paraId="511EA52D">
      <w:pPr>
        <w:widowControl/>
        <w:spacing w:after="150" w:line="360" w:lineRule="auto"/>
        <w:ind w:firstLine="420"/>
        <w:jc w:val="right"/>
      </w:pPr>
      <w:r>
        <w:rPr>
          <w:rFonts w:hint="eastAsia" w:ascii="仿宋" w:hAnsi="仿宋" w:eastAsia="仿宋" w:cs="宋体"/>
          <w:b/>
          <w:bCs/>
          <w:sz w:val="36"/>
          <w:szCs w:val="36"/>
        </w:rPr>
        <w:t xml:space="preserve"> </w:t>
      </w:r>
    </w:p>
    <w:p w14:paraId="33F9723F">
      <w:pPr>
        <w:rPr>
          <w:rFonts w:hint="eastAsia" w:ascii="仿宋" w:hAnsi="仿宋" w:eastAsia="仿宋" w:cs="宋体"/>
          <w:kern w:val="0"/>
          <w:sz w:val="28"/>
          <w:szCs w:val="28"/>
        </w:rPr>
      </w:pPr>
      <w:r>
        <w:rPr>
          <w:rFonts w:hint="eastAsia" w:ascii="仿宋" w:hAnsi="仿宋" w:eastAsia="仿宋" w:cs="宋体"/>
          <w:kern w:val="0"/>
          <w:sz w:val="28"/>
          <w:szCs w:val="28"/>
        </w:rPr>
        <w:br w:type="page"/>
      </w:r>
    </w:p>
    <w:p w14:paraId="637A0490">
      <w:pPr>
        <w:pStyle w:val="4"/>
        <w:ind w:firstLine="0" w:firstLineChars="0"/>
        <w:rPr>
          <w:rFonts w:hint="eastAsia" w:ascii="仿宋" w:hAnsi="仿宋" w:eastAsia="仿宋" w:cs="宋体"/>
          <w:b/>
          <w:bCs/>
          <w:kern w:val="0"/>
          <w:sz w:val="28"/>
          <w:szCs w:val="28"/>
          <w:lang w:val="en-US" w:eastAsia="zh-CN"/>
        </w:rPr>
      </w:pPr>
      <w:r>
        <w:rPr>
          <w:rFonts w:hint="eastAsia" w:ascii="仿宋" w:hAnsi="仿宋" w:eastAsia="仿宋" w:cs="宋体"/>
          <w:kern w:val="0"/>
          <w:sz w:val="28"/>
          <w:szCs w:val="28"/>
        </w:rPr>
        <w:t>表</w:t>
      </w:r>
      <w:r>
        <w:rPr>
          <w:rFonts w:hint="eastAsia" w:ascii="仿宋" w:hAnsi="仿宋" w:eastAsia="仿宋" w:cs="宋体"/>
          <w:kern w:val="0"/>
          <w:sz w:val="28"/>
          <w:szCs w:val="28"/>
          <w:lang w:val="en-US" w:eastAsia="zh-CN"/>
        </w:rPr>
        <w:t>6</w:t>
      </w:r>
      <w:r>
        <w:rPr>
          <w:rFonts w:hint="eastAsia" w:ascii="仿宋" w:hAnsi="仿宋" w:eastAsia="仿宋" w:cs="宋体"/>
          <w:b/>
          <w:bCs/>
          <w:kern w:val="0"/>
          <w:sz w:val="28"/>
          <w:szCs w:val="28"/>
          <w:lang w:val="en-US" w:eastAsia="zh-CN"/>
        </w:rPr>
        <w:t xml:space="preserve"> </w:t>
      </w:r>
    </w:p>
    <w:p w14:paraId="5B0FE9F9">
      <w:pPr>
        <w:pStyle w:val="4"/>
        <w:ind w:firstLine="0" w:firstLineChars="0"/>
        <w:jc w:val="center"/>
        <w:outlineLvl w:val="1"/>
        <w:rPr>
          <w:rFonts w:hint="default" w:ascii="仿宋" w:hAnsi="仿宋" w:eastAsia="仿宋" w:cs="宋体"/>
          <w:b/>
          <w:bCs/>
          <w:sz w:val="36"/>
          <w:szCs w:val="36"/>
          <w:lang w:val="en-US" w:eastAsia="zh-CN"/>
        </w:rPr>
      </w:pPr>
      <w:r>
        <w:rPr>
          <w:rFonts w:hint="eastAsia" w:ascii="仿宋" w:hAnsi="仿宋" w:eastAsia="仿宋" w:cs="宋体"/>
          <w:b/>
          <w:bCs/>
          <w:sz w:val="36"/>
          <w:szCs w:val="36"/>
          <w:lang w:val="en-US" w:eastAsia="zh-CN"/>
        </w:rPr>
        <w:t>需求响应反馈情况</w:t>
      </w:r>
      <w:r>
        <w:rPr>
          <w:rFonts w:hint="eastAsia" w:ascii="仿宋" w:hAnsi="仿宋" w:eastAsia="仿宋" w:cs="宋体"/>
          <w:b/>
          <w:bCs/>
          <w:color w:val="FF0000"/>
          <w:sz w:val="36"/>
          <w:szCs w:val="36"/>
          <w:lang w:val="en-US" w:eastAsia="zh-CN"/>
        </w:rPr>
        <w:t>（必填）</w:t>
      </w:r>
    </w:p>
    <w:p w14:paraId="76FCD493">
      <w:pPr>
        <w:pStyle w:val="4"/>
        <w:ind w:firstLine="0" w:firstLineChars="0"/>
        <w:jc w:val="left"/>
        <w:rPr>
          <w:rFonts w:hint="default" w:asciiTheme="minorEastAsia" w:hAnsiTheme="minorEastAsia" w:eastAsiaTheme="minorEastAsia" w:cstheme="minorEastAsia"/>
          <w:sz w:val="28"/>
          <w:szCs w:val="28"/>
          <w:vertAlign w:val="baseline"/>
          <w:lang w:eastAsia="zh-CN"/>
        </w:rPr>
      </w:pPr>
      <w:r>
        <w:rPr>
          <w:rFonts w:hint="eastAsia" w:asciiTheme="minorEastAsia" w:hAnsiTheme="minorEastAsia" w:eastAsiaTheme="minorEastAsia" w:cstheme="minorEastAsia"/>
          <w:sz w:val="28"/>
          <w:szCs w:val="28"/>
          <w:vertAlign w:val="baseline"/>
          <w:lang w:val="en-US" w:eastAsia="zh-CN"/>
        </w:rPr>
        <w:t>致：广州医科大学附属第三医院白云分院/</w:t>
      </w:r>
      <w:r>
        <w:rPr>
          <w:rFonts w:hint="default" w:asciiTheme="minorEastAsia" w:hAnsiTheme="minorEastAsia" w:eastAsiaTheme="minorEastAsia" w:cstheme="minorEastAsia"/>
          <w:sz w:val="28"/>
          <w:szCs w:val="28"/>
          <w:vertAlign w:val="baseline"/>
          <w:lang w:eastAsia="zh-CN"/>
        </w:rPr>
        <w:t>广东广招招标采购有限公司</w:t>
      </w:r>
    </w:p>
    <w:tbl>
      <w:tblPr>
        <w:tblStyle w:val="14"/>
        <w:tblW w:w="96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5"/>
        <w:gridCol w:w="2846"/>
        <w:gridCol w:w="4627"/>
        <w:gridCol w:w="1240"/>
      </w:tblGrid>
      <w:tr w14:paraId="279E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945" w:type="dxa"/>
            <w:vAlign w:val="center"/>
          </w:tcPr>
          <w:p w14:paraId="43A7774C">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序号</w:t>
            </w:r>
          </w:p>
        </w:tc>
        <w:tc>
          <w:tcPr>
            <w:tcW w:w="2846" w:type="dxa"/>
            <w:vAlign w:val="center"/>
          </w:tcPr>
          <w:p w14:paraId="74EAAF7A">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内容</w:t>
            </w:r>
          </w:p>
        </w:tc>
        <w:tc>
          <w:tcPr>
            <w:tcW w:w="4627" w:type="dxa"/>
            <w:vAlign w:val="center"/>
          </w:tcPr>
          <w:p w14:paraId="36F8E177">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供应商响应情况</w:t>
            </w:r>
          </w:p>
        </w:tc>
        <w:tc>
          <w:tcPr>
            <w:tcW w:w="1240" w:type="dxa"/>
            <w:vAlign w:val="center"/>
          </w:tcPr>
          <w:p w14:paraId="03AF7CB8">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备注/说明</w:t>
            </w:r>
          </w:p>
        </w:tc>
      </w:tr>
      <w:tr w14:paraId="11A0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45" w:type="dxa"/>
            <w:vAlign w:val="center"/>
          </w:tcPr>
          <w:p w14:paraId="05A9413D">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1</w:t>
            </w:r>
          </w:p>
        </w:tc>
        <w:tc>
          <w:tcPr>
            <w:tcW w:w="2846" w:type="dxa"/>
            <w:vAlign w:val="top"/>
          </w:tcPr>
          <w:p w14:paraId="006F2941">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服务要求：人员是否适用，能否两个院区各配置1名现场值班管理人员，24小时值班制，现场主管需有相应的污/废水处理工证。应急响应时间1小时以内。？</w:t>
            </w:r>
          </w:p>
        </w:tc>
        <w:tc>
          <w:tcPr>
            <w:tcW w:w="4627" w:type="dxa"/>
          </w:tcPr>
          <w:p w14:paraId="7F476E9B">
            <w:pPr>
              <w:jc w:val="center"/>
              <w:rPr>
                <w:rFonts w:hint="eastAsia" w:ascii="仿宋" w:hAnsi="仿宋" w:eastAsia="仿宋"/>
                <w:kern w:val="0"/>
                <w:sz w:val="24"/>
                <w:szCs w:val="24"/>
                <w:lang w:val="en-US" w:eastAsia="zh-CN"/>
                <w14:ligatures w14:val="none"/>
              </w:rPr>
            </w:pPr>
          </w:p>
        </w:tc>
        <w:tc>
          <w:tcPr>
            <w:tcW w:w="1240" w:type="dxa"/>
          </w:tcPr>
          <w:p w14:paraId="73CAA64B">
            <w:pPr>
              <w:jc w:val="center"/>
              <w:rPr>
                <w:rFonts w:hint="eastAsia" w:ascii="仿宋" w:hAnsi="仿宋" w:eastAsia="仿宋"/>
                <w:kern w:val="0"/>
                <w:sz w:val="24"/>
                <w:szCs w:val="24"/>
                <w:lang w:val="en-US" w:eastAsia="zh-CN"/>
                <w14:ligatures w14:val="none"/>
              </w:rPr>
            </w:pPr>
          </w:p>
        </w:tc>
      </w:tr>
      <w:tr w14:paraId="7CC2B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0" w:hRule="atLeast"/>
        </w:trPr>
        <w:tc>
          <w:tcPr>
            <w:tcW w:w="945" w:type="dxa"/>
            <w:vAlign w:val="center"/>
          </w:tcPr>
          <w:p w14:paraId="03D1812B">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2</w:t>
            </w:r>
          </w:p>
        </w:tc>
        <w:tc>
          <w:tcPr>
            <w:tcW w:w="2846" w:type="dxa"/>
            <w:vAlign w:val="top"/>
          </w:tcPr>
          <w:p w14:paraId="5D6EC7C7">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服务标准：能否开展污水监测工作，能否服务周期内按医院所持排污许可证中自行监测要求的每季、每月、每周、每天的相应频次开展检测工作？</w:t>
            </w:r>
          </w:p>
        </w:tc>
        <w:tc>
          <w:tcPr>
            <w:tcW w:w="4627" w:type="dxa"/>
          </w:tcPr>
          <w:p w14:paraId="0A357547">
            <w:pPr>
              <w:jc w:val="center"/>
              <w:rPr>
                <w:rFonts w:hint="eastAsia" w:ascii="仿宋" w:hAnsi="仿宋" w:eastAsia="仿宋"/>
                <w:kern w:val="0"/>
                <w:sz w:val="24"/>
                <w:szCs w:val="24"/>
                <w:lang w:val="en-US" w:eastAsia="zh-CN"/>
                <w14:ligatures w14:val="none"/>
              </w:rPr>
            </w:pPr>
          </w:p>
        </w:tc>
        <w:tc>
          <w:tcPr>
            <w:tcW w:w="1240" w:type="dxa"/>
          </w:tcPr>
          <w:p w14:paraId="04B3867C">
            <w:pPr>
              <w:jc w:val="center"/>
              <w:rPr>
                <w:rFonts w:hint="eastAsia" w:ascii="仿宋" w:hAnsi="仿宋" w:eastAsia="仿宋"/>
                <w:kern w:val="0"/>
                <w:sz w:val="24"/>
                <w:szCs w:val="24"/>
                <w:lang w:val="en-US" w:eastAsia="zh-CN"/>
                <w14:ligatures w14:val="none"/>
              </w:rPr>
            </w:pPr>
          </w:p>
        </w:tc>
      </w:tr>
      <w:tr w14:paraId="5DFDE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5" w:hRule="atLeast"/>
        </w:trPr>
        <w:tc>
          <w:tcPr>
            <w:tcW w:w="945" w:type="dxa"/>
            <w:vAlign w:val="center"/>
          </w:tcPr>
          <w:p w14:paraId="012F3383">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3</w:t>
            </w:r>
          </w:p>
        </w:tc>
        <w:tc>
          <w:tcPr>
            <w:tcW w:w="2846" w:type="dxa"/>
            <w:vAlign w:val="top"/>
          </w:tcPr>
          <w:p w14:paraId="4B8D7569">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服务标准：能否填报各监管平台数据，能否按合同当年度各项相关环保法规和监管的要求，负责对各监管平台相应的数据填报工作。包括但不限于全国排污许可证信息管理平台，广东省环境应急业务监管平台等？</w:t>
            </w:r>
          </w:p>
        </w:tc>
        <w:tc>
          <w:tcPr>
            <w:tcW w:w="4627" w:type="dxa"/>
          </w:tcPr>
          <w:p w14:paraId="70B25967">
            <w:pPr>
              <w:jc w:val="center"/>
              <w:rPr>
                <w:rFonts w:hint="eastAsia" w:ascii="仿宋" w:hAnsi="仿宋" w:eastAsia="仿宋"/>
                <w:kern w:val="0"/>
                <w:sz w:val="24"/>
                <w:szCs w:val="24"/>
                <w:lang w:val="en-US" w:eastAsia="zh-CN"/>
                <w14:ligatures w14:val="none"/>
              </w:rPr>
            </w:pPr>
          </w:p>
        </w:tc>
        <w:tc>
          <w:tcPr>
            <w:tcW w:w="1240" w:type="dxa"/>
          </w:tcPr>
          <w:p w14:paraId="33B24399">
            <w:pPr>
              <w:jc w:val="center"/>
              <w:rPr>
                <w:rFonts w:hint="eastAsia" w:ascii="仿宋" w:hAnsi="仿宋" w:eastAsia="仿宋"/>
                <w:kern w:val="0"/>
                <w:sz w:val="24"/>
                <w:szCs w:val="24"/>
                <w:lang w:val="en-US" w:eastAsia="zh-CN"/>
                <w14:ligatures w14:val="none"/>
              </w:rPr>
            </w:pPr>
          </w:p>
        </w:tc>
      </w:tr>
      <w:tr w14:paraId="08BE4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2" w:hRule="atLeast"/>
        </w:trPr>
        <w:tc>
          <w:tcPr>
            <w:tcW w:w="945" w:type="dxa"/>
            <w:vAlign w:val="center"/>
          </w:tcPr>
          <w:p w14:paraId="53418B81">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4</w:t>
            </w:r>
          </w:p>
        </w:tc>
        <w:tc>
          <w:tcPr>
            <w:tcW w:w="2846" w:type="dxa"/>
            <w:vAlign w:val="top"/>
          </w:tcPr>
          <w:p w14:paraId="27A50085">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履行项目必须的资质？供应商能否协助医院办理医院排水许可证。自合同签订之日起30个工作日内取得两个院区有效的医院排水许可证原件；（提供承诺函，格式自拟）？需求要求的人员数量是否合理？投入项目人员数量及要求有那些建议？</w:t>
            </w:r>
          </w:p>
        </w:tc>
        <w:tc>
          <w:tcPr>
            <w:tcW w:w="4627" w:type="dxa"/>
          </w:tcPr>
          <w:p w14:paraId="33492511">
            <w:pPr>
              <w:jc w:val="center"/>
              <w:rPr>
                <w:rFonts w:hint="eastAsia" w:ascii="仿宋" w:hAnsi="仿宋" w:eastAsia="仿宋"/>
                <w:kern w:val="0"/>
                <w:sz w:val="24"/>
                <w:szCs w:val="24"/>
                <w:lang w:val="en-US" w:eastAsia="zh-CN"/>
                <w14:ligatures w14:val="none"/>
              </w:rPr>
            </w:pPr>
          </w:p>
        </w:tc>
        <w:tc>
          <w:tcPr>
            <w:tcW w:w="1240" w:type="dxa"/>
          </w:tcPr>
          <w:p w14:paraId="0A73B1B0">
            <w:pPr>
              <w:jc w:val="center"/>
              <w:rPr>
                <w:rFonts w:hint="eastAsia" w:ascii="仿宋" w:hAnsi="仿宋" w:eastAsia="仿宋"/>
                <w:kern w:val="0"/>
                <w:sz w:val="24"/>
                <w:szCs w:val="24"/>
                <w:lang w:val="en-US" w:eastAsia="zh-CN"/>
                <w14:ligatures w14:val="none"/>
              </w:rPr>
            </w:pPr>
          </w:p>
        </w:tc>
      </w:tr>
      <w:tr w14:paraId="74DDE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945" w:type="dxa"/>
            <w:vAlign w:val="center"/>
          </w:tcPr>
          <w:p w14:paraId="69F39887">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5</w:t>
            </w:r>
          </w:p>
        </w:tc>
        <w:tc>
          <w:tcPr>
            <w:tcW w:w="2846" w:type="dxa"/>
            <w:vAlign w:val="top"/>
          </w:tcPr>
          <w:p w14:paraId="03DE96EB">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服务标准：机场路院区企业事业单位突发环境事件应急预案备案表，协助医院完成编制</w:t>
            </w:r>
            <w:r>
              <w:rPr>
                <w:rFonts w:hint="eastAsia" w:ascii="仿宋" w:hAnsi="仿宋" w:eastAsia="仿宋"/>
                <w:kern w:val="0"/>
                <w:sz w:val="24"/>
                <w:szCs w:val="24"/>
                <w:lang w:val="en-US" w:eastAsia="zh-CN"/>
                <w14:ligatures w14:val="none"/>
              </w:rPr>
              <w:tab/>
            </w:r>
            <w:r>
              <w:rPr>
                <w:rFonts w:hint="eastAsia" w:ascii="仿宋" w:hAnsi="仿宋" w:eastAsia="仿宋"/>
                <w:kern w:val="0"/>
                <w:sz w:val="24"/>
                <w:szCs w:val="24"/>
                <w:lang w:val="en-US" w:eastAsia="zh-CN"/>
                <w14:ligatures w14:val="none"/>
              </w:rPr>
              <w:t>企业事业单位突发环境事件应急及提交备案的工作。自合同签订之日起30个工作日内与污染物排放管理方案同步完成取得备案回执。</w:t>
            </w:r>
          </w:p>
        </w:tc>
        <w:tc>
          <w:tcPr>
            <w:tcW w:w="4627" w:type="dxa"/>
          </w:tcPr>
          <w:p w14:paraId="721172DC">
            <w:pPr>
              <w:jc w:val="center"/>
              <w:rPr>
                <w:rFonts w:hint="eastAsia" w:ascii="仿宋" w:hAnsi="仿宋" w:eastAsia="仿宋"/>
                <w:kern w:val="0"/>
                <w:sz w:val="24"/>
                <w:szCs w:val="24"/>
                <w:lang w:val="en-US" w:eastAsia="zh-CN"/>
                <w14:ligatures w14:val="none"/>
              </w:rPr>
            </w:pPr>
          </w:p>
        </w:tc>
        <w:tc>
          <w:tcPr>
            <w:tcW w:w="1240" w:type="dxa"/>
          </w:tcPr>
          <w:p w14:paraId="310F0122">
            <w:pPr>
              <w:jc w:val="center"/>
              <w:rPr>
                <w:rFonts w:hint="eastAsia" w:ascii="仿宋" w:hAnsi="仿宋" w:eastAsia="仿宋"/>
                <w:kern w:val="0"/>
                <w:sz w:val="24"/>
                <w:szCs w:val="24"/>
                <w:lang w:val="en-US" w:eastAsia="zh-CN"/>
                <w14:ligatures w14:val="none"/>
              </w:rPr>
            </w:pPr>
          </w:p>
        </w:tc>
      </w:tr>
      <w:tr w14:paraId="38463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945" w:type="dxa"/>
            <w:vAlign w:val="center"/>
          </w:tcPr>
          <w:p w14:paraId="4CF92B42">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6</w:t>
            </w:r>
          </w:p>
        </w:tc>
        <w:tc>
          <w:tcPr>
            <w:tcW w:w="2846" w:type="dxa"/>
            <w:vAlign w:val="top"/>
          </w:tcPr>
          <w:p w14:paraId="512C6EC5">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供应商的业绩有那些？可填写表4</w:t>
            </w:r>
          </w:p>
        </w:tc>
        <w:tc>
          <w:tcPr>
            <w:tcW w:w="4627" w:type="dxa"/>
          </w:tcPr>
          <w:p w14:paraId="618E0265">
            <w:pPr>
              <w:jc w:val="center"/>
              <w:rPr>
                <w:rFonts w:hint="eastAsia" w:ascii="仿宋" w:hAnsi="仿宋" w:eastAsia="仿宋"/>
                <w:kern w:val="0"/>
                <w:sz w:val="24"/>
                <w:szCs w:val="24"/>
                <w:lang w:val="en-US" w:eastAsia="zh-CN"/>
                <w14:ligatures w14:val="none"/>
              </w:rPr>
            </w:pPr>
          </w:p>
        </w:tc>
        <w:tc>
          <w:tcPr>
            <w:tcW w:w="1240" w:type="dxa"/>
          </w:tcPr>
          <w:p w14:paraId="62B6ACC6">
            <w:pPr>
              <w:jc w:val="center"/>
              <w:rPr>
                <w:rFonts w:hint="eastAsia" w:ascii="仿宋" w:hAnsi="仿宋" w:eastAsia="仿宋"/>
                <w:kern w:val="0"/>
                <w:sz w:val="24"/>
                <w:szCs w:val="24"/>
                <w:lang w:val="en-US" w:eastAsia="zh-CN"/>
                <w14:ligatures w14:val="none"/>
              </w:rPr>
            </w:pPr>
          </w:p>
        </w:tc>
      </w:tr>
      <w:tr w14:paraId="1D004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45" w:type="dxa"/>
            <w:vAlign w:val="center"/>
          </w:tcPr>
          <w:p w14:paraId="6C40774C">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7</w:t>
            </w:r>
          </w:p>
        </w:tc>
        <w:tc>
          <w:tcPr>
            <w:tcW w:w="2846" w:type="dxa"/>
            <w:vAlign w:val="top"/>
          </w:tcPr>
          <w:p w14:paraId="0A698C7E">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考核表内容是否合理？有没有更好建议。</w:t>
            </w:r>
          </w:p>
        </w:tc>
        <w:tc>
          <w:tcPr>
            <w:tcW w:w="4627" w:type="dxa"/>
          </w:tcPr>
          <w:p w14:paraId="76C3CE59">
            <w:pPr>
              <w:jc w:val="center"/>
              <w:rPr>
                <w:rFonts w:hint="eastAsia" w:ascii="仿宋" w:hAnsi="仿宋" w:eastAsia="仿宋"/>
                <w:kern w:val="0"/>
                <w:sz w:val="24"/>
                <w:szCs w:val="24"/>
                <w:lang w:val="en-US" w:eastAsia="zh-CN"/>
                <w14:ligatures w14:val="none"/>
              </w:rPr>
            </w:pPr>
          </w:p>
        </w:tc>
        <w:tc>
          <w:tcPr>
            <w:tcW w:w="1240" w:type="dxa"/>
          </w:tcPr>
          <w:p w14:paraId="35DE4170">
            <w:pPr>
              <w:jc w:val="center"/>
              <w:rPr>
                <w:rFonts w:hint="eastAsia" w:ascii="仿宋" w:hAnsi="仿宋" w:eastAsia="仿宋"/>
                <w:kern w:val="0"/>
                <w:sz w:val="24"/>
                <w:szCs w:val="24"/>
                <w:lang w:val="en-US" w:eastAsia="zh-CN"/>
                <w14:ligatures w14:val="none"/>
              </w:rPr>
            </w:pPr>
          </w:p>
        </w:tc>
      </w:tr>
      <w:tr w14:paraId="13FC4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945" w:type="dxa"/>
            <w:vAlign w:val="center"/>
          </w:tcPr>
          <w:p w14:paraId="7FE0A9EC">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8</w:t>
            </w:r>
          </w:p>
        </w:tc>
        <w:tc>
          <w:tcPr>
            <w:tcW w:w="2846" w:type="dxa"/>
            <w:vAlign w:val="top"/>
          </w:tcPr>
          <w:p w14:paraId="7FDD4257">
            <w:pPr>
              <w:jc w:val="center"/>
              <w:rPr>
                <w:rFonts w:hint="eastAsia" w:ascii="仿宋" w:hAnsi="仿宋" w:eastAsia="仿宋"/>
                <w:kern w:val="0"/>
                <w:sz w:val="24"/>
                <w:szCs w:val="24"/>
                <w:lang w:val="en-US" w:eastAsia="zh-CN"/>
                <w14:ligatures w14:val="none"/>
              </w:rPr>
            </w:pPr>
            <w:r>
              <w:rPr>
                <w:rFonts w:hint="eastAsia" w:ascii="仿宋" w:hAnsi="仿宋" w:eastAsia="仿宋"/>
                <w:kern w:val="0"/>
                <w:sz w:val="24"/>
                <w:szCs w:val="24"/>
                <w:lang w:val="en-US" w:eastAsia="zh-CN"/>
                <w14:ligatures w14:val="none"/>
              </w:rPr>
              <w:t>考核结果与支付金额对应的建议？</w:t>
            </w:r>
          </w:p>
        </w:tc>
        <w:tc>
          <w:tcPr>
            <w:tcW w:w="4627" w:type="dxa"/>
          </w:tcPr>
          <w:p w14:paraId="4C3A314B">
            <w:pPr>
              <w:jc w:val="center"/>
              <w:rPr>
                <w:rFonts w:hint="eastAsia" w:ascii="仿宋" w:hAnsi="仿宋" w:eastAsia="仿宋"/>
                <w:kern w:val="0"/>
                <w:sz w:val="24"/>
                <w:szCs w:val="24"/>
                <w:lang w:val="en-US" w:eastAsia="zh-CN"/>
                <w14:ligatures w14:val="none"/>
              </w:rPr>
            </w:pPr>
          </w:p>
        </w:tc>
        <w:tc>
          <w:tcPr>
            <w:tcW w:w="1240" w:type="dxa"/>
          </w:tcPr>
          <w:p w14:paraId="28F54B17">
            <w:pPr>
              <w:jc w:val="center"/>
              <w:rPr>
                <w:rFonts w:hint="eastAsia" w:ascii="仿宋" w:hAnsi="仿宋" w:eastAsia="仿宋"/>
                <w:kern w:val="0"/>
                <w:sz w:val="24"/>
                <w:szCs w:val="24"/>
                <w:lang w:val="en-US" w:eastAsia="zh-CN"/>
                <w14:ligatures w14:val="none"/>
              </w:rPr>
            </w:pPr>
          </w:p>
        </w:tc>
      </w:tr>
    </w:tbl>
    <w:p w14:paraId="7D6E0984">
      <w:pPr>
        <w:pStyle w:val="4"/>
        <w:ind w:firstLine="0" w:firstLineChars="0"/>
        <w:rPr>
          <w:rFonts w:hint="eastAsia" w:ascii="仿宋" w:hAnsi="仿宋" w:eastAsia="仿宋" w:cstheme="minorBidi"/>
          <w:b/>
          <w:bCs/>
          <w:kern w:val="0"/>
          <w:sz w:val="24"/>
          <w:szCs w:val="24"/>
          <w:lang w:val="en-US" w:eastAsia="zh-CN" w:bidi="ar-SA"/>
          <w14:ligatures w14:val="none"/>
        </w:rPr>
      </w:pPr>
      <w:r>
        <w:rPr>
          <w:rFonts w:hint="eastAsia" w:ascii="仿宋" w:hAnsi="仿宋" w:eastAsia="仿宋" w:cstheme="minorBidi"/>
          <w:b/>
          <w:bCs/>
          <w:kern w:val="0"/>
          <w:sz w:val="24"/>
          <w:szCs w:val="24"/>
          <w:lang w:val="en-US" w:eastAsia="zh-CN" w:bidi="ar-SA"/>
          <w14:ligatures w14:val="none"/>
        </w:rPr>
        <w:t>【备注】供应商可自行增加表格行数进行完整说明，宣传彩页或实体照片、第三方检测报告（如有）、人员证书等佐证资料附表后。</w:t>
      </w:r>
    </w:p>
    <w:p w14:paraId="4982329F">
      <w:pPr>
        <w:widowControl/>
        <w:spacing w:after="150" w:line="360" w:lineRule="auto"/>
        <w:ind w:firstLine="420"/>
        <w:jc w:val="right"/>
        <w:rPr>
          <w:rFonts w:hint="eastAsia" w:ascii="仿宋" w:hAnsi="仿宋" w:eastAsia="仿宋"/>
          <w:kern w:val="0"/>
          <w:sz w:val="28"/>
          <w:szCs w:val="28"/>
        </w:rPr>
      </w:pPr>
    </w:p>
    <w:p w14:paraId="1858F0C0">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7EA8813B">
      <w:pPr>
        <w:widowControl/>
        <w:spacing w:after="150" w:line="360" w:lineRule="auto"/>
        <w:ind w:firstLine="420"/>
        <w:jc w:val="right"/>
        <w:rPr>
          <w:rFonts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1E80445A">
      <w:pPr>
        <w:pStyle w:val="4"/>
        <w:ind w:firstLine="0" w:firstLineChars="0"/>
        <w:rPr>
          <w:rFonts w:hint="eastAsia" w:ascii="仿宋" w:hAnsi="仿宋" w:eastAsia="仿宋" w:cs="宋体"/>
          <w:b/>
          <w:bCs/>
          <w:kern w:val="0"/>
          <w:sz w:val="28"/>
          <w:szCs w:val="28"/>
        </w:rPr>
      </w:pPr>
    </w:p>
    <w:p w14:paraId="31889727">
      <w:pPr>
        <w:pStyle w:val="4"/>
        <w:ind w:firstLine="0" w:firstLineChars="0"/>
        <w:rPr>
          <w:rFonts w:hint="eastAsia" w:ascii="仿宋" w:hAnsi="仿宋" w:eastAsia="仿宋" w:cs="宋体"/>
          <w:b/>
          <w:bCs/>
          <w:kern w:val="0"/>
          <w:sz w:val="28"/>
          <w:szCs w:val="28"/>
        </w:rPr>
      </w:pPr>
    </w:p>
    <w:p w14:paraId="3E69EBED">
      <w:pPr>
        <w:pStyle w:val="4"/>
        <w:ind w:firstLine="0" w:firstLineChars="0"/>
        <w:rPr>
          <w:rFonts w:hint="eastAsia" w:ascii="仿宋" w:hAnsi="仿宋" w:eastAsia="仿宋" w:cs="宋体"/>
          <w:b/>
          <w:bCs/>
          <w:kern w:val="0"/>
          <w:sz w:val="28"/>
          <w:szCs w:val="28"/>
          <w:lang w:eastAsia="zh-CN"/>
        </w:rPr>
      </w:pPr>
      <w:r>
        <w:rPr>
          <w:rFonts w:hint="eastAsia" w:ascii="仿宋" w:hAnsi="仿宋" w:eastAsia="仿宋" w:cs="宋体"/>
          <w:b/>
          <w:bCs/>
          <w:kern w:val="0"/>
          <w:sz w:val="28"/>
          <w:szCs w:val="28"/>
        </w:rPr>
        <w:t>表</w:t>
      </w:r>
      <w:r>
        <w:rPr>
          <w:rFonts w:hint="eastAsia" w:ascii="仿宋" w:hAnsi="仿宋" w:eastAsia="仿宋" w:cs="宋体"/>
          <w:b/>
          <w:bCs/>
          <w:kern w:val="0"/>
          <w:sz w:val="28"/>
          <w:szCs w:val="28"/>
          <w:lang w:val="en-US" w:eastAsia="zh-CN"/>
        </w:rPr>
        <w:t>7</w:t>
      </w:r>
    </w:p>
    <w:p w14:paraId="67387688">
      <w:pPr>
        <w:pStyle w:val="4"/>
        <w:spacing w:line="360" w:lineRule="auto"/>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lang w:val="en-US" w:eastAsia="zh-CN"/>
        </w:rPr>
        <w:t>总</w:t>
      </w:r>
      <w:r>
        <w:rPr>
          <w:rFonts w:hint="eastAsia" w:ascii="仿宋" w:hAnsi="仿宋" w:eastAsia="仿宋" w:cs="宋体"/>
          <w:b/>
          <w:bCs/>
          <w:sz w:val="36"/>
          <w:szCs w:val="36"/>
        </w:rPr>
        <w:t>报价</w:t>
      </w:r>
      <w:r>
        <w:rPr>
          <w:rFonts w:hint="eastAsia" w:ascii="仿宋" w:hAnsi="仿宋" w:eastAsia="仿宋" w:cs="宋体"/>
          <w:b/>
          <w:bCs/>
          <w:color w:val="FF0000"/>
          <w:sz w:val="36"/>
          <w:szCs w:val="36"/>
          <w:lang w:val="en-US" w:eastAsia="zh-CN"/>
        </w:rPr>
        <w:t>（必填）</w:t>
      </w:r>
    </w:p>
    <w:p w14:paraId="04AF9DB7">
      <w:pPr>
        <w:pStyle w:val="4"/>
        <w:spacing w:line="360" w:lineRule="auto"/>
        <w:ind w:firstLine="0" w:firstLineChars="0"/>
        <w:rPr>
          <w:rFonts w:hint="default"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default" w:ascii="仿宋" w:hAnsi="仿宋" w:eastAsia="仿宋" w:cs="宋体"/>
          <w:kern w:val="0"/>
          <w:sz w:val="28"/>
          <w:szCs w:val="28"/>
        </w:rPr>
        <w:t>广东广招招标采购有限公司</w:t>
      </w:r>
    </w:p>
    <w:tbl>
      <w:tblPr>
        <w:tblStyle w:val="13"/>
        <w:tblpPr w:leftFromText="180" w:rightFromText="180" w:vertAnchor="text" w:horzAnchor="page" w:tblpX="1334" w:tblpY="119"/>
        <w:tblOverlap w:val="never"/>
        <w:tblW w:w="9143" w:type="dxa"/>
        <w:tblInd w:w="0" w:type="dxa"/>
        <w:tblLayout w:type="autofit"/>
        <w:tblCellMar>
          <w:top w:w="0" w:type="dxa"/>
          <w:left w:w="108" w:type="dxa"/>
          <w:bottom w:w="0" w:type="dxa"/>
          <w:right w:w="108" w:type="dxa"/>
        </w:tblCellMar>
      </w:tblPr>
      <w:tblGrid>
        <w:gridCol w:w="779"/>
        <w:gridCol w:w="2712"/>
        <w:gridCol w:w="4441"/>
        <w:gridCol w:w="1211"/>
      </w:tblGrid>
      <w:tr w14:paraId="064EF0CA">
        <w:tblPrEx>
          <w:tblCellMar>
            <w:top w:w="0" w:type="dxa"/>
            <w:left w:w="108" w:type="dxa"/>
            <w:bottom w:w="0" w:type="dxa"/>
            <w:right w:w="108" w:type="dxa"/>
          </w:tblCellMar>
        </w:tblPrEx>
        <w:trPr>
          <w:trHeight w:val="1134" w:hRule="atLeast"/>
        </w:trPr>
        <w:tc>
          <w:tcPr>
            <w:tcW w:w="0" w:type="auto"/>
            <w:tcBorders>
              <w:top w:val="single" w:color="auto" w:sz="4" w:space="0"/>
              <w:left w:val="single" w:color="auto" w:sz="4" w:space="0"/>
              <w:bottom w:val="single" w:color="auto" w:sz="4" w:space="0"/>
              <w:right w:val="single" w:color="auto" w:sz="4" w:space="0"/>
            </w:tcBorders>
            <w:vAlign w:val="center"/>
          </w:tcPr>
          <w:p w14:paraId="28B41648">
            <w:pPr>
              <w:rPr>
                <w:rFonts w:ascii="新宋体" w:hAnsi="新宋体" w:eastAsia="新宋体" w:cs="新宋体"/>
                <w:b/>
                <w:sz w:val="28"/>
                <w:szCs w:val="28"/>
              </w:rPr>
            </w:pPr>
            <w:r>
              <w:rPr>
                <w:rFonts w:hint="eastAsia" w:ascii="新宋体" w:hAnsi="新宋体" w:eastAsia="新宋体" w:cs="新宋体"/>
                <w:b/>
                <w:sz w:val="28"/>
                <w:szCs w:val="28"/>
                <w:lang w:val="en-US" w:eastAsia="zh-CN"/>
              </w:rPr>
              <w:t>序号</w:t>
            </w:r>
          </w:p>
        </w:tc>
        <w:tc>
          <w:tcPr>
            <w:tcW w:w="2712" w:type="dxa"/>
            <w:tcBorders>
              <w:top w:val="single" w:color="auto" w:sz="4" w:space="0"/>
              <w:left w:val="single" w:color="auto" w:sz="4" w:space="0"/>
              <w:bottom w:val="single" w:color="auto" w:sz="4" w:space="0"/>
              <w:right w:val="single" w:color="auto" w:sz="4" w:space="0"/>
            </w:tcBorders>
            <w:vAlign w:val="center"/>
          </w:tcPr>
          <w:p w14:paraId="1472F531">
            <w:pPr>
              <w:jc w:val="center"/>
              <w:rPr>
                <w:rFonts w:hint="default" w:ascii="新宋体" w:hAnsi="新宋体" w:eastAsia="新宋体" w:cs="新宋体"/>
                <w:b/>
                <w:sz w:val="28"/>
                <w:szCs w:val="28"/>
                <w:lang w:val="en-US"/>
              </w:rPr>
            </w:pPr>
            <w:r>
              <w:rPr>
                <w:rFonts w:hint="eastAsia" w:ascii="新宋体" w:hAnsi="新宋体" w:eastAsia="新宋体" w:cs="新宋体"/>
                <w:b/>
                <w:sz w:val="28"/>
                <w:szCs w:val="28"/>
                <w:lang w:val="en-US" w:eastAsia="zh-CN"/>
              </w:rPr>
              <w:t>项目名称</w:t>
            </w:r>
          </w:p>
        </w:tc>
        <w:tc>
          <w:tcPr>
            <w:tcW w:w="4441" w:type="dxa"/>
            <w:tcBorders>
              <w:top w:val="single" w:color="auto" w:sz="4" w:space="0"/>
              <w:left w:val="single" w:color="auto" w:sz="4" w:space="0"/>
              <w:bottom w:val="single" w:color="auto" w:sz="4" w:space="0"/>
              <w:right w:val="single" w:color="auto" w:sz="4" w:space="0"/>
            </w:tcBorders>
            <w:vAlign w:val="center"/>
          </w:tcPr>
          <w:p w14:paraId="3601EABA">
            <w:pPr>
              <w:jc w:val="center"/>
              <w:rPr>
                <w:rFonts w:hint="default" w:ascii="新宋体" w:hAnsi="新宋体" w:eastAsia="新宋体" w:cs="新宋体"/>
                <w:b/>
                <w:color w:val="FF0000"/>
                <w:sz w:val="28"/>
                <w:szCs w:val="28"/>
                <w:lang w:val="en-US" w:eastAsia="zh-CN"/>
              </w:rPr>
            </w:pPr>
            <w:r>
              <w:rPr>
                <w:rFonts w:hint="eastAsia" w:ascii="新宋体" w:hAnsi="新宋体" w:eastAsia="新宋体" w:cs="新宋体"/>
                <w:b/>
                <w:sz w:val="28"/>
                <w:szCs w:val="28"/>
                <w:lang w:val="en-US" w:eastAsia="zh-CN"/>
              </w:rPr>
              <w:t>报价（人民币 元）</w:t>
            </w:r>
          </w:p>
        </w:tc>
        <w:tc>
          <w:tcPr>
            <w:tcW w:w="1211" w:type="dxa"/>
            <w:tcBorders>
              <w:top w:val="single" w:color="auto" w:sz="4" w:space="0"/>
              <w:left w:val="single" w:color="auto" w:sz="4" w:space="0"/>
              <w:bottom w:val="single" w:color="auto" w:sz="4" w:space="0"/>
              <w:right w:val="single" w:color="auto" w:sz="4" w:space="0"/>
            </w:tcBorders>
            <w:vAlign w:val="center"/>
          </w:tcPr>
          <w:p w14:paraId="5D0FB1D9">
            <w:pPr>
              <w:jc w:val="center"/>
              <w:rPr>
                <w:rFonts w:hint="eastAsia" w:ascii="新宋体" w:hAnsi="新宋体" w:eastAsia="新宋体" w:cs="新宋体"/>
                <w:b/>
                <w:sz w:val="28"/>
                <w:szCs w:val="28"/>
                <w:lang w:eastAsia="zh-CN"/>
              </w:rPr>
            </w:pPr>
            <w:r>
              <w:rPr>
                <w:rFonts w:hint="eastAsia" w:ascii="新宋体" w:hAnsi="新宋体" w:eastAsia="新宋体" w:cs="新宋体"/>
                <w:b/>
                <w:sz w:val="28"/>
                <w:szCs w:val="28"/>
                <w:lang w:val="en-US" w:eastAsia="zh-CN"/>
              </w:rPr>
              <w:t>备注</w:t>
            </w:r>
          </w:p>
        </w:tc>
      </w:tr>
      <w:tr w14:paraId="6ED7EEDF">
        <w:tblPrEx>
          <w:tblCellMar>
            <w:top w:w="0" w:type="dxa"/>
            <w:left w:w="108" w:type="dxa"/>
            <w:bottom w:w="0" w:type="dxa"/>
            <w:right w:w="108" w:type="dxa"/>
          </w:tblCellMar>
        </w:tblPrEx>
        <w:trPr>
          <w:trHeight w:val="1134" w:hRule="atLeast"/>
        </w:trPr>
        <w:tc>
          <w:tcPr>
            <w:tcW w:w="0" w:type="auto"/>
            <w:tcBorders>
              <w:top w:val="single" w:color="auto" w:sz="4" w:space="0"/>
              <w:left w:val="single" w:color="auto" w:sz="4" w:space="0"/>
              <w:bottom w:val="single" w:color="auto" w:sz="4" w:space="0"/>
              <w:right w:val="single" w:color="auto" w:sz="4" w:space="0"/>
            </w:tcBorders>
            <w:vAlign w:val="center"/>
          </w:tcPr>
          <w:p w14:paraId="6F7B1159">
            <w:pPr>
              <w:jc w:val="center"/>
              <w:rPr>
                <w:rFonts w:hint="default" w:ascii="新宋体" w:hAnsi="新宋体" w:eastAsia="新宋体" w:cs="新宋体"/>
                <w:b/>
                <w:sz w:val="28"/>
                <w:szCs w:val="28"/>
                <w:lang w:val="en-US" w:eastAsia="zh-CN"/>
              </w:rPr>
            </w:pPr>
            <w:r>
              <w:rPr>
                <w:rFonts w:hint="eastAsia" w:ascii="新宋体" w:hAnsi="新宋体" w:eastAsia="新宋体" w:cs="新宋体"/>
                <w:b w:val="0"/>
                <w:bCs/>
                <w:sz w:val="28"/>
                <w:szCs w:val="28"/>
                <w:lang w:val="en-US" w:eastAsia="zh-CN"/>
              </w:rPr>
              <w:t>1</w:t>
            </w:r>
          </w:p>
        </w:tc>
        <w:tc>
          <w:tcPr>
            <w:tcW w:w="2712" w:type="dxa"/>
            <w:tcBorders>
              <w:top w:val="single" w:color="auto" w:sz="4" w:space="0"/>
              <w:left w:val="single" w:color="auto" w:sz="4" w:space="0"/>
              <w:bottom w:val="single" w:color="auto" w:sz="4" w:space="0"/>
              <w:right w:val="single" w:color="auto" w:sz="4" w:space="0"/>
            </w:tcBorders>
            <w:vAlign w:val="center"/>
          </w:tcPr>
          <w:p w14:paraId="24E9E86A">
            <w:pPr>
              <w:jc w:val="center"/>
              <w:rPr>
                <w:rFonts w:hint="eastAsia" w:ascii="新宋体" w:hAnsi="新宋体" w:eastAsia="新宋体" w:cs="新宋体"/>
                <w:b/>
                <w:sz w:val="28"/>
                <w:szCs w:val="28"/>
                <w:lang w:val="en-US" w:eastAsia="zh-CN"/>
              </w:rPr>
            </w:pPr>
            <w:r>
              <w:rPr>
                <w:rFonts w:hint="eastAsia" w:asciiTheme="minorEastAsia" w:hAnsiTheme="minorEastAsia" w:eastAsiaTheme="minorEastAsia" w:cstheme="minorEastAsia"/>
                <w:sz w:val="28"/>
                <w:szCs w:val="28"/>
                <w:lang w:val="en-US" w:eastAsia="zh-CN"/>
              </w:rPr>
              <w:t>广州医科大学附属第三医院白云分院（广州市白云区妇幼保健院）污染物排放管理服务采购</w:t>
            </w:r>
          </w:p>
        </w:tc>
        <w:tc>
          <w:tcPr>
            <w:tcW w:w="4441" w:type="dxa"/>
            <w:tcBorders>
              <w:top w:val="single" w:color="auto" w:sz="4" w:space="0"/>
              <w:left w:val="single" w:color="auto" w:sz="4" w:space="0"/>
              <w:bottom w:val="single" w:color="auto" w:sz="4" w:space="0"/>
              <w:right w:val="single" w:color="auto" w:sz="4" w:space="0"/>
            </w:tcBorders>
            <w:vAlign w:val="center"/>
          </w:tcPr>
          <w:p w14:paraId="38517C61">
            <w:pPr>
              <w:jc w:val="both"/>
              <w:rPr>
                <w:rFonts w:hint="default" w:ascii="新宋体" w:hAnsi="新宋体" w:eastAsia="新宋体" w:cs="新宋体"/>
                <w:b w:val="0"/>
                <w:bCs/>
                <w:sz w:val="28"/>
                <w:szCs w:val="28"/>
                <w:lang w:val="en-US" w:eastAsia="zh-CN"/>
              </w:rPr>
            </w:pPr>
            <w:r>
              <w:rPr>
                <w:rFonts w:hint="eastAsia" w:ascii="新宋体" w:hAnsi="新宋体" w:eastAsia="新宋体" w:cs="新宋体"/>
                <w:b w:val="0"/>
                <w:bCs/>
                <w:sz w:val="28"/>
                <w:szCs w:val="28"/>
                <w:lang w:val="en-US" w:eastAsia="zh-CN"/>
              </w:rPr>
              <w:t>大写：</w:t>
            </w:r>
            <w:r>
              <w:rPr>
                <w:rFonts w:hint="eastAsia" w:ascii="新宋体" w:hAnsi="新宋体" w:eastAsia="新宋体" w:cs="新宋体"/>
                <w:b w:val="0"/>
                <w:bCs/>
                <w:sz w:val="28"/>
                <w:szCs w:val="28"/>
                <w:u w:val="single"/>
                <w:lang w:val="en-US" w:eastAsia="zh-CN"/>
              </w:rPr>
              <w:t xml:space="preserve">           </w:t>
            </w:r>
          </w:p>
          <w:p w14:paraId="5C0AB34F">
            <w:pPr>
              <w:jc w:val="both"/>
              <w:rPr>
                <w:rFonts w:hint="default" w:ascii="新宋体" w:hAnsi="新宋体" w:eastAsia="新宋体" w:cs="新宋体"/>
                <w:b/>
                <w:sz w:val="28"/>
                <w:szCs w:val="28"/>
                <w:lang w:val="en-US" w:eastAsia="zh-CN"/>
              </w:rPr>
            </w:pPr>
            <w:r>
              <w:rPr>
                <w:rFonts w:hint="eastAsia" w:ascii="新宋体" w:hAnsi="新宋体" w:eastAsia="新宋体" w:cs="新宋体"/>
                <w:b w:val="0"/>
                <w:bCs/>
                <w:sz w:val="28"/>
                <w:szCs w:val="28"/>
                <w:lang w:val="en-US" w:eastAsia="zh-CN"/>
              </w:rPr>
              <w:t>小写：</w:t>
            </w:r>
            <w:r>
              <w:rPr>
                <w:rFonts w:hint="eastAsia" w:ascii="新宋体" w:hAnsi="新宋体" w:eastAsia="新宋体" w:cs="新宋体"/>
                <w:b w:val="0"/>
                <w:bCs/>
                <w:sz w:val="28"/>
                <w:szCs w:val="28"/>
                <w:u w:val="single"/>
                <w:lang w:val="en-US" w:eastAsia="zh-CN"/>
              </w:rPr>
              <w:t xml:space="preserve">           </w:t>
            </w:r>
          </w:p>
        </w:tc>
        <w:tc>
          <w:tcPr>
            <w:tcW w:w="1211" w:type="dxa"/>
            <w:tcBorders>
              <w:top w:val="single" w:color="auto" w:sz="4" w:space="0"/>
              <w:left w:val="single" w:color="auto" w:sz="4" w:space="0"/>
              <w:bottom w:val="single" w:color="auto" w:sz="4" w:space="0"/>
              <w:right w:val="single" w:color="auto" w:sz="4" w:space="0"/>
            </w:tcBorders>
            <w:vAlign w:val="center"/>
          </w:tcPr>
          <w:p w14:paraId="2B373A9F">
            <w:pPr>
              <w:jc w:val="center"/>
              <w:rPr>
                <w:rFonts w:hint="eastAsia" w:ascii="新宋体" w:hAnsi="新宋体" w:eastAsia="新宋体" w:cs="新宋体"/>
                <w:b/>
                <w:sz w:val="28"/>
                <w:szCs w:val="28"/>
                <w:lang w:val="en-US" w:eastAsia="zh-CN"/>
              </w:rPr>
            </w:pPr>
          </w:p>
        </w:tc>
      </w:tr>
    </w:tbl>
    <w:p w14:paraId="225387F8">
      <w:pPr>
        <w:rPr>
          <w:rFonts w:hint="eastAsia" w:ascii="仿宋" w:hAnsi="仿宋" w:eastAsia="仿宋" w:cs="宋体"/>
          <w:b/>
          <w:bCs/>
          <w:kern w:val="0"/>
          <w:sz w:val="28"/>
          <w:szCs w:val="28"/>
        </w:rPr>
      </w:pPr>
      <w:r>
        <w:rPr>
          <w:rFonts w:hint="eastAsia" w:ascii="仿宋" w:hAnsi="仿宋" w:eastAsia="仿宋" w:cs="宋体"/>
          <w:b/>
          <w:bCs/>
          <w:kern w:val="0"/>
          <w:sz w:val="28"/>
          <w:szCs w:val="28"/>
        </w:rPr>
        <w:br w:type="page"/>
      </w:r>
    </w:p>
    <w:p w14:paraId="69D893E5">
      <w:pPr>
        <w:pStyle w:val="4"/>
        <w:ind w:firstLine="0" w:firstLineChars="0"/>
        <w:rPr>
          <w:rFonts w:hint="eastAsia" w:ascii="仿宋" w:hAnsi="仿宋" w:eastAsia="仿宋" w:cs="宋体"/>
          <w:b/>
          <w:bCs/>
          <w:kern w:val="0"/>
          <w:sz w:val="28"/>
          <w:szCs w:val="28"/>
          <w:lang w:eastAsia="zh-CN"/>
        </w:rPr>
      </w:pPr>
      <w:r>
        <w:rPr>
          <w:rFonts w:hint="eastAsia" w:ascii="仿宋" w:hAnsi="仿宋" w:eastAsia="仿宋" w:cs="宋体"/>
          <w:b/>
          <w:bCs/>
          <w:kern w:val="0"/>
          <w:sz w:val="28"/>
          <w:szCs w:val="28"/>
        </w:rPr>
        <w:t>表</w:t>
      </w:r>
      <w:r>
        <w:rPr>
          <w:rFonts w:hint="eastAsia" w:ascii="仿宋" w:hAnsi="仿宋" w:eastAsia="仿宋" w:cs="宋体"/>
          <w:b/>
          <w:bCs/>
          <w:kern w:val="0"/>
          <w:sz w:val="28"/>
          <w:szCs w:val="28"/>
          <w:lang w:val="en-US" w:eastAsia="zh-CN"/>
        </w:rPr>
        <w:t>8</w:t>
      </w:r>
    </w:p>
    <w:p w14:paraId="4216B573">
      <w:pPr>
        <w:pStyle w:val="4"/>
        <w:spacing w:line="360" w:lineRule="auto"/>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lang w:val="en-US" w:eastAsia="zh-CN"/>
        </w:rPr>
        <w:t>分项</w:t>
      </w:r>
      <w:r>
        <w:rPr>
          <w:rFonts w:hint="eastAsia" w:ascii="仿宋" w:hAnsi="仿宋" w:eastAsia="仿宋" w:cs="宋体"/>
          <w:b/>
          <w:bCs/>
          <w:sz w:val="36"/>
          <w:szCs w:val="36"/>
        </w:rPr>
        <w:t>报价</w:t>
      </w:r>
      <w:r>
        <w:rPr>
          <w:rFonts w:hint="eastAsia" w:ascii="仿宋" w:hAnsi="仿宋" w:eastAsia="仿宋" w:cs="宋体"/>
          <w:b/>
          <w:bCs/>
          <w:color w:val="FF0000"/>
          <w:sz w:val="36"/>
          <w:szCs w:val="36"/>
          <w:lang w:val="en-US" w:eastAsia="zh-CN"/>
        </w:rPr>
        <w:t>（必填）</w:t>
      </w:r>
    </w:p>
    <w:p w14:paraId="5B81595A">
      <w:pPr>
        <w:pStyle w:val="4"/>
        <w:spacing w:line="360" w:lineRule="auto"/>
        <w:ind w:firstLine="0" w:firstLineChars="0"/>
        <w:rPr>
          <w:rFonts w:hint="default" w:ascii="仿宋" w:hAnsi="仿宋" w:eastAsia="仿宋" w:cs="宋体"/>
          <w:kern w:val="0"/>
          <w:sz w:val="28"/>
          <w:szCs w:val="28"/>
        </w:rPr>
      </w:pPr>
      <w:r>
        <w:rPr>
          <w:rFonts w:hint="eastAsia" w:ascii="仿宋" w:hAnsi="仿宋" w:eastAsia="仿宋" w:cs="宋体"/>
          <w:kern w:val="0"/>
          <w:sz w:val="28"/>
          <w:szCs w:val="28"/>
        </w:rPr>
        <w:t>致：</w:t>
      </w:r>
      <w:r>
        <w:rPr>
          <w:rFonts w:hint="eastAsia" w:ascii="仿宋" w:hAnsi="仿宋" w:eastAsia="仿宋" w:cs="宋体"/>
          <w:kern w:val="0"/>
          <w:sz w:val="28"/>
          <w:szCs w:val="28"/>
          <w:lang w:eastAsia="zh-CN"/>
        </w:rPr>
        <w:t>广州医科大学附属第三医院白云分院</w:t>
      </w:r>
      <w:r>
        <w:rPr>
          <w:rFonts w:hint="eastAsia" w:ascii="仿宋" w:hAnsi="仿宋" w:eastAsia="仿宋" w:cs="宋体"/>
          <w:kern w:val="0"/>
          <w:sz w:val="28"/>
          <w:szCs w:val="28"/>
        </w:rPr>
        <w:t>/</w:t>
      </w:r>
      <w:r>
        <w:rPr>
          <w:rFonts w:hint="default" w:ascii="仿宋" w:hAnsi="仿宋" w:eastAsia="仿宋" w:cs="宋体"/>
          <w:kern w:val="0"/>
          <w:sz w:val="28"/>
          <w:szCs w:val="28"/>
        </w:rPr>
        <w:t>广东广招招标采购有限公司</w:t>
      </w:r>
    </w:p>
    <w:tbl>
      <w:tblPr>
        <w:tblStyle w:val="13"/>
        <w:tblpPr w:leftFromText="180" w:rightFromText="180" w:vertAnchor="text" w:horzAnchor="page" w:tblpX="1334" w:tblpY="119"/>
        <w:tblOverlap w:val="never"/>
        <w:tblW w:w="9143" w:type="dxa"/>
        <w:tblInd w:w="0" w:type="dxa"/>
        <w:tblLayout w:type="autofit"/>
        <w:tblCellMar>
          <w:top w:w="0" w:type="dxa"/>
          <w:left w:w="108" w:type="dxa"/>
          <w:bottom w:w="0" w:type="dxa"/>
          <w:right w:w="108" w:type="dxa"/>
        </w:tblCellMar>
      </w:tblPr>
      <w:tblGrid>
        <w:gridCol w:w="779"/>
        <w:gridCol w:w="1310"/>
        <w:gridCol w:w="1942"/>
        <w:gridCol w:w="3901"/>
        <w:gridCol w:w="1211"/>
      </w:tblGrid>
      <w:tr w14:paraId="0B7568BE">
        <w:tblPrEx>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1BD1CE99">
            <w:pPr>
              <w:rPr>
                <w:rFonts w:ascii="新宋体" w:hAnsi="新宋体" w:eastAsia="新宋体" w:cs="新宋体"/>
                <w:b/>
                <w:sz w:val="28"/>
                <w:szCs w:val="28"/>
              </w:rPr>
            </w:pPr>
            <w:r>
              <w:rPr>
                <w:rFonts w:hint="eastAsia" w:ascii="新宋体" w:hAnsi="新宋体" w:eastAsia="新宋体" w:cs="新宋体"/>
                <w:b/>
                <w:sz w:val="28"/>
                <w:szCs w:val="28"/>
                <w:lang w:val="en-US" w:eastAsia="zh-CN"/>
              </w:rPr>
              <w:t>序号</w:t>
            </w:r>
          </w:p>
        </w:tc>
        <w:tc>
          <w:tcPr>
            <w:tcW w:w="1310" w:type="dxa"/>
            <w:tcBorders>
              <w:top w:val="single" w:color="auto" w:sz="4" w:space="0"/>
              <w:left w:val="single" w:color="auto" w:sz="4" w:space="0"/>
              <w:bottom w:val="single" w:color="auto" w:sz="4" w:space="0"/>
              <w:right w:val="single" w:color="auto" w:sz="4" w:space="0"/>
            </w:tcBorders>
            <w:vAlign w:val="center"/>
          </w:tcPr>
          <w:p w14:paraId="24268703">
            <w:pPr>
              <w:jc w:val="center"/>
              <w:rPr>
                <w:rFonts w:ascii="新宋体" w:hAnsi="新宋体" w:eastAsia="新宋体" w:cs="新宋体"/>
                <w:b/>
                <w:sz w:val="28"/>
                <w:szCs w:val="28"/>
              </w:rPr>
            </w:pPr>
            <w:r>
              <w:rPr>
                <w:rFonts w:hint="eastAsia" w:ascii="新宋体" w:hAnsi="新宋体" w:eastAsia="新宋体" w:cs="新宋体"/>
                <w:b/>
                <w:sz w:val="28"/>
                <w:szCs w:val="28"/>
                <w:lang w:val="en-US" w:eastAsia="zh-CN"/>
              </w:rPr>
              <w:t>类型</w:t>
            </w:r>
          </w:p>
        </w:tc>
        <w:tc>
          <w:tcPr>
            <w:tcW w:w="1942" w:type="dxa"/>
            <w:tcBorders>
              <w:top w:val="single" w:color="auto" w:sz="4" w:space="0"/>
              <w:left w:val="single" w:color="auto" w:sz="4" w:space="0"/>
              <w:bottom w:val="single" w:color="auto" w:sz="4" w:space="0"/>
              <w:right w:val="single" w:color="auto" w:sz="4" w:space="0"/>
            </w:tcBorders>
            <w:vAlign w:val="center"/>
          </w:tcPr>
          <w:p w14:paraId="65767481">
            <w:pPr>
              <w:jc w:val="center"/>
              <w:rPr>
                <w:rFonts w:hint="default" w:ascii="宋体" w:hAnsi="宋体" w:cs="Arial"/>
                <w:color w:val="000000"/>
                <w:sz w:val="24"/>
                <w:szCs w:val="28"/>
                <w:lang w:val="en-US" w:eastAsia="zh-CN"/>
              </w:rPr>
            </w:pPr>
            <w:r>
              <w:rPr>
                <w:rFonts w:hint="eastAsia" w:ascii="新宋体" w:hAnsi="新宋体" w:eastAsia="新宋体" w:cs="新宋体"/>
                <w:b/>
                <w:sz w:val="28"/>
                <w:szCs w:val="28"/>
                <w:lang w:val="en-US" w:eastAsia="zh-CN"/>
              </w:rPr>
              <w:t>能否响应，或是否有更优的服务条款</w:t>
            </w:r>
          </w:p>
        </w:tc>
        <w:tc>
          <w:tcPr>
            <w:tcW w:w="3901" w:type="dxa"/>
            <w:tcBorders>
              <w:top w:val="single" w:color="auto" w:sz="4" w:space="0"/>
              <w:left w:val="single" w:color="auto" w:sz="4" w:space="0"/>
              <w:bottom w:val="single" w:color="auto" w:sz="4" w:space="0"/>
              <w:right w:val="single" w:color="auto" w:sz="4" w:space="0"/>
            </w:tcBorders>
            <w:vAlign w:val="center"/>
          </w:tcPr>
          <w:p w14:paraId="194F0A0C">
            <w:pPr>
              <w:jc w:val="center"/>
              <w:rPr>
                <w:rFonts w:hint="default" w:ascii="新宋体" w:hAnsi="新宋体" w:eastAsia="新宋体" w:cs="新宋体"/>
                <w:b/>
                <w:color w:val="FF0000"/>
                <w:sz w:val="28"/>
                <w:szCs w:val="28"/>
                <w:lang w:val="en-US" w:eastAsia="zh-CN"/>
              </w:rPr>
            </w:pPr>
            <w:r>
              <w:rPr>
                <w:rFonts w:hint="eastAsia" w:ascii="新宋体" w:hAnsi="新宋体" w:eastAsia="新宋体" w:cs="新宋体"/>
                <w:b/>
                <w:sz w:val="28"/>
                <w:szCs w:val="28"/>
                <w:lang w:val="en-US" w:eastAsia="zh-CN"/>
              </w:rPr>
              <w:t>费用明细</w:t>
            </w:r>
          </w:p>
        </w:tc>
        <w:tc>
          <w:tcPr>
            <w:tcW w:w="1211" w:type="dxa"/>
            <w:tcBorders>
              <w:top w:val="single" w:color="auto" w:sz="4" w:space="0"/>
              <w:left w:val="single" w:color="auto" w:sz="4" w:space="0"/>
              <w:bottom w:val="single" w:color="auto" w:sz="4" w:space="0"/>
              <w:right w:val="single" w:color="auto" w:sz="4" w:space="0"/>
            </w:tcBorders>
            <w:vAlign w:val="center"/>
          </w:tcPr>
          <w:p w14:paraId="4A4F6738">
            <w:pPr>
              <w:jc w:val="center"/>
              <w:rPr>
                <w:rFonts w:hint="eastAsia" w:ascii="新宋体" w:hAnsi="新宋体" w:eastAsia="新宋体" w:cs="新宋体"/>
                <w:b/>
                <w:sz w:val="28"/>
                <w:szCs w:val="28"/>
              </w:rPr>
            </w:pPr>
            <w:r>
              <w:rPr>
                <w:rFonts w:hint="eastAsia" w:ascii="新宋体" w:hAnsi="新宋体" w:eastAsia="新宋体" w:cs="新宋体"/>
                <w:b/>
                <w:sz w:val="28"/>
                <w:szCs w:val="28"/>
              </w:rPr>
              <w:t>费用</w:t>
            </w:r>
          </w:p>
        </w:tc>
      </w:tr>
      <w:tr w14:paraId="2DE8184E">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1B5649FD">
            <w:pPr>
              <w:jc w:val="center"/>
              <w:rPr>
                <w:rFonts w:ascii="宋体" w:hAnsi="宋体" w:cs="Arial"/>
                <w:color w:val="000000"/>
                <w:sz w:val="24"/>
                <w:szCs w:val="28"/>
              </w:rPr>
            </w:pPr>
            <w:r>
              <w:rPr>
                <w:rFonts w:hint="eastAsia" w:ascii="宋体" w:hAnsi="宋体" w:cs="Arial"/>
                <w:color w:val="000000"/>
                <w:sz w:val="24"/>
                <w:szCs w:val="28"/>
                <w:lang w:val="en-US" w:eastAsia="zh-CN"/>
              </w:rPr>
              <w:t>1</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688AEE68">
            <w:pPr>
              <w:widowControl/>
              <w:tabs>
                <w:tab w:val="left" w:pos="0"/>
              </w:tabs>
              <w:adjustRightInd/>
              <w:snapToGrid w:val="0"/>
              <w:spacing w:line="360" w:lineRule="auto"/>
              <w:jc w:val="center"/>
              <w:textAlignment w:val="auto"/>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污水处理药剂费</w:t>
            </w:r>
          </w:p>
        </w:tc>
        <w:tc>
          <w:tcPr>
            <w:tcW w:w="1942" w:type="dxa"/>
            <w:tcBorders>
              <w:top w:val="single" w:color="auto" w:sz="4" w:space="0"/>
              <w:left w:val="single" w:color="auto" w:sz="4" w:space="0"/>
              <w:bottom w:val="single" w:color="auto" w:sz="4" w:space="0"/>
              <w:right w:val="single" w:color="auto" w:sz="4" w:space="0"/>
            </w:tcBorders>
            <w:vAlign w:val="center"/>
          </w:tcPr>
          <w:p w14:paraId="74454937">
            <w:pPr>
              <w:jc w:val="left"/>
              <w:rPr>
                <w:rFonts w:hint="eastAsia" w:ascii="宋体" w:hAnsi="宋体" w:cs="Arial"/>
                <w:color w:val="000000"/>
                <w:sz w:val="24"/>
                <w:szCs w:val="28"/>
                <w:lang w:val="en-US" w:eastAsia="zh-CN"/>
              </w:rPr>
            </w:pPr>
            <w:r>
              <w:rPr>
                <w:rFonts w:hint="eastAsia" w:ascii="宋体" w:hAnsi="宋体" w:cs="Arial"/>
                <w:color w:val="000000"/>
                <w:sz w:val="24"/>
                <w:szCs w:val="28"/>
                <w:lang w:val="en-US" w:eastAsia="zh-CN"/>
              </w:rPr>
              <w:t>□完全响应</w:t>
            </w:r>
          </w:p>
          <w:p w14:paraId="5E16F7EE">
            <w:pPr>
              <w:jc w:val="left"/>
              <w:rPr>
                <w:rFonts w:hint="eastAsia" w:ascii="宋体" w:hAnsi="宋体" w:cs="Arial"/>
                <w:color w:val="000000"/>
                <w:sz w:val="24"/>
                <w:szCs w:val="28"/>
                <w:lang w:val="en-US" w:eastAsia="zh-CN"/>
              </w:rPr>
            </w:pPr>
            <w:r>
              <w:rPr>
                <w:rFonts w:hint="eastAsia" w:ascii="宋体" w:hAnsi="宋体" w:cs="Arial"/>
                <w:color w:val="000000"/>
                <w:sz w:val="24"/>
                <w:szCs w:val="28"/>
                <w:lang w:val="en-US" w:eastAsia="zh-CN"/>
              </w:rPr>
              <w:t>□有更优的服务条款</w:t>
            </w:r>
          </w:p>
          <w:p w14:paraId="42516ACF">
            <w:pPr>
              <w:jc w:val="left"/>
              <w:rPr>
                <w:rFonts w:hint="default" w:ascii="宋体" w:hAnsi="宋体" w:cs="Arial"/>
                <w:color w:val="000000"/>
                <w:sz w:val="24"/>
                <w:szCs w:val="28"/>
                <w:lang w:val="en-US" w:eastAsia="zh-CN"/>
              </w:rPr>
            </w:pPr>
            <w:r>
              <w:rPr>
                <w:rFonts w:hint="eastAsia" w:ascii="宋体" w:hAnsi="宋体" w:cs="Arial"/>
                <w:color w:val="000000"/>
                <w:sz w:val="24"/>
                <w:szCs w:val="28"/>
                <w:lang w:val="en-US" w:eastAsia="zh-CN"/>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6D5F442D">
            <w:pPr>
              <w:widowControl/>
              <w:tabs>
                <w:tab w:val="left" w:pos="0"/>
              </w:tabs>
              <w:adjustRightInd/>
              <w:snapToGrid w:val="0"/>
              <w:spacing w:line="360" w:lineRule="auto"/>
              <w:jc w:val="center"/>
              <w:textAlignment w:val="auto"/>
              <w:rPr>
                <w:rFonts w:hint="default" w:eastAsiaTheme="minorEastAsia"/>
                <w:color w:val="FF0000"/>
                <w:lang w:val="en-US" w:eastAsia="zh-CN"/>
              </w:rPr>
            </w:pPr>
            <w:r>
              <w:rPr>
                <w:rFonts w:hint="default" w:ascii="宋体" w:hAnsi="宋体" w:eastAsia="宋体" w:cs="宋体"/>
                <w:kern w:val="2"/>
                <w:sz w:val="24"/>
                <w:szCs w:val="24"/>
                <w:lang w:val="en-US" w:eastAsia="zh-CN" w:bidi="ar-SA"/>
              </w:rPr>
              <w:t>含服务周期内两院区污水处理站设计水量内需使用的全部量的次氯酸钠消毒药剂的投加，和其他正常水量水质情况可能用到的处理药剂。</w:t>
            </w:r>
          </w:p>
        </w:tc>
        <w:tc>
          <w:tcPr>
            <w:tcW w:w="1211" w:type="dxa"/>
            <w:tcBorders>
              <w:top w:val="single" w:color="auto" w:sz="4" w:space="0"/>
              <w:left w:val="single" w:color="auto" w:sz="4" w:space="0"/>
              <w:bottom w:val="single" w:color="auto" w:sz="4" w:space="0"/>
              <w:right w:val="single" w:color="auto" w:sz="4" w:space="0"/>
            </w:tcBorders>
            <w:vAlign w:val="center"/>
          </w:tcPr>
          <w:p w14:paraId="4FE13E79">
            <w:pPr>
              <w:jc w:val="center"/>
              <w:rPr>
                <w:rFonts w:ascii="新宋体" w:hAnsi="新宋体" w:eastAsia="新宋体" w:cs="新宋体"/>
                <w:b/>
                <w:color w:val="FF0000"/>
                <w:sz w:val="28"/>
                <w:szCs w:val="28"/>
              </w:rPr>
            </w:pPr>
          </w:p>
        </w:tc>
      </w:tr>
      <w:tr w14:paraId="2A76E628">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5F1EAECF">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54333D21">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人工费</w:t>
            </w:r>
          </w:p>
        </w:tc>
        <w:tc>
          <w:tcPr>
            <w:tcW w:w="1942" w:type="dxa"/>
            <w:tcBorders>
              <w:top w:val="single" w:color="auto" w:sz="4" w:space="0"/>
              <w:left w:val="single" w:color="auto" w:sz="4" w:space="0"/>
              <w:bottom w:val="single" w:color="auto" w:sz="4" w:space="0"/>
              <w:right w:val="single" w:color="auto" w:sz="4" w:space="0"/>
            </w:tcBorders>
            <w:vAlign w:val="center"/>
          </w:tcPr>
          <w:p w14:paraId="3F02B3C8">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1AB4D47B">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0C84F8C3">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1BCC803B">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两个院区各配置1名现场值班管理人员，24小时值班制，现场主管需有相应的污/废水处理工证。应急响应时间1小时以内。</w:t>
            </w:r>
          </w:p>
        </w:tc>
        <w:tc>
          <w:tcPr>
            <w:tcW w:w="1211" w:type="dxa"/>
            <w:tcBorders>
              <w:top w:val="single" w:color="auto" w:sz="4" w:space="0"/>
              <w:left w:val="single" w:color="auto" w:sz="4" w:space="0"/>
              <w:bottom w:val="single" w:color="auto" w:sz="4" w:space="0"/>
              <w:right w:val="single" w:color="auto" w:sz="4" w:space="0"/>
            </w:tcBorders>
            <w:vAlign w:val="center"/>
          </w:tcPr>
          <w:p w14:paraId="681B2861">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4EEBB8A6">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07FFDD8B">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7AF612FE">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污水监测费</w:t>
            </w:r>
          </w:p>
        </w:tc>
        <w:tc>
          <w:tcPr>
            <w:tcW w:w="1942" w:type="dxa"/>
            <w:tcBorders>
              <w:top w:val="single" w:color="auto" w:sz="4" w:space="0"/>
              <w:left w:val="single" w:color="auto" w:sz="4" w:space="0"/>
              <w:bottom w:val="single" w:color="auto" w:sz="4" w:space="0"/>
              <w:right w:val="single" w:color="auto" w:sz="4" w:space="0"/>
            </w:tcBorders>
            <w:vAlign w:val="center"/>
          </w:tcPr>
          <w:p w14:paraId="5B0DF67D">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7B41F7BD">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758B5C08">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78D6D44F">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服务周期内按医院所持排污许可证中自行监测要求的每季、每月、每周、每天的相应频次开展检测工作。</w:t>
            </w:r>
          </w:p>
        </w:tc>
        <w:tc>
          <w:tcPr>
            <w:tcW w:w="1211" w:type="dxa"/>
            <w:tcBorders>
              <w:top w:val="single" w:color="auto" w:sz="4" w:space="0"/>
              <w:left w:val="single" w:color="auto" w:sz="4" w:space="0"/>
              <w:bottom w:val="single" w:color="auto" w:sz="4" w:space="0"/>
              <w:right w:val="single" w:color="auto" w:sz="4" w:space="0"/>
            </w:tcBorders>
            <w:vAlign w:val="center"/>
          </w:tcPr>
          <w:p w14:paraId="094DF495">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6A5F58FF">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1A83B44D">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510A8142">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设备日常维护费</w:t>
            </w:r>
          </w:p>
        </w:tc>
        <w:tc>
          <w:tcPr>
            <w:tcW w:w="1942" w:type="dxa"/>
            <w:tcBorders>
              <w:top w:val="single" w:color="auto" w:sz="4" w:space="0"/>
              <w:left w:val="single" w:color="auto" w:sz="4" w:space="0"/>
              <w:bottom w:val="single" w:color="auto" w:sz="4" w:space="0"/>
              <w:right w:val="single" w:color="auto" w:sz="4" w:space="0"/>
            </w:tcBorders>
            <w:vAlign w:val="center"/>
          </w:tcPr>
          <w:p w14:paraId="362B3129">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71E7B9CF">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77D6E26E">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7D4C2882">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设备维护保养按每周一小保，一月一大保进行，所有设备检查维护。包括但不限于格栅井清理、鼓风机的机油和皮带更换、流量计定期校准、污泥清理外运处理等。沉淀池清理，池体清洁，专人负责所有设施卫生，安全检查。</w:t>
            </w:r>
          </w:p>
        </w:tc>
        <w:tc>
          <w:tcPr>
            <w:tcW w:w="1211" w:type="dxa"/>
            <w:tcBorders>
              <w:top w:val="single" w:color="auto" w:sz="4" w:space="0"/>
              <w:left w:val="single" w:color="auto" w:sz="4" w:space="0"/>
              <w:bottom w:val="single" w:color="auto" w:sz="4" w:space="0"/>
              <w:right w:val="single" w:color="auto" w:sz="4" w:space="0"/>
            </w:tcBorders>
            <w:vAlign w:val="center"/>
          </w:tcPr>
          <w:p w14:paraId="6F5EC197">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737CDFD7">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0C70887F">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7797BA02">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易损件维修费</w:t>
            </w:r>
          </w:p>
        </w:tc>
        <w:tc>
          <w:tcPr>
            <w:tcW w:w="1942" w:type="dxa"/>
            <w:tcBorders>
              <w:top w:val="single" w:color="auto" w:sz="4" w:space="0"/>
              <w:left w:val="single" w:color="auto" w:sz="4" w:space="0"/>
              <w:bottom w:val="single" w:color="auto" w:sz="4" w:space="0"/>
              <w:right w:val="single" w:color="auto" w:sz="4" w:space="0"/>
            </w:tcBorders>
            <w:vAlign w:val="center"/>
          </w:tcPr>
          <w:p w14:paraId="41996277">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5E59BE2A">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5D102DAB">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5F0956BA">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中标供应商承担3000元以下的易损件维修/更换费用。包括但不限于流量计探头更换、鼓风机的机油更换、消毒设备管件更换、消毒设备泵头更换等。</w:t>
            </w:r>
          </w:p>
        </w:tc>
        <w:tc>
          <w:tcPr>
            <w:tcW w:w="1211" w:type="dxa"/>
            <w:tcBorders>
              <w:top w:val="single" w:color="auto" w:sz="4" w:space="0"/>
              <w:left w:val="single" w:color="auto" w:sz="4" w:space="0"/>
              <w:bottom w:val="single" w:color="auto" w:sz="4" w:space="0"/>
              <w:right w:val="single" w:color="auto" w:sz="4" w:space="0"/>
            </w:tcBorders>
            <w:vAlign w:val="center"/>
          </w:tcPr>
          <w:p w14:paraId="6B90820B">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23A9A7F5">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33D00A14">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6</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58433975">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人员劳保用品费</w:t>
            </w:r>
          </w:p>
        </w:tc>
        <w:tc>
          <w:tcPr>
            <w:tcW w:w="1942" w:type="dxa"/>
            <w:tcBorders>
              <w:top w:val="single" w:color="auto" w:sz="4" w:space="0"/>
              <w:left w:val="single" w:color="auto" w:sz="4" w:space="0"/>
              <w:bottom w:val="single" w:color="auto" w:sz="4" w:space="0"/>
              <w:right w:val="single" w:color="auto" w:sz="4" w:space="0"/>
            </w:tcBorders>
            <w:shd w:val="clear" w:color="auto" w:fill="auto"/>
            <w:vAlign w:val="center"/>
          </w:tcPr>
          <w:p w14:paraId="575CF53E">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5F39CC46">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64783B1C">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6F31A6DF">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含服务周期内现场值班人员所需的全部防护眼镜、防护服、劳保鞋、胶手套等劳保用品。注：防护服用途为每次作业操作需要更换所需。</w:t>
            </w:r>
          </w:p>
        </w:tc>
        <w:tc>
          <w:tcPr>
            <w:tcW w:w="1211" w:type="dxa"/>
            <w:tcBorders>
              <w:top w:val="single" w:color="auto" w:sz="4" w:space="0"/>
              <w:left w:val="single" w:color="auto" w:sz="4" w:space="0"/>
              <w:bottom w:val="single" w:color="auto" w:sz="4" w:space="0"/>
              <w:right w:val="single" w:color="auto" w:sz="4" w:space="0"/>
            </w:tcBorders>
            <w:vAlign w:val="center"/>
          </w:tcPr>
          <w:p w14:paraId="3D17D7E7">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2AAE005F">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2CA030BB">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7</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6CDBFF5E">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各监管平台数据填报管理费</w:t>
            </w:r>
          </w:p>
        </w:tc>
        <w:tc>
          <w:tcPr>
            <w:tcW w:w="1942" w:type="dxa"/>
            <w:tcBorders>
              <w:top w:val="single" w:color="auto" w:sz="4" w:space="0"/>
              <w:left w:val="single" w:color="auto" w:sz="4" w:space="0"/>
              <w:bottom w:val="single" w:color="auto" w:sz="4" w:space="0"/>
              <w:right w:val="single" w:color="auto" w:sz="4" w:space="0"/>
            </w:tcBorders>
            <w:shd w:val="clear" w:color="auto" w:fill="auto"/>
            <w:vAlign w:val="center"/>
          </w:tcPr>
          <w:p w14:paraId="1F0077B9">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2D3CA1E2">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4DC27117">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59995703">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按合同当年度各项相关环保法规和监管的要求，负责对各监管平台相应的数据填报工作。包括但不限于全国排污许可证信息管理平台，广东省环境应急业务监管平台等。</w:t>
            </w:r>
          </w:p>
        </w:tc>
        <w:tc>
          <w:tcPr>
            <w:tcW w:w="1211" w:type="dxa"/>
            <w:tcBorders>
              <w:top w:val="single" w:color="auto" w:sz="4" w:space="0"/>
              <w:left w:val="single" w:color="auto" w:sz="4" w:space="0"/>
              <w:bottom w:val="single" w:color="auto" w:sz="4" w:space="0"/>
              <w:right w:val="single" w:color="auto" w:sz="4" w:space="0"/>
            </w:tcBorders>
            <w:vAlign w:val="center"/>
          </w:tcPr>
          <w:p w14:paraId="0936309D">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59F5A9A3">
        <w:tblPrEx>
          <w:tblCellMar>
            <w:top w:w="0" w:type="dxa"/>
            <w:left w:w="108" w:type="dxa"/>
            <w:bottom w:w="0" w:type="dxa"/>
            <w:right w:w="108" w:type="dxa"/>
          </w:tblCellMar>
        </w:tblPrEx>
        <w:trPr>
          <w:trHeight w:val="1737" w:hRule="atLeast"/>
        </w:trPr>
        <w:tc>
          <w:tcPr>
            <w:tcW w:w="0" w:type="auto"/>
            <w:tcBorders>
              <w:top w:val="single" w:color="auto" w:sz="4" w:space="0"/>
              <w:left w:val="single" w:color="auto" w:sz="4" w:space="0"/>
              <w:bottom w:val="single" w:color="auto" w:sz="4" w:space="0"/>
              <w:right w:val="single" w:color="auto" w:sz="4" w:space="0"/>
            </w:tcBorders>
            <w:vAlign w:val="center"/>
          </w:tcPr>
          <w:p w14:paraId="451A8FEE">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8</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283C9510">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台帐制作管理费</w:t>
            </w:r>
          </w:p>
        </w:tc>
        <w:tc>
          <w:tcPr>
            <w:tcW w:w="1942" w:type="dxa"/>
            <w:tcBorders>
              <w:top w:val="single" w:color="auto" w:sz="4" w:space="0"/>
              <w:left w:val="single" w:color="auto" w:sz="4" w:space="0"/>
              <w:bottom w:val="single" w:color="auto" w:sz="4" w:space="0"/>
              <w:right w:val="single" w:color="auto" w:sz="4" w:space="0"/>
            </w:tcBorders>
            <w:shd w:val="clear" w:color="auto" w:fill="auto"/>
            <w:vAlign w:val="center"/>
          </w:tcPr>
          <w:p w14:paraId="0816636A">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3108521B">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1B200D8A">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vAlign w:val="center"/>
          </w:tcPr>
          <w:p w14:paraId="0BBB5B74">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按医院排污许可证规定要求开展相应频次的台帐记录填写及管理存档工作。</w:t>
            </w:r>
          </w:p>
        </w:tc>
        <w:tc>
          <w:tcPr>
            <w:tcW w:w="1211" w:type="dxa"/>
            <w:tcBorders>
              <w:top w:val="single" w:color="auto" w:sz="4" w:space="0"/>
              <w:left w:val="single" w:color="auto" w:sz="4" w:space="0"/>
              <w:bottom w:val="single" w:color="auto" w:sz="4" w:space="0"/>
              <w:right w:val="single" w:color="auto" w:sz="4" w:space="0"/>
            </w:tcBorders>
            <w:vAlign w:val="center"/>
          </w:tcPr>
          <w:p w14:paraId="63612F67">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51779FFD">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21514419">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9</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6FD1BE80">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机场路院区、广园院区排水证</w:t>
            </w:r>
          </w:p>
        </w:tc>
        <w:tc>
          <w:tcPr>
            <w:tcW w:w="1942" w:type="dxa"/>
            <w:tcBorders>
              <w:top w:val="single" w:color="auto" w:sz="4" w:space="0"/>
              <w:left w:val="single" w:color="auto" w:sz="4" w:space="0"/>
              <w:bottom w:val="single" w:color="auto" w:sz="4" w:space="0"/>
              <w:right w:val="single" w:color="auto" w:sz="4" w:space="0"/>
            </w:tcBorders>
            <w:shd w:val="clear" w:color="auto" w:fill="auto"/>
            <w:vAlign w:val="center"/>
          </w:tcPr>
          <w:p w14:paraId="360019AF">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35E3DAB0">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71044CDE">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shd w:val="clear" w:color="auto" w:fill="auto"/>
            <w:vAlign w:val="center"/>
          </w:tcPr>
          <w:p w14:paraId="0BEBB751">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协助医院办理医院排水许可证。自合同签订之日起30个工作日内取得两个院区有效的医院排水许可证原件。</w:t>
            </w:r>
          </w:p>
        </w:tc>
        <w:tc>
          <w:tcPr>
            <w:tcW w:w="1211" w:type="dxa"/>
            <w:tcBorders>
              <w:top w:val="single" w:color="auto" w:sz="4" w:space="0"/>
              <w:left w:val="single" w:color="auto" w:sz="4" w:space="0"/>
              <w:bottom w:val="single" w:color="auto" w:sz="4" w:space="0"/>
              <w:right w:val="single" w:color="auto" w:sz="4" w:space="0"/>
            </w:tcBorders>
            <w:vAlign w:val="center"/>
          </w:tcPr>
          <w:p w14:paraId="0BBBB08C">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r w14:paraId="00A33234">
        <w:tblPrEx>
          <w:tblCellMar>
            <w:top w:w="0" w:type="dxa"/>
            <w:left w:w="108" w:type="dxa"/>
            <w:bottom w:w="0" w:type="dxa"/>
            <w:right w:w="108" w:type="dxa"/>
          </w:tblCellMar>
        </w:tblPrEx>
        <w:trPr>
          <w:trHeight w:val="1319" w:hRule="atLeast"/>
        </w:trPr>
        <w:tc>
          <w:tcPr>
            <w:tcW w:w="0" w:type="auto"/>
            <w:tcBorders>
              <w:top w:val="single" w:color="auto" w:sz="4" w:space="0"/>
              <w:left w:val="single" w:color="auto" w:sz="4" w:space="0"/>
              <w:bottom w:val="single" w:color="auto" w:sz="4" w:space="0"/>
              <w:right w:val="single" w:color="auto" w:sz="4" w:space="0"/>
            </w:tcBorders>
            <w:vAlign w:val="center"/>
          </w:tcPr>
          <w:p w14:paraId="73917F66">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10</w:t>
            </w:r>
          </w:p>
        </w:tc>
        <w:tc>
          <w:tcPr>
            <w:tcW w:w="1310" w:type="dxa"/>
            <w:tcBorders>
              <w:top w:val="single" w:color="auto" w:sz="4" w:space="0"/>
              <w:left w:val="single" w:color="auto" w:sz="4" w:space="0"/>
              <w:bottom w:val="single" w:color="auto" w:sz="4" w:space="0"/>
              <w:right w:val="single" w:color="auto" w:sz="4" w:space="0"/>
            </w:tcBorders>
            <w:shd w:val="clear" w:color="auto" w:fill="auto"/>
            <w:vAlign w:val="center"/>
          </w:tcPr>
          <w:p w14:paraId="096EF12C">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r>
              <w:rPr>
                <w:rFonts w:hint="default" w:ascii="宋体" w:hAnsi="宋体" w:eastAsia="宋体" w:cs="宋体"/>
                <w:kern w:val="2"/>
                <w:sz w:val="24"/>
                <w:szCs w:val="24"/>
                <w:lang w:val="en-US" w:eastAsia="zh-CN" w:bidi="ar-SA"/>
              </w:rPr>
              <w:t>机场路院区企业事业单位突发环境事件应急预案备案表</w:t>
            </w:r>
          </w:p>
        </w:tc>
        <w:tc>
          <w:tcPr>
            <w:tcW w:w="1942" w:type="dxa"/>
            <w:tcBorders>
              <w:top w:val="single" w:color="auto" w:sz="4" w:space="0"/>
              <w:left w:val="single" w:color="auto" w:sz="4" w:space="0"/>
              <w:bottom w:val="single" w:color="auto" w:sz="4" w:space="0"/>
              <w:right w:val="single" w:color="auto" w:sz="4" w:space="0"/>
            </w:tcBorders>
            <w:shd w:val="clear" w:color="auto" w:fill="auto"/>
            <w:vAlign w:val="center"/>
          </w:tcPr>
          <w:p w14:paraId="3D6AEC3F">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□完全响应</w:t>
            </w:r>
          </w:p>
          <w:p w14:paraId="2EB172C5">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□有更优的服务条款</w:t>
            </w:r>
          </w:p>
          <w:p w14:paraId="1E980601">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□不能响应</w:t>
            </w:r>
          </w:p>
        </w:tc>
        <w:tc>
          <w:tcPr>
            <w:tcW w:w="3901" w:type="dxa"/>
            <w:tcBorders>
              <w:top w:val="single" w:color="auto" w:sz="4" w:space="0"/>
              <w:left w:val="single" w:color="auto" w:sz="4" w:space="0"/>
              <w:bottom w:val="single" w:color="auto" w:sz="4" w:space="0"/>
              <w:right w:val="single" w:color="auto" w:sz="4" w:space="0"/>
            </w:tcBorders>
            <w:shd w:val="clear" w:color="auto" w:fill="auto"/>
            <w:vAlign w:val="center"/>
          </w:tcPr>
          <w:p w14:paraId="3A67E9F0">
            <w:pPr>
              <w:widowControl/>
              <w:tabs>
                <w:tab w:val="left" w:pos="0"/>
              </w:tabs>
              <w:adjustRightInd/>
              <w:snapToGrid w:val="0"/>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协助医院完成编制企业事业单位突发环境事件应急及提交备案的工作。自合同签订之日起30个工作日内与污染物排放管理方案同步完成取得备案回执。</w:t>
            </w:r>
          </w:p>
          <w:p w14:paraId="2D6BB538"/>
        </w:tc>
        <w:tc>
          <w:tcPr>
            <w:tcW w:w="1211" w:type="dxa"/>
            <w:tcBorders>
              <w:top w:val="single" w:color="auto" w:sz="4" w:space="0"/>
              <w:left w:val="single" w:color="auto" w:sz="4" w:space="0"/>
              <w:bottom w:val="single" w:color="auto" w:sz="4" w:space="0"/>
              <w:right w:val="single" w:color="auto" w:sz="4" w:space="0"/>
            </w:tcBorders>
            <w:vAlign w:val="center"/>
          </w:tcPr>
          <w:p w14:paraId="07275D32">
            <w:pPr>
              <w:widowControl/>
              <w:tabs>
                <w:tab w:val="left" w:pos="0"/>
              </w:tabs>
              <w:adjustRightInd/>
              <w:snapToGrid w:val="0"/>
              <w:spacing w:line="360" w:lineRule="auto"/>
              <w:jc w:val="center"/>
              <w:textAlignment w:val="auto"/>
              <w:rPr>
                <w:rFonts w:hint="default" w:ascii="宋体" w:hAnsi="宋体" w:eastAsia="宋体" w:cs="宋体"/>
                <w:kern w:val="2"/>
                <w:sz w:val="24"/>
                <w:szCs w:val="24"/>
                <w:lang w:val="en-US" w:eastAsia="zh-CN" w:bidi="ar-SA"/>
              </w:rPr>
            </w:pPr>
          </w:p>
        </w:tc>
      </w:tr>
    </w:tbl>
    <w:p w14:paraId="63943A5A">
      <w:pPr>
        <w:pStyle w:val="28"/>
        <w:numPr>
          <w:ilvl w:val="0"/>
          <w:numId w:val="0"/>
        </w:numPr>
        <w:tabs>
          <w:tab w:val="left" w:pos="1418"/>
        </w:tabs>
        <w:spacing w:line="360" w:lineRule="auto"/>
        <w:ind w:firstLine="0" w:firstLineChars="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1、服务商如有不同的响应条款，请列出响应的具体情况和对应的响应条款。</w:t>
      </w:r>
    </w:p>
    <w:p w14:paraId="6AF73D24">
      <w:pPr>
        <w:pStyle w:val="28"/>
        <w:numPr>
          <w:ilvl w:val="0"/>
          <w:numId w:val="0"/>
        </w:numPr>
        <w:tabs>
          <w:tab w:val="left" w:pos="1418"/>
        </w:tabs>
        <w:spacing w:line="360" w:lineRule="auto"/>
        <w:ind w:firstLine="0" w:firstLineChars="0"/>
        <w:jc w:val="left"/>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r>
        <w:rPr>
          <w:rFonts w:hint="default" w:ascii="宋体" w:hAnsi="宋体" w:eastAsia="宋体" w:cs="宋体"/>
          <w:kern w:val="2"/>
          <w:sz w:val="24"/>
          <w:szCs w:val="24"/>
          <w:lang w:val="en-US" w:eastAsia="zh-CN" w:bidi="ar-SA"/>
        </w:rPr>
        <w:t>、</w:t>
      </w:r>
      <w:r>
        <w:rPr>
          <w:rFonts w:hint="eastAsia" w:ascii="宋体" w:hAnsi="宋体" w:eastAsia="宋体" w:cs="宋体"/>
          <w:kern w:val="2"/>
          <w:sz w:val="24"/>
          <w:szCs w:val="24"/>
          <w:lang w:val="en-US" w:eastAsia="zh-CN" w:bidi="ar-SA"/>
        </w:rPr>
        <w:t>“费用明细”报价的依据具体要求以“具体服务工作要求”表格要求或供应商的响应为准。</w:t>
      </w:r>
    </w:p>
    <w:p w14:paraId="739EA3E9">
      <w:pPr>
        <w:widowControl/>
        <w:spacing w:after="150" w:line="360" w:lineRule="auto"/>
        <w:ind w:firstLine="420"/>
        <w:jc w:val="right"/>
        <w:rPr>
          <w:rFonts w:hint="eastAsia" w:ascii="仿宋" w:hAnsi="仿宋" w:eastAsia="仿宋"/>
          <w:kern w:val="0"/>
          <w:sz w:val="28"/>
          <w:szCs w:val="28"/>
        </w:rPr>
      </w:pPr>
    </w:p>
    <w:p w14:paraId="0FA03D1F">
      <w:pPr>
        <w:widowControl/>
        <w:spacing w:after="150" w:line="360" w:lineRule="auto"/>
        <w:ind w:firstLine="420"/>
        <w:jc w:val="right"/>
        <w:rPr>
          <w:rFonts w:hint="eastAsia" w:ascii="仿宋" w:hAnsi="仿宋" w:eastAsia="仿宋"/>
          <w:kern w:val="0"/>
          <w:sz w:val="28"/>
          <w:szCs w:val="28"/>
        </w:rPr>
      </w:pPr>
    </w:p>
    <w:p w14:paraId="1068F462">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0130EA0F">
      <w:pPr>
        <w:widowControl/>
        <w:spacing w:after="150" w:line="360" w:lineRule="auto"/>
        <w:ind w:firstLine="420"/>
        <w:jc w:val="right"/>
        <w:rPr>
          <w:rFonts w:hint="eastAsia"/>
        </w:rPr>
      </w:pPr>
      <w:r>
        <w:rPr>
          <w:rFonts w:hint="eastAsia" w:ascii="仿宋" w:hAnsi="仿宋" w:eastAsia="仿宋"/>
          <w:kern w:val="0"/>
          <w:sz w:val="28"/>
          <w:szCs w:val="28"/>
        </w:rPr>
        <w:t>日期：</w:t>
      </w:r>
      <w:r>
        <w:rPr>
          <w:rFonts w:hint="eastAsia" w:ascii="仿宋" w:hAnsi="仿宋" w:eastAsia="仿宋"/>
          <w:kern w:val="0"/>
          <w:sz w:val="28"/>
          <w:szCs w:val="28"/>
          <w:u w:val="single"/>
          <w:lang w:eastAsia="zh-CN"/>
        </w:rPr>
        <w:t>2025</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sectPr>
      <w:pgSz w:w="11906" w:h="16838"/>
      <w:pgMar w:top="2098" w:right="1474" w:bottom="1985" w:left="1588" w:header="851"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18104C2-837F-4B3D-B831-07A7020C9039}"/>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550FCE2-EBEE-49B0-A254-C8C6AA95C2DC}"/>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embedRegular r:id="rId3" w:fontKey="{1D3488BD-520B-4A19-A446-2533042A20DC}"/>
  </w:font>
  <w:font w:name="Segoe UI">
    <w:panose1 w:val="020B0502040204020203"/>
    <w:charset w:val="00"/>
    <w:family w:val="auto"/>
    <w:pitch w:val="default"/>
    <w:sig w:usb0="E4002EFF" w:usb1="C000E47F" w:usb2="00000009" w:usb3="00000000" w:csb0="200001FF" w:csb1="00000000"/>
  </w:font>
  <w:font w:name="PMingLiU">
    <w:altName w:val="Microsoft JhengHei UI"/>
    <w:panose1 w:val="02010601000101010101"/>
    <w:charset w:val="88"/>
    <w:family w:val="auto"/>
    <w:pitch w:val="default"/>
    <w:sig w:usb0="00000000" w:usb1="00000000" w:usb2="00000010" w:usb3="00000000" w:csb0="00100000" w:csb1="00000000"/>
  </w:font>
  <w:font w:name="Microsoft JhengHei UI">
    <w:panose1 w:val="020B0604030504040204"/>
    <w:charset w:val="88"/>
    <w:family w:val="auto"/>
    <w:pitch w:val="default"/>
    <w:sig w:usb0="000002A7" w:usb1="28CF4400" w:usb2="00000016" w:usb3="00000000" w:csb0="00100009" w:csb1="00000000"/>
  </w:font>
  <w:font w:name="Wingdings 2">
    <w:panose1 w:val="05020102010507070707"/>
    <w:charset w:val="02"/>
    <w:family w:val="roman"/>
    <w:pitch w:val="default"/>
    <w:sig w:usb0="00000000" w:usb1="00000000" w:usb2="00000000" w:usb3="00000000" w:csb0="80000000" w:csb1="00000000"/>
    <w:embedRegular r:id="rId4" w:fontKey="{D14DDE7E-7C3F-4575-8F77-B3EA0BCAE3CF}"/>
  </w:font>
  <w:font w:name="新宋体">
    <w:panose1 w:val="02010609030101010101"/>
    <w:charset w:val="86"/>
    <w:family w:val="modern"/>
    <w:pitch w:val="default"/>
    <w:sig w:usb0="00000203" w:usb1="288F0000" w:usb2="00000006" w:usb3="00000000" w:csb0="00040001" w:csb1="00000000"/>
    <w:embedRegular r:id="rId5" w:fontKey="{52050B15-55FC-4FC6-9B8C-670D9B064977}"/>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04683169"/>
      <w:docPartObj>
        <w:docPartGallery w:val="autotext"/>
      </w:docPartObj>
    </w:sdtPr>
    <w:sdtEndPr>
      <w:rPr>
        <w:rFonts w:ascii="宋体" w:hAnsi="宋体" w:eastAsia="宋体"/>
        <w:sz w:val="28"/>
        <w:szCs w:val="28"/>
      </w:rPr>
    </w:sdtEndPr>
    <w:sdtContent>
      <w:p w14:paraId="335CADAB">
        <w:pPr>
          <w:pStyle w:val="10"/>
          <w:wordWrap w:val="0"/>
          <w:ind w:right="180"/>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3 -</w:t>
        </w:r>
        <w:r>
          <w:rPr>
            <w:rFonts w:ascii="宋体" w:hAnsi="宋体" w:eastAsia="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28297848"/>
      <w:docPartObj>
        <w:docPartGallery w:val="autotext"/>
      </w:docPartObj>
    </w:sdtPr>
    <w:sdtEndPr>
      <w:rPr>
        <w:rFonts w:ascii="宋体" w:hAnsi="宋体" w:eastAsia="宋体"/>
        <w:sz w:val="28"/>
        <w:szCs w:val="28"/>
      </w:rPr>
    </w:sdtEndPr>
    <w:sdtContent>
      <w:p w14:paraId="61CC2A98">
        <w:pPr>
          <w:pStyle w:val="10"/>
          <w:ind w:firstLine="180" w:firstLineChars="100"/>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2 -</w:t>
        </w:r>
        <w:r>
          <w:rPr>
            <w:rFonts w:ascii="宋体" w:hAnsi="宋体" w:eastAsia="宋体"/>
            <w:sz w:val="28"/>
            <w:szCs w:val="28"/>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1D85B5"/>
    <w:multiLevelType w:val="singleLevel"/>
    <w:tmpl w:val="BB1D85B5"/>
    <w:lvl w:ilvl="0" w:tentative="0">
      <w:start w:val="1"/>
      <w:numFmt w:val="chineseCounting"/>
      <w:suff w:val="space"/>
      <w:lvlText w:val="%1、"/>
      <w:lvlJc w:val="left"/>
      <w:rPr>
        <w:rFonts w:hint="eastAsia"/>
      </w:rPr>
    </w:lvl>
  </w:abstractNum>
  <w:abstractNum w:abstractNumId="1">
    <w:nsid w:val="6E62555C"/>
    <w:multiLevelType w:val="singleLevel"/>
    <w:tmpl w:val="6E62555C"/>
    <w:lvl w:ilvl="0" w:tentative="0">
      <w:start w:val="4"/>
      <w:numFmt w:val="chineseCounting"/>
      <w:suff w:val="space"/>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3B9"/>
    <w:rsid w:val="00001994"/>
    <w:rsid w:val="0001003D"/>
    <w:rsid w:val="00010318"/>
    <w:rsid w:val="00023D0D"/>
    <w:rsid w:val="00024C05"/>
    <w:rsid w:val="00037915"/>
    <w:rsid w:val="0004124C"/>
    <w:rsid w:val="00055360"/>
    <w:rsid w:val="00062AE9"/>
    <w:rsid w:val="000675CB"/>
    <w:rsid w:val="00071686"/>
    <w:rsid w:val="00073755"/>
    <w:rsid w:val="00080120"/>
    <w:rsid w:val="00083967"/>
    <w:rsid w:val="00090226"/>
    <w:rsid w:val="00090392"/>
    <w:rsid w:val="00091148"/>
    <w:rsid w:val="000921C4"/>
    <w:rsid w:val="0009744B"/>
    <w:rsid w:val="000979F1"/>
    <w:rsid w:val="000A08B7"/>
    <w:rsid w:val="000A5A02"/>
    <w:rsid w:val="000C1FF9"/>
    <w:rsid w:val="000C29F9"/>
    <w:rsid w:val="000C5E9D"/>
    <w:rsid w:val="000C6C30"/>
    <w:rsid w:val="000D0B9B"/>
    <w:rsid w:val="000D0E4A"/>
    <w:rsid w:val="000E16AD"/>
    <w:rsid w:val="000E7C7C"/>
    <w:rsid w:val="000F00F6"/>
    <w:rsid w:val="000F3A05"/>
    <w:rsid w:val="00102483"/>
    <w:rsid w:val="001232F2"/>
    <w:rsid w:val="001257C2"/>
    <w:rsid w:val="00125B68"/>
    <w:rsid w:val="00133E86"/>
    <w:rsid w:val="00140B31"/>
    <w:rsid w:val="00143E2F"/>
    <w:rsid w:val="00155931"/>
    <w:rsid w:val="00157463"/>
    <w:rsid w:val="00180E27"/>
    <w:rsid w:val="0019552E"/>
    <w:rsid w:val="00195875"/>
    <w:rsid w:val="001A13A5"/>
    <w:rsid w:val="001C26FA"/>
    <w:rsid w:val="001C3FA1"/>
    <w:rsid w:val="001D13BB"/>
    <w:rsid w:val="001D6A81"/>
    <w:rsid w:val="001D76E0"/>
    <w:rsid w:val="001F34FC"/>
    <w:rsid w:val="00217D70"/>
    <w:rsid w:val="002200E4"/>
    <w:rsid w:val="00230CC7"/>
    <w:rsid w:val="00234D7F"/>
    <w:rsid w:val="00235CA4"/>
    <w:rsid w:val="002566A9"/>
    <w:rsid w:val="002616F8"/>
    <w:rsid w:val="002664A0"/>
    <w:rsid w:val="00275847"/>
    <w:rsid w:val="00281256"/>
    <w:rsid w:val="0028513A"/>
    <w:rsid w:val="00287C3F"/>
    <w:rsid w:val="00292461"/>
    <w:rsid w:val="002935EF"/>
    <w:rsid w:val="00297491"/>
    <w:rsid w:val="002B0323"/>
    <w:rsid w:val="002B49B7"/>
    <w:rsid w:val="002B76F8"/>
    <w:rsid w:val="002C1461"/>
    <w:rsid w:val="002C7D71"/>
    <w:rsid w:val="002D7836"/>
    <w:rsid w:val="002D793C"/>
    <w:rsid w:val="002F4F8E"/>
    <w:rsid w:val="003006A1"/>
    <w:rsid w:val="00307807"/>
    <w:rsid w:val="00322C88"/>
    <w:rsid w:val="00326420"/>
    <w:rsid w:val="00327924"/>
    <w:rsid w:val="00327FA7"/>
    <w:rsid w:val="0033346B"/>
    <w:rsid w:val="00343621"/>
    <w:rsid w:val="00346C55"/>
    <w:rsid w:val="0034714D"/>
    <w:rsid w:val="00347A03"/>
    <w:rsid w:val="00347DB0"/>
    <w:rsid w:val="00361813"/>
    <w:rsid w:val="00362F32"/>
    <w:rsid w:val="00367978"/>
    <w:rsid w:val="00383C75"/>
    <w:rsid w:val="00392A88"/>
    <w:rsid w:val="003A2091"/>
    <w:rsid w:val="003A4137"/>
    <w:rsid w:val="003B4843"/>
    <w:rsid w:val="003C46D2"/>
    <w:rsid w:val="003F0335"/>
    <w:rsid w:val="003F6ED6"/>
    <w:rsid w:val="0040676F"/>
    <w:rsid w:val="00411522"/>
    <w:rsid w:val="00414211"/>
    <w:rsid w:val="00416639"/>
    <w:rsid w:val="00427C42"/>
    <w:rsid w:val="004343CC"/>
    <w:rsid w:val="00435FC2"/>
    <w:rsid w:val="00442C0D"/>
    <w:rsid w:val="00447F12"/>
    <w:rsid w:val="00464B7F"/>
    <w:rsid w:val="00475690"/>
    <w:rsid w:val="00481E4A"/>
    <w:rsid w:val="004A13CC"/>
    <w:rsid w:val="004A1477"/>
    <w:rsid w:val="004A2956"/>
    <w:rsid w:val="004A5342"/>
    <w:rsid w:val="004B1DC1"/>
    <w:rsid w:val="004C0B6B"/>
    <w:rsid w:val="004C18D4"/>
    <w:rsid w:val="004C3EE7"/>
    <w:rsid w:val="004C43E6"/>
    <w:rsid w:val="004D0385"/>
    <w:rsid w:val="004E7400"/>
    <w:rsid w:val="00511DB1"/>
    <w:rsid w:val="00517F59"/>
    <w:rsid w:val="00536906"/>
    <w:rsid w:val="00556D53"/>
    <w:rsid w:val="00560E2C"/>
    <w:rsid w:val="00561244"/>
    <w:rsid w:val="005636A5"/>
    <w:rsid w:val="00565301"/>
    <w:rsid w:val="00583873"/>
    <w:rsid w:val="005849EE"/>
    <w:rsid w:val="00586540"/>
    <w:rsid w:val="00587150"/>
    <w:rsid w:val="00591C35"/>
    <w:rsid w:val="00596AC5"/>
    <w:rsid w:val="005A2484"/>
    <w:rsid w:val="005B3045"/>
    <w:rsid w:val="005C3703"/>
    <w:rsid w:val="005C37C3"/>
    <w:rsid w:val="005D05B5"/>
    <w:rsid w:val="005D51C5"/>
    <w:rsid w:val="005E5E5C"/>
    <w:rsid w:val="005F21B1"/>
    <w:rsid w:val="00601BA3"/>
    <w:rsid w:val="0060280A"/>
    <w:rsid w:val="00606ADB"/>
    <w:rsid w:val="00625173"/>
    <w:rsid w:val="00625D05"/>
    <w:rsid w:val="00626DB7"/>
    <w:rsid w:val="006452CB"/>
    <w:rsid w:val="0064734A"/>
    <w:rsid w:val="00651007"/>
    <w:rsid w:val="006535F1"/>
    <w:rsid w:val="00660AF1"/>
    <w:rsid w:val="00666A3E"/>
    <w:rsid w:val="006706B0"/>
    <w:rsid w:val="0068330B"/>
    <w:rsid w:val="006915D6"/>
    <w:rsid w:val="006953AE"/>
    <w:rsid w:val="00696423"/>
    <w:rsid w:val="006A7D8F"/>
    <w:rsid w:val="006B79C1"/>
    <w:rsid w:val="006C1C73"/>
    <w:rsid w:val="006C6F6C"/>
    <w:rsid w:val="006D2FB9"/>
    <w:rsid w:val="006D725D"/>
    <w:rsid w:val="006F6326"/>
    <w:rsid w:val="007145C1"/>
    <w:rsid w:val="0073705F"/>
    <w:rsid w:val="00744CDB"/>
    <w:rsid w:val="00750737"/>
    <w:rsid w:val="00750E41"/>
    <w:rsid w:val="00752F08"/>
    <w:rsid w:val="007536A6"/>
    <w:rsid w:val="007632FE"/>
    <w:rsid w:val="0076442B"/>
    <w:rsid w:val="0078043E"/>
    <w:rsid w:val="007815EC"/>
    <w:rsid w:val="00791FB2"/>
    <w:rsid w:val="007C280F"/>
    <w:rsid w:val="007C52AF"/>
    <w:rsid w:val="007C6093"/>
    <w:rsid w:val="007D5C3E"/>
    <w:rsid w:val="007F4CED"/>
    <w:rsid w:val="007F72FD"/>
    <w:rsid w:val="00803726"/>
    <w:rsid w:val="008110F4"/>
    <w:rsid w:val="0081129F"/>
    <w:rsid w:val="00813418"/>
    <w:rsid w:val="00826F2F"/>
    <w:rsid w:val="0083544B"/>
    <w:rsid w:val="0084308F"/>
    <w:rsid w:val="008559CD"/>
    <w:rsid w:val="008663B9"/>
    <w:rsid w:val="00871539"/>
    <w:rsid w:val="00874ABC"/>
    <w:rsid w:val="00876C4A"/>
    <w:rsid w:val="008859B0"/>
    <w:rsid w:val="008A4814"/>
    <w:rsid w:val="008B6B54"/>
    <w:rsid w:val="008C21D6"/>
    <w:rsid w:val="008D16E4"/>
    <w:rsid w:val="008F5955"/>
    <w:rsid w:val="00911A32"/>
    <w:rsid w:val="00911F1D"/>
    <w:rsid w:val="00913A19"/>
    <w:rsid w:val="00920219"/>
    <w:rsid w:val="00935D36"/>
    <w:rsid w:val="00942DB9"/>
    <w:rsid w:val="00947121"/>
    <w:rsid w:val="00960CD6"/>
    <w:rsid w:val="00961F22"/>
    <w:rsid w:val="00963736"/>
    <w:rsid w:val="00980ED3"/>
    <w:rsid w:val="009812D9"/>
    <w:rsid w:val="00981F40"/>
    <w:rsid w:val="009829FE"/>
    <w:rsid w:val="009864A3"/>
    <w:rsid w:val="00986935"/>
    <w:rsid w:val="009933A1"/>
    <w:rsid w:val="009A1A15"/>
    <w:rsid w:val="009B4975"/>
    <w:rsid w:val="009C06A8"/>
    <w:rsid w:val="009C708F"/>
    <w:rsid w:val="009D1CC9"/>
    <w:rsid w:val="009D25DC"/>
    <w:rsid w:val="009D6CDB"/>
    <w:rsid w:val="009E071E"/>
    <w:rsid w:val="009F2162"/>
    <w:rsid w:val="00A05F6F"/>
    <w:rsid w:val="00A06EFB"/>
    <w:rsid w:val="00A1608C"/>
    <w:rsid w:val="00A168A2"/>
    <w:rsid w:val="00A23584"/>
    <w:rsid w:val="00A305A3"/>
    <w:rsid w:val="00A32110"/>
    <w:rsid w:val="00A346B2"/>
    <w:rsid w:val="00A4723A"/>
    <w:rsid w:val="00A54A17"/>
    <w:rsid w:val="00A54CA4"/>
    <w:rsid w:val="00A6246D"/>
    <w:rsid w:val="00A6262F"/>
    <w:rsid w:val="00A647BB"/>
    <w:rsid w:val="00A8459B"/>
    <w:rsid w:val="00A93C28"/>
    <w:rsid w:val="00A9524E"/>
    <w:rsid w:val="00A970B2"/>
    <w:rsid w:val="00AA00DE"/>
    <w:rsid w:val="00AA4403"/>
    <w:rsid w:val="00AB0126"/>
    <w:rsid w:val="00AB3D1D"/>
    <w:rsid w:val="00AD126E"/>
    <w:rsid w:val="00AE4F2F"/>
    <w:rsid w:val="00AF2353"/>
    <w:rsid w:val="00AF5335"/>
    <w:rsid w:val="00AF6FF1"/>
    <w:rsid w:val="00B01C86"/>
    <w:rsid w:val="00B020D3"/>
    <w:rsid w:val="00B027CB"/>
    <w:rsid w:val="00B1247E"/>
    <w:rsid w:val="00B31262"/>
    <w:rsid w:val="00B31F8F"/>
    <w:rsid w:val="00B40720"/>
    <w:rsid w:val="00B40B54"/>
    <w:rsid w:val="00B47F16"/>
    <w:rsid w:val="00B53284"/>
    <w:rsid w:val="00B5648E"/>
    <w:rsid w:val="00B6200D"/>
    <w:rsid w:val="00B70A93"/>
    <w:rsid w:val="00B734AF"/>
    <w:rsid w:val="00B7579B"/>
    <w:rsid w:val="00B85E01"/>
    <w:rsid w:val="00B97DEF"/>
    <w:rsid w:val="00BA0DB1"/>
    <w:rsid w:val="00BA28A0"/>
    <w:rsid w:val="00BB52DC"/>
    <w:rsid w:val="00BB5BF5"/>
    <w:rsid w:val="00BC6EDB"/>
    <w:rsid w:val="00BD02FD"/>
    <w:rsid w:val="00BD4CCC"/>
    <w:rsid w:val="00BE7F5A"/>
    <w:rsid w:val="00BF5FFA"/>
    <w:rsid w:val="00C03C5E"/>
    <w:rsid w:val="00C14D94"/>
    <w:rsid w:val="00C23B91"/>
    <w:rsid w:val="00C26F0F"/>
    <w:rsid w:val="00C27B3D"/>
    <w:rsid w:val="00C32297"/>
    <w:rsid w:val="00C331D5"/>
    <w:rsid w:val="00C34DAA"/>
    <w:rsid w:val="00C35370"/>
    <w:rsid w:val="00C426D1"/>
    <w:rsid w:val="00C4271C"/>
    <w:rsid w:val="00C44283"/>
    <w:rsid w:val="00C54D11"/>
    <w:rsid w:val="00C55206"/>
    <w:rsid w:val="00C563E9"/>
    <w:rsid w:val="00C6240F"/>
    <w:rsid w:val="00C674AE"/>
    <w:rsid w:val="00C767CD"/>
    <w:rsid w:val="00C76D61"/>
    <w:rsid w:val="00C77F7A"/>
    <w:rsid w:val="00C82809"/>
    <w:rsid w:val="00C929C8"/>
    <w:rsid w:val="00CA2D23"/>
    <w:rsid w:val="00CB14CA"/>
    <w:rsid w:val="00CC2C25"/>
    <w:rsid w:val="00CD0E12"/>
    <w:rsid w:val="00CD649D"/>
    <w:rsid w:val="00CD6D7D"/>
    <w:rsid w:val="00CE1182"/>
    <w:rsid w:val="00CF2980"/>
    <w:rsid w:val="00D01A76"/>
    <w:rsid w:val="00D20999"/>
    <w:rsid w:val="00D27387"/>
    <w:rsid w:val="00D334CA"/>
    <w:rsid w:val="00D454FA"/>
    <w:rsid w:val="00D46FBA"/>
    <w:rsid w:val="00D523B6"/>
    <w:rsid w:val="00D70ACE"/>
    <w:rsid w:val="00D727D6"/>
    <w:rsid w:val="00D82E23"/>
    <w:rsid w:val="00D8645B"/>
    <w:rsid w:val="00D873B4"/>
    <w:rsid w:val="00D92A5A"/>
    <w:rsid w:val="00D971B3"/>
    <w:rsid w:val="00DA7FC8"/>
    <w:rsid w:val="00DB2595"/>
    <w:rsid w:val="00DC2E76"/>
    <w:rsid w:val="00DD04CF"/>
    <w:rsid w:val="00DD3EBE"/>
    <w:rsid w:val="00DD62CC"/>
    <w:rsid w:val="00DE5ABF"/>
    <w:rsid w:val="00DF1AA0"/>
    <w:rsid w:val="00DF3C42"/>
    <w:rsid w:val="00E17A8E"/>
    <w:rsid w:val="00E24306"/>
    <w:rsid w:val="00E32BAD"/>
    <w:rsid w:val="00E4067B"/>
    <w:rsid w:val="00E43AB8"/>
    <w:rsid w:val="00E4501D"/>
    <w:rsid w:val="00E45B63"/>
    <w:rsid w:val="00E558DB"/>
    <w:rsid w:val="00E645BF"/>
    <w:rsid w:val="00E66246"/>
    <w:rsid w:val="00E828D6"/>
    <w:rsid w:val="00E8314A"/>
    <w:rsid w:val="00E86C52"/>
    <w:rsid w:val="00EA0416"/>
    <w:rsid w:val="00EB10C4"/>
    <w:rsid w:val="00EB7108"/>
    <w:rsid w:val="00EB72E3"/>
    <w:rsid w:val="00EC1D3A"/>
    <w:rsid w:val="00EC33CE"/>
    <w:rsid w:val="00EC77A0"/>
    <w:rsid w:val="00ED0AF8"/>
    <w:rsid w:val="00ED3F1C"/>
    <w:rsid w:val="00EE15C5"/>
    <w:rsid w:val="00EE3B58"/>
    <w:rsid w:val="00EE431C"/>
    <w:rsid w:val="00EE555B"/>
    <w:rsid w:val="00F05F1E"/>
    <w:rsid w:val="00F06E9F"/>
    <w:rsid w:val="00F13847"/>
    <w:rsid w:val="00F1621C"/>
    <w:rsid w:val="00F17DBC"/>
    <w:rsid w:val="00F2038D"/>
    <w:rsid w:val="00F266A2"/>
    <w:rsid w:val="00F30C5F"/>
    <w:rsid w:val="00F32345"/>
    <w:rsid w:val="00F35236"/>
    <w:rsid w:val="00F372FF"/>
    <w:rsid w:val="00F37F8F"/>
    <w:rsid w:val="00F5034E"/>
    <w:rsid w:val="00F50D8D"/>
    <w:rsid w:val="00F55D6E"/>
    <w:rsid w:val="00F5730D"/>
    <w:rsid w:val="00F60945"/>
    <w:rsid w:val="00F60C41"/>
    <w:rsid w:val="00F6683C"/>
    <w:rsid w:val="00F67DDF"/>
    <w:rsid w:val="00F735BF"/>
    <w:rsid w:val="00F826CE"/>
    <w:rsid w:val="00F83769"/>
    <w:rsid w:val="00F83ACA"/>
    <w:rsid w:val="00F86474"/>
    <w:rsid w:val="00F910D4"/>
    <w:rsid w:val="00F93863"/>
    <w:rsid w:val="00F9749C"/>
    <w:rsid w:val="00F97E2A"/>
    <w:rsid w:val="00FA074C"/>
    <w:rsid w:val="00FA3BE0"/>
    <w:rsid w:val="00FB29AB"/>
    <w:rsid w:val="00FC05A6"/>
    <w:rsid w:val="00FD3BA2"/>
    <w:rsid w:val="00FD4ADD"/>
    <w:rsid w:val="00FE3B50"/>
    <w:rsid w:val="00FE4E82"/>
    <w:rsid w:val="00FE6011"/>
    <w:rsid w:val="00FE76D3"/>
    <w:rsid w:val="00FF1631"/>
    <w:rsid w:val="00FF1C5C"/>
    <w:rsid w:val="03993BA4"/>
    <w:rsid w:val="05BE1FE7"/>
    <w:rsid w:val="07CA4C73"/>
    <w:rsid w:val="0ADA341F"/>
    <w:rsid w:val="0D1150F2"/>
    <w:rsid w:val="11A622AD"/>
    <w:rsid w:val="11CA71C2"/>
    <w:rsid w:val="162E0AC3"/>
    <w:rsid w:val="16BF3DF0"/>
    <w:rsid w:val="1702033E"/>
    <w:rsid w:val="17E6613A"/>
    <w:rsid w:val="19831126"/>
    <w:rsid w:val="1B611BFD"/>
    <w:rsid w:val="1C835321"/>
    <w:rsid w:val="20401B1F"/>
    <w:rsid w:val="254863E9"/>
    <w:rsid w:val="27FF5E1C"/>
    <w:rsid w:val="2B89376C"/>
    <w:rsid w:val="2BD355F5"/>
    <w:rsid w:val="2C4B7F30"/>
    <w:rsid w:val="2C8815DF"/>
    <w:rsid w:val="2FAC4ADB"/>
    <w:rsid w:val="31307046"/>
    <w:rsid w:val="32173A91"/>
    <w:rsid w:val="33596C45"/>
    <w:rsid w:val="340F2EB2"/>
    <w:rsid w:val="35742B28"/>
    <w:rsid w:val="365F40C1"/>
    <w:rsid w:val="3CD37DAF"/>
    <w:rsid w:val="3F3D5750"/>
    <w:rsid w:val="404508BC"/>
    <w:rsid w:val="42121327"/>
    <w:rsid w:val="48B94188"/>
    <w:rsid w:val="4901159C"/>
    <w:rsid w:val="496E6BE8"/>
    <w:rsid w:val="49A62A79"/>
    <w:rsid w:val="4B025EF0"/>
    <w:rsid w:val="4B380496"/>
    <w:rsid w:val="4E074BBF"/>
    <w:rsid w:val="4E8A3DE2"/>
    <w:rsid w:val="4F427340"/>
    <w:rsid w:val="57E855F4"/>
    <w:rsid w:val="5BCE2588"/>
    <w:rsid w:val="5D2C71CC"/>
    <w:rsid w:val="5E702CCD"/>
    <w:rsid w:val="614F54B5"/>
    <w:rsid w:val="629D0130"/>
    <w:rsid w:val="63900568"/>
    <w:rsid w:val="6D9E4D5C"/>
    <w:rsid w:val="6FBE7937"/>
    <w:rsid w:val="70947DE3"/>
    <w:rsid w:val="7115629A"/>
    <w:rsid w:val="714D23F4"/>
    <w:rsid w:val="74143FCA"/>
    <w:rsid w:val="74E55C06"/>
    <w:rsid w:val="78162870"/>
    <w:rsid w:val="79140878"/>
    <w:rsid w:val="7EAA7A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9"/>
    <w:pPr>
      <w:keepNext/>
      <w:keepLines/>
      <w:spacing w:before="340" w:beforeLines="0" w:after="330" w:afterLines="0" w:line="578" w:lineRule="auto"/>
      <w:outlineLvl w:val="0"/>
    </w:pPr>
    <w:rPr>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annotation text"/>
    <w:basedOn w:val="1"/>
    <w:qFormat/>
    <w:uiPriority w:val="99"/>
    <w:pPr>
      <w:jc w:val="left"/>
    </w:pPr>
  </w:style>
  <w:style w:type="paragraph" w:styleId="6">
    <w:name w:val="Body Text Indent"/>
    <w:basedOn w:val="1"/>
    <w:qFormat/>
    <w:uiPriority w:val="0"/>
    <w:pPr>
      <w:ind w:left="720"/>
    </w:pPr>
  </w:style>
  <w:style w:type="paragraph" w:styleId="7">
    <w:name w:val="Plain Text"/>
    <w:basedOn w:val="1"/>
    <w:qFormat/>
    <w:uiPriority w:val="99"/>
    <w:pPr>
      <w:widowControl w:val="0"/>
      <w:adjustRightInd w:val="0"/>
      <w:spacing w:line="360" w:lineRule="atLeast"/>
      <w:jc w:val="both"/>
      <w:textAlignment w:val="baseline"/>
    </w:pPr>
    <w:rPr>
      <w:rFonts w:ascii="宋体" w:hAnsi="Courier New" w:eastAsia="宋体" w:cs="Courier New"/>
      <w:kern w:val="2"/>
      <w:sz w:val="21"/>
      <w:szCs w:val="21"/>
      <w:lang w:val="en-US" w:eastAsia="zh-CN" w:bidi="ar-SA"/>
    </w:rPr>
  </w:style>
  <w:style w:type="paragraph" w:styleId="8">
    <w:name w:val="Date"/>
    <w:basedOn w:val="1"/>
    <w:next w:val="1"/>
    <w:link w:val="21"/>
    <w:semiHidden/>
    <w:unhideWhenUsed/>
    <w:qFormat/>
    <w:uiPriority w:val="99"/>
    <w:pPr>
      <w:ind w:left="100" w:leftChars="2500"/>
    </w:pPr>
  </w:style>
  <w:style w:type="paragraph" w:styleId="9">
    <w:name w:val="Balloon Text"/>
    <w:basedOn w:val="1"/>
    <w:link w:val="20"/>
    <w:semiHidden/>
    <w:unhideWhenUsed/>
    <w:qFormat/>
    <w:uiPriority w:val="99"/>
    <w:rPr>
      <w:sz w:val="18"/>
      <w:szCs w:val="18"/>
    </w:rPr>
  </w:style>
  <w:style w:type="paragraph" w:styleId="10">
    <w:name w:val="footer"/>
    <w:basedOn w:val="1"/>
    <w:link w:val="19"/>
    <w:unhideWhenUsed/>
    <w:qFormat/>
    <w:uiPriority w:val="99"/>
    <w:pPr>
      <w:tabs>
        <w:tab w:val="center" w:pos="4153"/>
        <w:tab w:val="right" w:pos="8306"/>
      </w:tabs>
      <w:snapToGrid w:val="0"/>
      <w:jc w:val="left"/>
    </w:pPr>
    <w:rPr>
      <w:sz w:val="18"/>
      <w:szCs w:val="18"/>
    </w:rPr>
  </w:style>
  <w:style w:type="paragraph" w:styleId="11">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Body Text First Indent 2"/>
    <w:basedOn w:val="6"/>
    <w:qFormat/>
    <w:uiPriority w:val="0"/>
    <w:pPr>
      <w:spacing w:after="120"/>
      <w:ind w:left="420" w:leftChars="200" w:firstLine="420" w:firstLineChars="200"/>
    </w:pPr>
    <w:rPr>
      <w:rFonts w:ascii="Times New Roman" w:hAnsi="Times New Roman"/>
      <w:sz w:val="21"/>
      <w:szCs w:val="24"/>
    </w:rPr>
  </w:style>
  <w:style w:type="table" w:styleId="14">
    <w:name w:val="Table Grid"/>
    <w:basedOn w:val="13"/>
    <w:qFormat/>
    <w:uiPriority w:val="99"/>
    <w:pPr>
      <w:widowControl w:val="0"/>
      <w:jc w:val="both"/>
    </w:pPr>
    <w:rPr>
      <w:rFonts w:ascii="Times New Roman" w:hAnsi="Times New Roman" w:eastAsia="Times New Roman" w:cs="Times New Roman"/>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22"/>
    <w:rPr>
      <w:b/>
      <w:bCs/>
    </w:rPr>
  </w:style>
  <w:style w:type="character" w:styleId="17">
    <w:name w:val="page number"/>
    <w:basedOn w:val="15"/>
    <w:qFormat/>
    <w:uiPriority w:val="99"/>
  </w:style>
  <w:style w:type="character" w:customStyle="1" w:styleId="18">
    <w:name w:val="页眉 Char"/>
    <w:basedOn w:val="15"/>
    <w:link w:val="11"/>
    <w:qFormat/>
    <w:uiPriority w:val="99"/>
    <w:rPr>
      <w:sz w:val="18"/>
      <w:szCs w:val="18"/>
    </w:rPr>
  </w:style>
  <w:style w:type="character" w:customStyle="1" w:styleId="19">
    <w:name w:val="页脚 Char"/>
    <w:basedOn w:val="15"/>
    <w:link w:val="10"/>
    <w:qFormat/>
    <w:uiPriority w:val="99"/>
    <w:rPr>
      <w:sz w:val="18"/>
      <w:szCs w:val="18"/>
    </w:rPr>
  </w:style>
  <w:style w:type="character" w:customStyle="1" w:styleId="20">
    <w:name w:val="批注框文本 Char"/>
    <w:basedOn w:val="15"/>
    <w:link w:val="9"/>
    <w:semiHidden/>
    <w:qFormat/>
    <w:uiPriority w:val="99"/>
    <w:rPr>
      <w:sz w:val="18"/>
      <w:szCs w:val="18"/>
    </w:rPr>
  </w:style>
  <w:style w:type="character" w:customStyle="1" w:styleId="21">
    <w:name w:val="日期 Char"/>
    <w:basedOn w:val="15"/>
    <w:link w:val="8"/>
    <w:semiHidden/>
    <w:qFormat/>
    <w:uiPriority w:val="99"/>
  </w:style>
  <w:style w:type="paragraph" w:customStyle="1" w:styleId="22">
    <w:name w:val="图"/>
    <w:qFormat/>
    <w:uiPriority w:val="0"/>
    <w:pPr>
      <w:keepNext/>
      <w:widowControl w:val="0"/>
      <w:adjustRightInd w:val="0"/>
      <w:spacing w:before="60" w:after="60" w:line="300" w:lineRule="auto"/>
      <w:jc w:val="center"/>
      <w:textAlignment w:val="center"/>
    </w:pPr>
    <w:rPr>
      <w:rFonts w:ascii="Times New Roman" w:hAnsi="Times New Roman" w:eastAsia="宋体" w:cs="Times New Roman"/>
      <w:snapToGrid w:val="0"/>
      <w:spacing w:val="20"/>
      <w:sz w:val="24"/>
      <w:lang w:val="en-US" w:eastAsia="zh-CN" w:bidi="ar-SA"/>
    </w:rPr>
  </w:style>
  <w:style w:type="table" w:customStyle="1" w:styleId="23">
    <w:name w:val="网格型1"/>
    <w:basedOn w:val="13"/>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4">
    <w:name w:val="List Paragraph"/>
    <w:basedOn w:val="1"/>
    <w:unhideWhenUsed/>
    <w:qFormat/>
    <w:uiPriority w:val="99"/>
    <w:pPr>
      <w:ind w:firstLine="420" w:firstLineChars="200"/>
    </w:pPr>
  </w:style>
  <w:style w:type="character" w:customStyle="1" w:styleId="25">
    <w:name w:val="font21"/>
    <w:basedOn w:val="15"/>
    <w:qFormat/>
    <w:uiPriority w:val="0"/>
    <w:rPr>
      <w:rFonts w:ascii="Segoe UI" w:hAnsi="Segoe UI" w:eastAsia="Segoe UI" w:cs="Segoe UI"/>
      <w:b/>
      <w:bCs/>
      <w:color w:val="0F1115"/>
      <w:sz w:val="24"/>
      <w:szCs w:val="24"/>
      <w:u w:val="none"/>
    </w:rPr>
  </w:style>
  <w:style w:type="character" w:customStyle="1" w:styleId="26">
    <w:name w:val="font11"/>
    <w:basedOn w:val="15"/>
    <w:qFormat/>
    <w:uiPriority w:val="0"/>
    <w:rPr>
      <w:rFonts w:hint="eastAsia" w:ascii="宋体" w:hAnsi="宋体" w:eastAsia="宋体" w:cs="宋体"/>
      <w:b/>
      <w:bCs/>
      <w:color w:val="0F1115"/>
      <w:sz w:val="24"/>
      <w:szCs w:val="24"/>
      <w:u w:val="none"/>
    </w:rPr>
  </w:style>
  <w:style w:type="character" w:customStyle="1" w:styleId="27">
    <w:name w:val="font41"/>
    <w:basedOn w:val="15"/>
    <w:qFormat/>
    <w:uiPriority w:val="0"/>
    <w:rPr>
      <w:rFonts w:hint="default" w:ascii="Segoe UI" w:hAnsi="Segoe UI" w:eastAsia="Segoe UI" w:cs="Segoe UI"/>
      <w:color w:val="0F1115"/>
      <w:sz w:val="24"/>
      <w:szCs w:val="24"/>
      <w:u w:val="none"/>
    </w:rPr>
  </w:style>
  <w:style w:type="paragraph" w:customStyle="1" w:styleId="28">
    <w:name w:val="List Paragraph1"/>
    <w:basedOn w:val="1"/>
    <w:qFormat/>
    <w:uiPriority w:val="0"/>
    <w:pPr>
      <w:adjustRightInd/>
      <w:spacing w:line="240" w:lineRule="auto"/>
      <w:ind w:firstLine="420" w:firstLineChars="200"/>
      <w:textAlignment w:val="auto"/>
    </w:pPr>
    <w:rPr>
      <w:rFonts w:eastAsia="PMingLiU"/>
      <w:kern w:val="2"/>
      <w:sz w:val="21"/>
      <w:szCs w:val="22"/>
    </w:rPr>
  </w:style>
  <w:style w:type="paragraph" w:customStyle="1" w:styleId="29">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2153</Words>
  <Characters>2266</Characters>
  <Lines>8</Lines>
  <Paragraphs>2</Paragraphs>
  <TotalTime>3</TotalTime>
  <ScaleCrop>false</ScaleCrop>
  <LinksUpToDate>false</LinksUpToDate>
  <CharactersWithSpaces>2272</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2023-06-02T03:02:00Z</dcterms:created>
  <dc:creator>办公室</dc:creator>
  <cp:lastModifiedBy>LoShng.</cp:lastModifiedBy>
  <cp:lastPrinted>2025-11-14T08:32:00Z</cp:lastPrinted>
  <dcterms:modified xsi:type="dcterms:W3CDTF">2025-12-03T16:17:58Z</dcterms:modified>
  <cp:revision>359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E3CD0220F69E465E8A9481458537E0E5_13</vt:lpwstr>
  </property>
  <property fmtid="{D5CDD505-2E9C-101B-9397-08002B2CF9AE}" pid="4" name="KSOTemplateDocerSaveRecord">
    <vt:lpwstr>eyJoZGlkIjoiNThiMzJkMGNiOWZjMzFkYWE1MDhiZDYxMDY5ZThkOTEiLCJ1c2VySWQiOiI1NDM2OTk2MTcifQ==</vt:lpwstr>
  </property>
</Properties>
</file>