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1EB0AA">
      <w:pPr>
        <w:spacing w:before="156" w:beforeLines="50" w:after="156" w:afterLines="50"/>
        <w:jc w:val="center"/>
        <w:outlineLvl w:val="0"/>
        <w:rPr>
          <w:rFonts w:asciiTheme="majorEastAsia" w:hAnsiTheme="majorEastAsia" w:eastAsiaTheme="majorEastAsia" w:cstheme="majorEastAsia"/>
          <w:b/>
          <w:bCs/>
          <w:sz w:val="32"/>
          <w:szCs w:val="32"/>
        </w:rPr>
      </w:pPr>
      <w:r>
        <w:rPr>
          <w:rFonts w:hint="eastAsia" w:asciiTheme="majorEastAsia" w:hAnsiTheme="majorEastAsia" w:eastAsiaTheme="majorEastAsia" w:cstheme="majorEastAsia"/>
          <w:b/>
          <w:bCs/>
          <w:sz w:val="32"/>
          <w:szCs w:val="32"/>
        </w:rPr>
        <w:t>广州医科大学附属第三医院白云分院</w:t>
      </w:r>
    </w:p>
    <w:p w14:paraId="135E7583">
      <w:pPr>
        <w:spacing w:before="156" w:beforeLines="50" w:after="156" w:afterLines="50"/>
        <w:jc w:val="center"/>
        <w:outlineLvl w:val="0"/>
        <w:rPr>
          <w:rFonts w:asciiTheme="majorEastAsia" w:hAnsiTheme="majorEastAsia" w:eastAsiaTheme="majorEastAsia" w:cstheme="majorEastAsia"/>
          <w:sz w:val="32"/>
          <w:szCs w:val="32"/>
        </w:rPr>
      </w:pPr>
      <w:r>
        <w:rPr>
          <w:rFonts w:hint="eastAsia" w:asciiTheme="majorEastAsia" w:hAnsiTheme="majorEastAsia" w:eastAsiaTheme="majorEastAsia" w:cstheme="majorEastAsia"/>
          <w:b/>
          <w:bCs/>
          <w:sz w:val="32"/>
          <w:szCs w:val="32"/>
        </w:rPr>
        <w:t>（广州市白云区妇幼保健院）病案数字化扫描及托管采购需求</w:t>
      </w:r>
    </w:p>
    <w:p w14:paraId="273BA46D">
      <w:pPr>
        <w:numPr>
          <w:ilvl w:val="0"/>
          <w:numId w:val="1"/>
        </w:numPr>
        <w:spacing w:line="360" w:lineRule="auto"/>
        <w:outlineLvl w:val="1"/>
        <w:rPr>
          <w:rFonts w:asciiTheme="minorEastAsia" w:hAnsiTheme="minorEastAsia" w:cstheme="minorEastAsia"/>
          <w:b/>
          <w:bCs/>
          <w:sz w:val="30"/>
          <w:szCs w:val="30"/>
        </w:rPr>
      </w:pPr>
      <w:r>
        <w:rPr>
          <w:rFonts w:hint="eastAsia" w:asciiTheme="minorEastAsia" w:hAnsiTheme="minorEastAsia" w:cstheme="minorEastAsia"/>
          <w:b/>
          <w:bCs/>
          <w:sz w:val="30"/>
          <w:szCs w:val="30"/>
        </w:rPr>
        <w:t>项目概况：</w:t>
      </w:r>
    </w:p>
    <w:p w14:paraId="656F901C">
      <w:pPr>
        <w:spacing w:line="360" w:lineRule="auto"/>
        <w:ind w:firstLine="560" w:firstLineChars="200"/>
        <w:rPr>
          <w:rFonts w:asciiTheme="minorEastAsia" w:hAnsiTheme="minorEastAsia" w:cstheme="minorEastAsia"/>
          <w:sz w:val="28"/>
          <w:szCs w:val="28"/>
        </w:rPr>
      </w:pPr>
      <w:r>
        <w:rPr>
          <w:rFonts w:hint="eastAsia" w:asciiTheme="minorEastAsia" w:hAnsiTheme="minorEastAsia" w:cstheme="minorEastAsia"/>
          <w:sz w:val="28"/>
          <w:szCs w:val="28"/>
        </w:rPr>
        <w:t>项目名称：广州医科大学附属第三医院白云分院（广州市白云区妇幼保健院）病案数字化扫描及托管采购需求</w:t>
      </w:r>
    </w:p>
    <w:p w14:paraId="73E97CDC">
      <w:pPr>
        <w:spacing w:line="360" w:lineRule="auto"/>
        <w:ind w:firstLine="560" w:firstLineChars="200"/>
        <w:rPr>
          <w:rFonts w:asciiTheme="minorEastAsia" w:hAnsiTheme="minorEastAsia" w:cstheme="minorEastAsia"/>
          <w:sz w:val="28"/>
          <w:szCs w:val="28"/>
        </w:rPr>
      </w:pPr>
      <w:r>
        <w:rPr>
          <w:rFonts w:hint="eastAsia" w:asciiTheme="minorEastAsia" w:hAnsiTheme="minorEastAsia" w:cstheme="minorEastAsia"/>
          <w:sz w:val="28"/>
          <w:szCs w:val="28"/>
        </w:rPr>
        <w:t>项目地点：广州医科大学附属第三医院白云分院（广州市白云区妇幼保健院）（广州市白云区机场路1128号）。</w:t>
      </w:r>
    </w:p>
    <w:p w14:paraId="48FFFC5A">
      <w:pPr>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sz w:val="28"/>
          <w:szCs w:val="28"/>
        </w:rPr>
        <w:t>服务期限：自合同签订之日起至合同全部权利义务履行完毕之日止。</w:t>
      </w:r>
    </w:p>
    <w:p w14:paraId="047B277B">
      <w:pPr>
        <w:spacing w:line="360" w:lineRule="auto"/>
        <w:ind w:firstLine="560" w:firstLineChars="200"/>
        <w:rPr>
          <w:rFonts w:hint="eastAsia" w:asciiTheme="minorEastAsia" w:hAnsiTheme="minorEastAsia" w:cstheme="minorEastAsia"/>
          <w:sz w:val="28"/>
          <w:szCs w:val="28"/>
        </w:rPr>
      </w:pPr>
      <w:r>
        <w:rPr>
          <w:rFonts w:hint="eastAsia" w:asciiTheme="minorEastAsia" w:hAnsiTheme="minorEastAsia" w:cstheme="minorEastAsia"/>
          <w:color w:val="FF0000"/>
          <w:sz w:val="28"/>
          <w:szCs w:val="28"/>
          <w:lang w:val="en-US" w:eastAsia="zh-CN"/>
        </w:rPr>
        <w:t>本项目属于专门面向中小企业采购的项目，全部服务的承接方应为中小企业（监狱企业、残疾人福利单位视同小型、微型企业）【依据《中小企业声明函》或由省级以上监狱管理局、戒毒管理局（含新疆生产建设兵团）出具的承接方属于监狱企业的证明文件或承接方的《残疾人福利性单位声明函》】。</w:t>
      </w:r>
      <w:bookmarkStart w:id="1" w:name="_GoBack"/>
      <w:bookmarkEnd w:id="1"/>
    </w:p>
    <w:p w14:paraId="4EA2A40E">
      <w:pPr>
        <w:numPr>
          <w:ilvl w:val="0"/>
          <w:numId w:val="1"/>
        </w:numPr>
        <w:spacing w:line="360" w:lineRule="auto"/>
        <w:outlineLvl w:val="1"/>
        <w:rPr>
          <w:rFonts w:asciiTheme="minorEastAsia" w:hAnsiTheme="minorEastAsia" w:cstheme="minorEastAsia"/>
          <w:b/>
          <w:bCs/>
          <w:sz w:val="30"/>
          <w:szCs w:val="30"/>
        </w:rPr>
      </w:pPr>
      <w:r>
        <w:rPr>
          <w:rFonts w:hint="eastAsia" w:asciiTheme="minorEastAsia" w:hAnsiTheme="minorEastAsia" w:cstheme="minorEastAsia"/>
          <w:b/>
          <w:bCs/>
          <w:sz w:val="30"/>
          <w:szCs w:val="30"/>
        </w:rPr>
        <w:t>项目一览表</w:t>
      </w:r>
    </w:p>
    <w:p w14:paraId="255824C5"/>
    <w:tbl>
      <w:tblPr>
        <w:tblStyle w:val="13"/>
        <w:tblW w:w="9650"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780"/>
        <w:gridCol w:w="4500"/>
        <w:gridCol w:w="1685"/>
        <w:gridCol w:w="1685"/>
      </w:tblGrid>
      <w:tr w14:paraId="7B50F5E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54" w:hRule="atLeast"/>
          <w:jc w:val="center"/>
        </w:trPr>
        <w:tc>
          <w:tcPr>
            <w:tcW w:w="1780" w:type="dxa"/>
            <w:vAlign w:val="center"/>
          </w:tcPr>
          <w:p w14:paraId="7F12482B">
            <w:pPr>
              <w:snapToGrid w:val="0"/>
              <w:jc w:val="center"/>
              <w:rPr>
                <w:rFonts w:ascii="宋体"/>
                <w:b/>
                <w:sz w:val="24"/>
              </w:rPr>
            </w:pPr>
            <w:r>
              <w:rPr>
                <w:rFonts w:hint="eastAsia" w:ascii="宋体"/>
                <w:b/>
                <w:sz w:val="24"/>
              </w:rPr>
              <w:t>项目内容</w:t>
            </w:r>
          </w:p>
        </w:tc>
        <w:tc>
          <w:tcPr>
            <w:tcW w:w="4500" w:type="dxa"/>
            <w:vAlign w:val="center"/>
          </w:tcPr>
          <w:p w14:paraId="4098C1FF">
            <w:pPr>
              <w:snapToGrid w:val="0"/>
              <w:jc w:val="center"/>
              <w:rPr>
                <w:rFonts w:ascii="宋体"/>
                <w:b/>
                <w:sz w:val="24"/>
              </w:rPr>
            </w:pPr>
            <w:r>
              <w:rPr>
                <w:rFonts w:hint="eastAsia" w:ascii="宋体"/>
                <w:b/>
                <w:sz w:val="24"/>
              </w:rPr>
              <w:t>服务期限</w:t>
            </w:r>
          </w:p>
        </w:tc>
        <w:tc>
          <w:tcPr>
            <w:tcW w:w="1685" w:type="dxa"/>
            <w:vAlign w:val="center"/>
          </w:tcPr>
          <w:p w14:paraId="67545DD2">
            <w:pPr>
              <w:snapToGrid w:val="0"/>
              <w:jc w:val="center"/>
              <w:rPr>
                <w:rFonts w:ascii="宋体"/>
                <w:b/>
                <w:sz w:val="24"/>
              </w:rPr>
            </w:pPr>
            <w:r>
              <w:rPr>
                <w:rFonts w:hint="eastAsia" w:ascii="宋体"/>
                <w:b/>
                <w:sz w:val="24"/>
              </w:rPr>
              <w:t>单价最高限价</w:t>
            </w:r>
          </w:p>
        </w:tc>
        <w:tc>
          <w:tcPr>
            <w:tcW w:w="1685" w:type="dxa"/>
            <w:vAlign w:val="center"/>
          </w:tcPr>
          <w:p w14:paraId="7B25E752">
            <w:pPr>
              <w:snapToGrid w:val="0"/>
              <w:jc w:val="center"/>
              <w:rPr>
                <w:rFonts w:ascii="宋体"/>
                <w:b/>
                <w:sz w:val="24"/>
              </w:rPr>
            </w:pPr>
            <w:r>
              <w:rPr>
                <w:rFonts w:hint="eastAsia" w:ascii="宋体"/>
                <w:b/>
                <w:sz w:val="24"/>
              </w:rPr>
              <w:t>预算金额</w:t>
            </w:r>
          </w:p>
        </w:tc>
      </w:tr>
      <w:tr w14:paraId="1981999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702" w:hRule="atLeast"/>
          <w:jc w:val="center"/>
        </w:trPr>
        <w:tc>
          <w:tcPr>
            <w:tcW w:w="1780" w:type="dxa"/>
            <w:vAlign w:val="center"/>
          </w:tcPr>
          <w:p w14:paraId="640DF53C">
            <w:pPr>
              <w:snapToGrid w:val="0"/>
              <w:jc w:val="center"/>
              <w:rPr>
                <w:rFonts w:ascii="宋体"/>
                <w:bCs/>
                <w:sz w:val="24"/>
              </w:rPr>
            </w:pPr>
            <w:r>
              <w:rPr>
                <w:rFonts w:hint="eastAsia" w:ascii="宋体"/>
                <w:bCs/>
                <w:sz w:val="24"/>
              </w:rPr>
              <w:t>纸质病案扫描与托管</w:t>
            </w:r>
          </w:p>
        </w:tc>
        <w:tc>
          <w:tcPr>
            <w:tcW w:w="4500" w:type="dxa"/>
            <w:vAlign w:val="center"/>
          </w:tcPr>
          <w:p w14:paraId="7A5A1777">
            <w:pPr>
              <w:snapToGrid w:val="0"/>
              <w:jc w:val="center"/>
              <w:rPr>
                <w:rFonts w:ascii="宋体"/>
                <w:bCs/>
                <w:sz w:val="24"/>
              </w:rPr>
            </w:pPr>
            <w:r>
              <w:rPr>
                <w:rFonts w:hint="eastAsia" w:ascii="宋体"/>
                <w:bCs/>
                <w:sz w:val="24"/>
              </w:rPr>
              <w:t>纸质病案扫描：扫描2024年-2026年纸质病案；</w:t>
            </w:r>
          </w:p>
          <w:p w14:paraId="13BE1FE1">
            <w:pPr>
              <w:snapToGrid w:val="0"/>
              <w:jc w:val="center"/>
              <w:rPr>
                <w:rFonts w:ascii="宋体"/>
                <w:bCs/>
                <w:sz w:val="24"/>
              </w:rPr>
            </w:pPr>
            <w:r>
              <w:rPr>
                <w:rFonts w:hint="eastAsia" w:ascii="宋体"/>
                <w:bCs/>
                <w:sz w:val="24"/>
              </w:rPr>
              <w:t>纸质病案托管：上述纸质病案自扫描当年病历完毕之日起免费托管3年。</w:t>
            </w:r>
          </w:p>
        </w:tc>
        <w:tc>
          <w:tcPr>
            <w:tcW w:w="1685" w:type="dxa"/>
            <w:vAlign w:val="center"/>
          </w:tcPr>
          <w:p w14:paraId="57A89AB8">
            <w:pPr>
              <w:snapToGrid w:val="0"/>
              <w:jc w:val="center"/>
              <w:rPr>
                <w:rFonts w:ascii="宋体"/>
                <w:bCs/>
                <w:sz w:val="24"/>
              </w:rPr>
            </w:pPr>
            <w:r>
              <w:rPr>
                <w:rFonts w:hint="eastAsia" w:ascii="宋体"/>
                <w:bCs/>
                <w:sz w:val="24"/>
              </w:rPr>
              <w:t>人民币0.10元/单页面</w:t>
            </w:r>
          </w:p>
        </w:tc>
        <w:tc>
          <w:tcPr>
            <w:tcW w:w="1685" w:type="dxa"/>
            <w:vAlign w:val="center"/>
          </w:tcPr>
          <w:p w14:paraId="4408AFF0">
            <w:pPr>
              <w:snapToGrid w:val="0"/>
              <w:jc w:val="center"/>
              <w:rPr>
                <w:rFonts w:ascii="宋体"/>
                <w:bCs/>
                <w:sz w:val="24"/>
              </w:rPr>
            </w:pPr>
            <w:r>
              <w:rPr>
                <w:rFonts w:hint="eastAsia" w:ascii="宋体"/>
                <w:bCs/>
                <w:sz w:val="24"/>
              </w:rPr>
              <w:t>人民币90万元</w:t>
            </w:r>
          </w:p>
        </w:tc>
      </w:tr>
    </w:tbl>
    <w:p w14:paraId="14E94E32">
      <w:pPr>
        <w:spacing w:line="360" w:lineRule="auto"/>
        <w:ind w:firstLine="560" w:firstLineChars="200"/>
      </w:pPr>
      <w:r>
        <w:rPr>
          <w:rFonts w:asciiTheme="minorEastAsia" w:hAnsiTheme="minorEastAsia" w:cstheme="minorEastAsia"/>
          <w:sz w:val="28"/>
          <w:szCs w:val="28"/>
        </w:rPr>
        <w:t>注：以A4为标准规格，化验单两张A5或者三张A6算一张。采购人不保证实际数量，最终结算以具体的实际病案数量进行结帐，</w:t>
      </w:r>
      <w:r>
        <w:rPr>
          <w:rFonts w:hint="eastAsia" w:asciiTheme="minorEastAsia" w:hAnsiTheme="minorEastAsia" w:cstheme="minorEastAsia"/>
          <w:sz w:val="28"/>
          <w:szCs w:val="28"/>
        </w:rPr>
        <w:t>服务商</w:t>
      </w:r>
      <w:r>
        <w:rPr>
          <w:rFonts w:asciiTheme="minorEastAsia" w:hAnsiTheme="minorEastAsia" w:cstheme="minorEastAsia"/>
          <w:sz w:val="28"/>
          <w:szCs w:val="28"/>
        </w:rPr>
        <w:t>在报价时需酌情考虑。本项目的采购费用已包含病案数字化、建库、打包运输、箱子、下架、装车、扫描完毕的纸质病历托管3年，病案数码影像信息管理系统安装调试培训、实施并保证正常运行，病案数码影像信息管理系统维护和升级，检测及验收合格之前质保期内服务及备品备件发生，其他所有相关含税费用及不可预见费用。</w:t>
      </w:r>
    </w:p>
    <w:p w14:paraId="326DC034">
      <w:pPr>
        <w:numPr>
          <w:ilvl w:val="0"/>
          <w:numId w:val="1"/>
        </w:numPr>
        <w:spacing w:line="360" w:lineRule="auto"/>
        <w:outlineLvl w:val="1"/>
        <w:rPr>
          <w:rFonts w:asciiTheme="minorEastAsia" w:hAnsiTheme="minorEastAsia" w:cstheme="minorEastAsia"/>
          <w:b/>
          <w:bCs/>
          <w:sz w:val="30"/>
          <w:szCs w:val="30"/>
        </w:rPr>
      </w:pPr>
      <w:r>
        <w:rPr>
          <w:rFonts w:hint="eastAsia" w:asciiTheme="minorEastAsia" w:hAnsiTheme="minorEastAsia" w:cstheme="minorEastAsia"/>
          <w:b/>
          <w:bCs/>
          <w:sz w:val="30"/>
          <w:szCs w:val="30"/>
        </w:rPr>
        <w:t>报价方式</w:t>
      </w:r>
    </w:p>
    <w:p w14:paraId="2FDFCE19">
      <w:pPr>
        <w:spacing w:line="360" w:lineRule="auto"/>
        <w:ind w:firstLine="560" w:firstLineChars="200"/>
        <w:rPr>
          <w:rFonts w:asciiTheme="minorEastAsia" w:hAnsiTheme="minorEastAsia" w:cstheme="minorEastAsia"/>
          <w:sz w:val="28"/>
          <w:szCs w:val="28"/>
        </w:rPr>
      </w:pPr>
      <w:r>
        <w:rPr>
          <w:rFonts w:hint="eastAsia" w:asciiTheme="minorEastAsia" w:hAnsiTheme="minorEastAsia" w:cstheme="minorEastAsia"/>
          <w:sz w:val="28"/>
          <w:szCs w:val="28"/>
        </w:rPr>
        <w:t>本项目为广州医科大学附属第三医院白云分院（广州市白云区妇幼保健院）病案数字化扫描及托管采购项目，结帐时以最终</w:t>
      </w:r>
      <w:r>
        <w:rPr>
          <w:rFonts w:asciiTheme="minorEastAsia" w:hAnsiTheme="minorEastAsia" w:cstheme="minorEastAsia"/>
          <w:sz w:val="28"/>
          <w:szCs w:val="28"/>
        </w:rPr>
        <w:t>具体的实际病案数量进行结帐</w:t>
      </w:r>
      <w:r>
        <w:rPr>
          <w:rFonts w:hint="eastAsia" w:asciiTheme="minorEastAsia" w:hAnsiTheme="minorEastAsia" w:cstheme="minorEastAsia"/>
          <w:sz w:val="28"/>
          <w:szCs w:val="28"/>
        </w:rPr>
        <w:t>，服务商必须对本项目进行报单价。</w:t>
      </w:r>
    </w:p>
    <w:p w14:paraId="740CC57B">
      <w:pPr>
        <w:numPr>
          <w:ilvl w:val="0"/>
          <w:numId w:val="2"/>
        </w:numPr>
        <w:spacing w:line="360" w:lineRule="auto"/>
        <w:outlineLvl w:val="1"/>
        <w:rPr>
          <w:rFonts w:asciiTheme="minorEastAsia" w:hAnsiTheme="minorEastAsia" w:cstheme="minorEastAsia"/>
          <w:b/>
          <w:bCs/>
          <w:sz w:val="30"/>
          <w:szCs w:val="30"/>
        </w:rPr>
      </w:pPr>
      <w:r>
        <w:rPr>
          <w:rFonts w:hint="eastAsia" w:asciiTheme="minorEastAsia" w:hAnsiTheme="minorEastAsia" w:cstheme="minorEastAsia"/>
          <w:b/>
          <w:bCs/>
          <w:sz w:val="30"/>
          <w:szCs w:val="30"/>
        </w:rPr>
        <w:t>所需服务内容</w:t>
      </w:r>
    </w:p>
    <w:p w14:paraId="551656B0">
      <w:pPr>
        <w:numPr>
          <w:ilvl w:val="0"/>
          <w:numId w:val="3"/>
        </w:numPr>
        <w:outlineLvl w:val="2"/>
        <w:rPr>
          <w:sz w:val="28"/>
          <w:szCs w:val="32"/>
        </w:rPr>
      </w:pPr>
      <w:r>
        <w:rPr>
          <w:rFonts w:hint="eastAsia"/>
          <w:sz w:val="28"/>
          <w:szCs w:val="32"/>
        </w:rPr>
        <w:t>服务要求</w:t>
      </w:r>
    </w:p>
    <w:p w14:paraId="31F57D0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基本要求：提供病案数字化扫描服务，其中包含2024年-2026年纸质病案扫描以及3年的纸质病案免费托管、病案数码影像信息管理系统维护和升级；3年免费托管期结束后，后续托管费用在完成托管后的每年年底根据实际托管数量按照￥0.30元/本/年支付，每年托管费用包含病案数码影像信息管理系统维护和升级。</w:t>
      </w:r>
    </w:p>
    <w:p w14:paraId="1897E0F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纸质病案进行高质量扫描，生成电子影像。保证生成的电子影像与病案原件一致。对生成的电子影像进行分段（具体见附件二《广州医科大学附属第三医院白云分院（广州市白云区妇幼保健院）病历分段约定》），构建基于扫描病案资料的病案数码影像信息管理系统，并进行数据备份；病案数码影像信息管理系统需要即时显示每份生成的电子影像。</w:t>
      </w:r>
    </w:p>
    <w:p w14:paraId="1D316DD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3.纸质病案扫描工期：</w:t>
      </w:r>
    </w:p>
    <w:p w14:paraId="50B9B04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（1）第一批需要扫描的病历：2024年一整年病历，需要完成的时间为完成系统对接之后1个月内完成扫描并生成电子影像，每拖延1周，扣除结算金额1%的费用。</w:t>
      </w:r>
    </w:p>
    <w:p w14:paraId="7CFA80C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（2）第二批需要扫描的病历：2025年一整年的病历，需要在接到采购人通知之后1个月内完成扫描并生成电子影像，每拖延1周，扣除结算金额1%的费用。</w:t>
      </w:r>
    </w:p>
    <w:p w14:paraId="072BF9B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（3）2026年病历扫描且在系统上完成数据备份的时间，应在每月10日之前完成所交付的病历扫描并生成电子影像，每拖延1周，扣除结算金额1%的费用。</w:t>
      </w:r>
    </w:p>
    <w:p w14:paraId="6ABAD0F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构建病案首页信息库，将所有病案进行ICD-10国际疾病分类编码和ICD－9-CM3操作分类编码（对于有病案首页数据的，由采购人提供；无首页数据的由服务商录入患者姓名、住院号、入院日期、出院日期、入院科别、出院科室、出院中医及西医诊断、操作及手术名称、住院次数、离院方式、身份证号。）</w:t>
      </w:r>
    </w:p>
    <w:p w14:paraId="080BE4B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5.针对《病案数码影像信息管理系统》，开通数字病案保证在院内工作站的传输，实现数字化病案的共享、查阅、打印。</w:t>
      </w:r>
    </w:p>
    <w:p w14:paraId="6955F9A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6.病案原件的丢失处理：病案原件若在运输、异地保存等过程出现丢失、损坏、泄密，每份病案罚款1500元，并承担相应法律责任。</w:t>
      </w:r>
    </w:p>
    <w:p w14:paraId="54C5410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纸质病历保存条件需做到：装箱、上架保存，防火、防虫、防水、防盗、防潮。所保存的病案，如医院在特殊情况下需调取病案原件时，服务商负责在24小时内以国内安全性高的快递方式寄出，必要时采取专人送达，费用由服务商支付，采购人每月会定期寄回调取病案原件，费用由服务商支付。（以上费用包含在投标报价中，采购人不再另外支付）</w:t>
      </w:r>
    </w:p>
    <w:p w14:paraId="50738AE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8.纸质病案托管终止后，服务商负责将病历运回采购人指定地点，运输等相关费用由服务商支付。</w:t>
      </w:r>
    </w:p>
    <w:p w14:paraId="30C0CC2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9.为保证采购人病案原件长期、稳定的保存，服务商需为本项目提供仓储基地、防雷证明、消防证明等。</w:t>
      </w:r>
    </w:p>
    <w:p w14:paraId="2FEC6D69">
      <w:pPr>
        <w:numPr>
          <w:ilvl w:val="0"/>
          <w:numId w:val="3"/>
        </w:numPr>
        <w:outlineLvl w:val="2"/>
        <w:rPr>
          <w:sz w:val="28"/>
          <w:szCs w:val="32"/>
        </w:rPr>
      </w:pPr>
      <w:r>
        <w:rPr>
          <w:rFonts w:hint="eastAsia"/>
          <w:sz w:val="28"/>
          <w:szCs w:val="32"/>
        </w:rPr>
        <w:t>项目要求</w:t>
      </w:r>
    </w:p>
    <w:p w14:paraId="2A470831">
      <w:pPr>
        <w:tabs>
          <w:tab w:val="left" w:pos="210"/>
        </w:tabs>
        <w:outlineLvl w:val="3"/>
        <w:rPr>
          <w:rFonts w:ascii="宋体" w:hAnsi="宋体" w:eastAsia="宋体" w:cs="宋体"/>
          <w:bCs/>
          <w:sz w:val="28"/>
          <w:szCs w:val="32"/>
        </w:rPr>
      </w:pPr>
      <w:r>
        <w:rPr>
          <w:rFonts w:hint="eastAsia" w:ascii="宋体" w:hAnsi="宋体" w:eastAsia="宋体" w:cs="宋体"/>
          <w:bCs/>
          <w:sz w:val="28"/>
          <w:szCs w:val="32"/>
        </w:rPr>
        <w:t>1.总体要求</w:t>
      </w:r>
    </w:p>
    <w:p w14:paraId="6237534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（1）规范性：按照国家有关标准，建立病案数据和病案管理规范，并以此为基础实现采购人各部门、科室对数字病案资源的管理、应用、共享和交互。</w:t>
      </w:r>
    </w:p>
    <w:p w14:paraId="0347F5A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（2）准确性：生成的数字病案内容必须与原纸质病案一致，病人姓名和病案号与病案内容一致。</w:t>
      </w:r>
    </w:p>
    <w:p w14:paraId="2EC8370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（3）操作性：系统具有良好人机操作性能，界面友好，操作规范、简便，各种操作、错误提示清晰。</w:t>
      </w:r>
    </w:p>
    <w:p w14:paraId="1140F04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（4）维护性：用户能够对系统的设置、参数、数据、流程等内容进行有效维护，能够进行客户化的变动；系统安装简便。</w:t>
      </w:r>
    </w:p>
    <w:p w14:paraId="200D277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（5）高效性：提供快速高效准确的智能检索功能和管理手段。</w:t>
      </w:r>
    </w:p>
    <w:p w14:paraId="6A64823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（6）安全性：从技术和管理上确保网络和涉密档案资源信息的高度安全性。具有可靠备份手段，具有禁止拷屏、打印的相关功能，保证数据安全。</w:t>
      </w:r>
    </w:p>
    <w:p w14:paraId="4F71115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（7）可靠性：系统运行稳定可靠，7天×24小时在线，5.5天×8小时借阅、打印服务。</w:t>
      </w:r>
    </w:p>
    <w:p w14:paraId="6DB4B36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（8）合法性：数字病案的管理和应用符合国家有关法律法规。</w:t>
      </w:r>
    </w:p>
    <w:p w14:paraId="39496E8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（9）数据可用性：系统移交时，所有数字病案及相关数据必须以未加密方式交付，保证采购人对数据的完全控制与无障碍使用。</w:t>
      </w:r>
    </w:p>
    <w:p w14:paraId="5400FC4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（10）整体设计符合国家政策要求：需满足电子病历评级5级、互联互通评级四甲、智慧医院中智慧管理和智慧服务的要求。</w:t>
      </w:r>
    </w:p>
    <w:p w14:paraId="6469A50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（11）操作系统兼容性：为确保广泛应用，该系统需可在主流操作系统上运行，例如Windows 10、Windows7及主流国产化操作系统（麒麟V10、统信UOS）上运行。</w:t>
      </w:r>
    </w:p>
    <w:p w14:paraId="44FB1711">
      <w:pPr>
        <w:tabs>
          <w:tab w:val="left" w:pos="210"/>
        </w:tabs>
        <w:outlineLvl w:val="3"/>
        <w:rPr>
          <w:rFonts w:ascii="宋体" w:hAnsi="宋体" w:eastAsia="宋体" w:cs="宋体"/>
          <w:bCs/>
          <w:sz w:val="28"/>
          <w:szCs w:val="32"/>
        </w:rPr>
      </w:pPr>
      <w:r>
        <w:rPr>
          <w:rFonts w:hint="eastAsia" w:ascii="宋体" w:hAnsi="宋体" w:eastAsia="宋体" w:cs="宋体"/>
          <w:bCs/>
          <w:sz w:val="28"/>
          <w:szCs w:val="32"/>
        </w:rPr>
        <w:t>2.《病案数码影像信息管理系统》</w:t>
      </w:r>
    </w:p>
    <w:p w14:paraId="461625A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（1）提供《病案数码影像信息管理系统》维护管理服务，开通数字病案在院内各工作站的传输通道，实现数字化病案的院内共享、在线查阅、合规打印</w:t>
      </w:r>
    </w:p>
    <w:p w14:paraId="28CE7FF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（2）系统采用B/S架构模式，病案浏览功能基于B/S架构实现，无需安装客户端，降低使用门槛，方便医护人员进行病案的查询与浏览</w:t>
      </w:r>
    </w:p>
    <w:p w14:paraId="5527C42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（3）系统搭载SQL数据库，保障数据存储的稳定性、安全性与可扩展性</w:t>
      </w:r>
    </w:p>
    <w:p w14:paraId="32E350E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（4）病案申请浏览模块，支持逐份审核、批量审核、按科室定向审核三种审核模式</w:t>
      </w:r>
    </w:p>
    <w:p w14:paraId="6DF3193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（5）审核权限控制支持精细化配置，可精准控制到科室、具体人员，同时支持按时间范围（永久、年、月、日、小时）进行权限授权</w:t>
      </w:r>
    </w:p>
    <w:p w14:paraId="366581D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（6）病案图片支持通过鼠标滚轮进行放大缩小操作，同时支持图片拖放调整查看位置</w:t>
      </w:r>
    </w:p>
    <w:p w14:paraId="6A1DBB7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（7）数字化病案支持一键打印功能，打印时可自主选择色彩模式，同时提供预设打印套餐选择，且打印套餐支持自主维护与调整</w:t>
      </w:r>
    </w:p>
    <w:p w14:paraId="113DA6E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（8）系统具备完整的打印记录功能，可全程记录病案打印过程的所有操作信息，包括所打印病案的病案号、患者姓名、打印时间、打印页码、操作人员等</w:t>
      </w:r>
    </w:p>
    <w:p w14:paraId="095A28F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（9）用户管理：负责管理数字化客户端用户信息及B/S浏览用户信息，支持对用户信息进行查询、添加、修改、删除操作；可配合病案的保密等级设置对应权限，同时能够限定用户的病案查看及申请的科室范围</w:t>
      </w:r>
    </w:p>
    <w:p w14:paraId="2737DE7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（10）用户组管理：支持对系统用户进行分组管理，可对用户分组进行查询、添加、修改、删除操作</w:t>
      </w:r>
    </w:p>
    <w:p w14:paraId="4A669C8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（11）权限组管理：对用户所拥有的系统功能进行设置，并可限制该权限组所能访问的病案数据范围、操作的时效，同时支持权限组的复制、批量分配，以及和用户组进行关联绑定对应的相关科室；</w:t>
      </w:r>
    </w:p>
    <w:p w14:paraId="24E4EE2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（12）该系统须满足信创要求，3年内迁移系统数据到信创服务器。（该费用已包含在项目报价中）</w:t>
      </w:r>
    </w:p>
    <w:p w14:paraId="4533754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（13）系统接口：</w:t>
      </w:r>
    </w:p>
    <w:p w14:paraId="75BB8A1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a）本院目前所使用的系统为“HIS、EMR和电子病历归档系统”，服务商所提供的病案数码影像信息管理系统需对接本院系统，相关费用由服务商负责。</w:t>
      </w:r>
    </w:p>
    <w:p w14:paraId="2E5C621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b）服务商需提供满足医院使用系统正确对接的模块设计、接口标准，第三方可以根据接口标准采用基于Windows平台的任意开发工具开发出符合自己需求的模块，并与本系统实现无缝连接。软件要求能有与医院现有的HIS之间数据交换和流程衔接（服务商提供数字病案管理系统的数据，并开放接口，对接采购人所使用系统“HIS、EMR和电子病历归档系统”，的接口费用由服务商承担，供采购人读取）。</w:t>
      </w:r>
    </w:p>
    <w:p w14:paraId="2A98532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c)保证各个子系统既能独立工作，也可以跟其它系统协同工作。在升级、扩充某个子系统时，不会影响其它子系统。在某个子系统出故障的情况下，其它子系统不受影响，而且能通过替代的方式迅速排除故障。当增加一个新的子系统时，不会对其他子系统产生任何影响。当某个子系统增加新功能模块时，数据库部分无需全部安装，只需根据需要选择几个子系统进行组合安装和应用。</w:t>
      </w:r>
    </w:p>
    <w:p w14:paraId="4349B951">
      <w:pPr>
        <w:tabs>
          <w:tab w:val="left" w:pos="210"/>
        </w:tabs>
        <w:outlineLvl w:val="3"/>
        <w:rPr>
          <w:rFonts w:ascii="宋体" w:hAnsi="宋体" w:eastAsia="宋体" w:cs="宋体"/>
          <w:bCs/>
          <w:sz w:val="28"/>
          <w:szCs w:val="32"/>
        </w:rPr>
      </w:pPr>
      <w:r>
        <w:rPr>
          <w:rFonts w:hint="eastAsia" w:ascii="宋体" w:hAnsi="宋体" w:eastAsia="宋体" w:cs="宋体"/>
          <w:bCs/>
          <w:sz w:val="28"/>
          <w:szCs w:val="32"/>
        </w:rPr>
        <w:t>3.病案数字化要求</w:t>
      </w:r>
    </w:p>
    <w:p w14:paraId="3791ADA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扫描执行标准：DA/T31-2017。</w:t>
      </w:r>
    </w:p>
    <w:p w14:paraId="467312F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（1）对原始纸质病案应用数码技术分页数字化加工制作，形成数码图像。</w:t>
      </w:r>
    </w:p>
    <w:p w14:paraId="3C279A4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服务商负责清点、搬运、制作、拆装、分类、编码、归档、归位等工作，不另收费，病案安全性的控制具体见《附件一：广州医科大学附属第三医院白云分院（广州市白云区妇幼保健院）《病案数码影像与信息管理系统》病案安全性的控制》。</w:t>
      </w:r>
    </w:p>
    <w:p w14:paraId="7AC3F58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（3）扫描图像文件容量大小适中，在保证图像质量的前提下，容量尽可能小(最大图片每页不超过250K，平均图片大小不超过50K。</w:t>
      </w:r>
    </w:p>
    <w:p w14:paraId="084391E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支持常用的Windows图像阅读和处理软件，扫描图像的打印件与档案原稿清晰度一致。</w:t>
      </w:r>
    </w:p>
    <w:p w14:paraId="53FD6B7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（4）使用黑底技术对图像进行包含但不限于打直、居中、模糊清晰度处理，使得图像更加整洁、美观。</w:t>
      </w:r>
    </w:p>
    <w:p w14:paraId="0347BD0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（5）为了减小容量和减少打印成本，扫描图像彩色模式，原件模糊采用二值化TIF影像，即：提供二值化TIF和JPG格式的混合影像。</w:t>
      </w:r>
    </w:p>
    <w:p w14:paraId="1965A51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服务商需将扫描完成的纸质病案，同步转换为JPEG（或JPG）与OFD两种格式，并将此双格式文件作为完整数字病案单元，共同存储于系统数据库中。（须在投标文件中提供详细的格式转换操作说明，以及系统界面中同时管理JPEG（或JPG）与OFD格式的成功样式截图）</w:t>
      </w:r>
    </w:p>
    <w:p w14:paraId="3D8BF57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（7）病案数字化的人员要求：</w:t>
      </w:r>
    </w:p>
    <w:p w14:paraId="7C783F1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a)项目人员要求品行端正、经验丰富、人员稳定、保密意识强，熟悉档案信息化加工系统的操作应用。</w:t>
      </w:r>
    </w:p>
    <w:p w14:paraId="31F8B7F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b)服务商所配备的技术人员持有国家级认证的助理档案管理师或以上资格证书。</w:t>
      </w:r>
    </w:p>
    <w:p w14:paraId="55473DF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病案扫描图像保持原有纸质病案的书面质量，文字、图像完整，细节不丢失，扫描分辨率≥300DPI，扫描比例100%，彩色图像颜色为24真彩色，倾斜度达到视觉上基本不感觉偏斜，即使少量倾斜的影像数量控制在5%以内，且倾斜角度不大于2度。扫描图像采用二值化TIFF影像，个别影像采用JPEG 格式的图像文件存储。</w:t>
      </w:r>
    </w:p>
    <w:p w14:paraId="16E02B9A">
      <w:pPr>
        <w:tabs>
          <w:tab w:val="left" w:pos="210"/>
        </w:tabs>
        <w:outlineLvl w:val="3"/>
        <w:rPr>
          <w:rFonts w:ascii="宋体" w:hAnsi="宋体" w:eastAsia="宋体" w:cs="宋体"/>
          <w:bCs/>
          <w:sz w:val="28"/>
          <w:szCs w:val="32"/>
        </w:rPr>
      </w:pPr>
      <w:r>
        <w:rPr>
          <w:rFonts w:hint="eastAsia" w:ascii="宋体" w:hAnsi="宋体" w:eastAsia="宋体" w:cs="宋体"/>
          <w:bCs/>
          <w:sz w:val="28"/>
          <w:szCs w:val="32"/>
        </w:rPr>
        <w:t>4、病案数字化扫描设备的要求</w:t>
      </w:r>
    </w:p>
    <w:p w14:paraId="1D2778F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（1）为了保障扫描图像的高质量、小容量，病案原件扫描时拒绝使用高拍仪和数码相机。</w:t>
      </w:r>
    </w:p>
    <w:p w14:paraId="44EA6D2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（2）扫描设备性能要求如下：</w:t>
      </w:r>
    </w:p>
    <w:p w14:paraId="24B8FC5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a)基本参数</w:t>
      </w:r>
    </w:p>
    <w:p w14:paraId="1DD0A12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产品用途：商业应用</w:t>
      </w:r>
    </w:p>
    <w:p w14:paraId="2435831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产品类型：馈纸式</w:t>
      </w:r>
    </w:p>
    <w:p w14:paraId="57A2A12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最大幅面：A4</w:t>
      </w:r>
    </w:p>
    <w:p w14:paraId="4A781DD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扫描元件：CMOS/CIS</w:t>
      </w:r>
    </w:p>
    <w:p w14:paraId="6515669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光学分辨率：600dpi</w:t>
      </w:r>
    </w:p>
    <w:p w14:paraId="41E3E2D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最大分辨率：1200dpi</w:t>
      </w:r>
    </w:p>
    <w:p w14:paraId="665F61E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扫描范围：最大：215-914mm，最小：52-50mm</w:t>
      </w:r>
    </w:p>
    <w:p w14:paraId="75001CB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扫描介质：文件，票据，图片，照片，名片，卡片，证件</w:t>
      </w:r>
    </w:p>
    <w:p w14:paraId="55F028B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扫描速度：≥200dpi/300dpi，彩色/灰度/黑白：≥65ppm/130ipm</w:t>
      </w:r>
    </w:p>
    <w:p w14:paraId="3028B89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日扫描量：≥14000页</w:t>
      </w:r>
    </w:p>
    <w:p w14:paraId="5432510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接口类型：USB 2.0及以上</w:t>
      </w:r>
    </w:p>
    <w:p w14:paraId="37F8EB7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b)性能参数：</w:t>
      </w:r>
    </w:p>
    <w:p w14:paraId="38E433C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扫描光源：RGB三色发光二极管LED</w:t>
      </w:r>
    </w:p>
    <w:p w14:paraId="6375D27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扫描模式：彩色、灰阶、黑白</w:t>
      </w:r>
    </w:p>
    <w:p w14:paraId="2FCFD14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色彩位数：24位</w:t>
      </w:r>
    </w:p>
    <w:p w14:paraId="7430F17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送稿器容量；100页(40g/m2)，80页(80g/m2)，30页(210g/m2)；</w:t>
      </w:r>
    </w:p>
    <w:p w14:paraId="67E2AC9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长纸(14.1-120 inch)：1页；</w:t>
      </w:r>
    </w:p>
    <w:p w14:paraId="194E21B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文档保护页：1页；</w:t>
      </w:r>
    </w:p>
    <w:p w14:paraId="6C810FF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塑料卡片（没有浮雕/厚度0.76mm以下）：3页</w:t>
      </w:r>
    </w:p>
    <w:p w14:paraId="48E4434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塑料卡片（有浮雕/厚度1.24mm以下）：1页</w:t>
      </w:r>
    </w:p>
    <w:p w14:paraId="7B4B385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信封：1页（厚度0.27-0.38mm）</w:t>
      </w:r>
    </w:p>
    <w:p w14:paraId="3F66BDE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名片：30页</w:t>
      </w:r>
    </w:p>
    <w:p w14:paraId="18E7B3E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明信片：30页</w:t>
      </w:r>
    </w:p>
    <w:p w14:paraId="00F91E2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介质尺寸：最大：215×355mm，最小：52×50mm（长纸尺寸：宽215mm，长3048mm）</w:t>
      </w:r>
    </w:p>
    <w:p w14:paraId="47CBE4CE">
      <w:pPr>
        <w:tabs>
          <w:tab w:val="left" w:pos="210"/>
        </w:tabs>
        <w:outlineLvl w:val="3"/>
        <w:rPr>
          <w:rFonts w:ascii="宋体" w:hAnsi="宋体" w:eastAsia="宋体" w:cs="宋体"/>
          <w:bCs/>
          <w:sz w:val="28"/>
          <w:szCs w:val="32"/>
        </w:rPr>
      </w:pPr>
      <w:r>
        <w:rPr>
          <w:rFonts w:hint="eastAsia" w:ascii="宋体" w:hAnsi="宋体" w:eastAsia="宋体" w:cs="宋体"/>
          <w:bCs/>
          <w:sz w:val="28"/>
          <w:szCs w:val="32"/>
        </w:rPr>
        <w:t>其他要求</w:t>
      </w:r>
    </w:p>
    <w:p w14:paraId="2EA7764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1.病案数字化处理所需要的场地由服务商提供，服务商开展服务前，需向医院提交完整的设计方案和实施方案。</w:t>
      </w:r>
    </w:p>
    <w:p w14:paraId="416C0D8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2.人员要求</w:t>
      </w:r>
    </w:p>
    <w:p w14:paraId="322EE9E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（1）在项目实施期间，服务商委派开发工程师进驻实施现场，以保证系统运行正常(提供具体技术服务人员配置方案)。</w:t>
      </w:r>
    </w:p>
    <w:p w14:paraId="3B320E1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（2）在项目实施期间，服务商负责病案数字化所需的人员配备，按时完成病历扫描工作。</w:t>
      </w:r>
    </w:p>
    <w:p w14:paraId="1CBF06E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（3）项目实施期间，服务商对于有数据的部分但缺少少量首页数据的，必须派专业编码人员对历史病案进行首页ICD编码及信息录入，疾病分类编码人员应具有相关证明。</w:t>
      </w:r>
    </w:p>
    <w:p w14:paraId="1605CA5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3.服务商需具备较完善的企业管理体系认证、相关信息安全及信息服务体系认证。</w:t>
      </w:r>
    </w:p>
    <w:p w14:paraId="2BF6819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4.服务商需具有病案数码影像信息管理相关系统、仓库管理相关系统、病案数字化相关系统的管理软件计算机著作权。</w:t>
      </w:r>
    </w:p>
    <w:p w14:paraId="7C9EC231">
      <w:pPr>
        <w:numPr>
          <w:ilvl w:val="0"/>
          <w:numId w:val="2"/>
        </w:numPr>
        <w:spacing w:line="360" w:lineRule="auto"/>
        <w:outlineLvl w:val="1"/>
        <w:rPr>
          <w:rFonts w:asciiTheme="minorEastAsia" w:hAnsiTheme="minorEastAsia" w:cstheme="minorEastAsia"/>
          <w:b/>
          <w:bCs/>
          <w:sz w:val="30"/>
          <w:szCs w:val="30"/>
        </w:rPr>
      </w:pPr>
      <w:r>
        <w:rPr>
          <w:rFonts w:hint="eastAsia" w:asciiTheme="minorEastAsia" w:hAnsiTheme="minorEastAsia" w:cstheme="minorEastAsia"/>
          <w:b/>
          <w:bCs/>
          <w:sz w:val="30"/>
          <w:szCs w:val="30"/>
        </w:rPr>
        <w:t>验收标准</w:t>
      </w:r>
    </w:p>
    <w:p w14:paraId="77F964C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项目验收时由采购人根据服务商每批次交货分批验收，采购人在收到服务商每批次的验收申请后7日内组织履约验收。抽查并且实现对纸质病案与数字化病案的质量和数量的对照。对提供的图像是否去污、去除多余白边，且扫描后对数据的挂接方案及数据备份等方案进行验收。</w:t>
      </w:r>
    </w:p>
    <w:p w14:paraId="27EBA9F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2.数字化病案加工验收的标准为：</w:t>
      </w:r>
    </w:p>
    <w:p w14:paraId="44FBD91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（1）数字化病案图像是否完整；</w:t>
      </w:r>
    </w:p>
    <w:p w14:paraId="427ED0A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（2）数字化病案图像格式和清晰度是否符合要求；</w:t>
      </w:r>
    </w:p>
    <w:p w14:paraId="309757A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（3）数字化病案的文件夹命名是否合乎标准，是否已分段；</w:t>
      </w:r>
    </w:p>
    <w:p w14:paraId="2606BF6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（4）数字化图像是否完成旋转、自动纠偏、去杂点、去黑边、对比度调整，图像内容与原资料是否一致；</w:t>
      </w:r>
    </w:p>
    <w:p w14:paraId="1A1919D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（5）保证加工后的数字化病案不出现缺漏页情况，文件顺序不能出现顺序错乱情况，非原件残损，不能出现扫描造成的图像残损；</w:t>
      </w:r>
    </w:p>
    <w:p w14:paraId="2B7FE87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（6）差错率：依据“《纸质档案数字化规范》（中华人民共和国档案行业标准 DA/T31-2017）”规定，数字化转换质量抽检的合格率应≧95%。</w:t>
      </w:r>
    </w:p>
    <w:p w14:paraId="0366A322">
      <w:pPr>
        <w:spacing w:line="360" w:lineRule="auto"/>
        <w:ind w:firstLine="480" w:firstLineChars="200"/>
        <w:rPr>
          <w:rFonts w:asciiTheme="minorEastAsia" w:hAnsiTheme="minorEastAsia" w:cstheme="minorEastAsia"/>
          <w:color w:val="FF0000"/>
          <w:sz w:val="24"/>
          <w:szCs w:val="24"/>
        </w:rPr>
      </w:pPr>
      <w:r>
        <w:rPr>
          <w:rFonts w:hint="eastAsia" w:asciiTheme="minorEastAsia" w:hAnsiTheme="minorEastAsia" w:cstheme="minorEastAsia"/>
          <w:color w:val="FF0000"/>
          <w:sz w:val="24"/>
          <w:szCs w:val="24"/>
        </w:rPr>
        <w:t>3.付款方式：</w:t>
      </w:r>
    </w:p>
    <w:p w14:paraId="24E9F2DD">
      <w:pPr>
        <w:spacing w:line="360" w:lineRule="auto"/>
        <w:ind w:firstLine="480" w:firstLineChars="200"/>
        <w:rPr>
          <w:rFonts w:asciiTheme="minorEastAsia" w:hAnsiTheme="minorEastAsia" w:cstheme="minorEastAsia"/>
          <w:color w:val="FF0000"/>
          <w:sz w:val="24"/>
          <w:szCs w:val="24"/>
        </w:rPr>
      </w:pPr>
      <w:r>
        <w:rPr>
          <w:rFonts w:asciiTheme="minorEastAsia" w:hAnsiTheme="minorEastAsia" w:cstheme="minorEastAsia"/>
          <w:color w:val="FF0000"/>
          <w:sz w:val="24"/>
          <w:szCs w:val="24"/>
        </w:rPr>
        <w:t>(</w:t>
      </w:r>
      <w:r>
        <w:rPr>
          <w:rFonts w:hint="eastAsia" w:asciiTheme="minorEastAsia" w:hAnsiTheme="minorEastAsia" w:cstheme="minorEastAsia"/>
          <w:color w:val="FF0000"/>
          <w:sz w:val="24"/>
          <w:szCs w:val="24"/>
        </w:rPr>
        <w:t>1</w:t>
      </w:r>
      <w:r>
        <w:rPr>
          <w:rFonts w:asciiTheme="minorEastAsia" w:hAnsiTheme="minorEastAsia" w:cstheme="minorEastAsia"/>
          <w:color w:val="FF0000"/>
          <w:sz w:val="24"/>
          <w:szCs w:val="24"/>
        </w:rPr>
        <w:t>)</w:t>
      </w:r>
      <w:r>
        <w:rPr>
          <w:rFonts w:hint="eastAsia" w:asciiTheme="minorEastAsia" w:hAnsiTheme="minorEastAsia" w:cstheme="minorEastAsia"/>
          <w:color w:val="FF0000"/>
          <w:sz w:val="24"/>
          <w:szCs w:val="24"/>
        </w:rPr>
        <w:t xml:space="preserve"> 签订合同后，采购人在收到中标人发票后</w:t>
      </w:r>
      <w:r>
        <w:rPr>
          <w:rFonts w:hint="eastAsia" w:asciiTheme="minorEastAsia" w:hAnsiTheme="minorEastAsia" w:cstheme="minorEastAsia"/>
          <w:color w:val="FF0000"/>
          <w:sz w:val="24"/>
          <w:szCs w:val="24"/>
          <w:lang w:val="en-US" w:eastAsia="zh-CN"/>
        </w:rPr>
        <w:t>2</w:t>
      </w:r>
      <w:r>
        <w:rPr>
          <w:rFonts w:asciiTheme="minorEastAsia" w:hAnsiTheme="minorEastAsia" w:cstheme="minorEastAsia"/>
          <w:color w:val="FF0000"/>
          <w:sz w:val="24"/>
          <w:szCs w:val="24"/>
        </w:rPr>
        <w:t>0</w:t>
      </w:r>
      <w:r>
        <w:rPr>
          <w:rFonts w:hint="eastAsia" w:asciiTheme="minorEastAsia" w:hAnsiTheme="minorEastAsia" w:cstheme="minorEastAsia"/>
          <w:color w:val="FF0000"/>
          <w:sz w:val="24"/>
          <w:szCs w:val="24"/>
        </w:rPr>
        <w:t>个工作日内向中标人支付采购预算的30%作为预付款。</w:t>
      </w:r>
    </w:p>
    <w:p w14:paraId="244EB97C">
      <w:pPr>
        <w:spacing w:line="360" w:lineRule="auto"/>
        <w:ind w:firstLine="480" w:firstLineChars="200"/>
        <w:rPr>
          <w:rFonts w:asciiTheme="minorEastAsia" w:hAnsiTheme="minorEastAsia" w:cstheme="minorEastAsia"/>
          <w:color w:val="FF0000"/>
          <w:sz w:val="24"/>
          <w:szCs w:val="24"/>
        </w:rPr>
      </w:pPr>
      <w:r>
        <w:rPr>
          <w:rFonts w:asciiTheme="minorEastAsia" w:hAnsiTheme="minorEastAsia" w:cstheme="minorEastAsia"/>
          <w:color w:val="FF0000"/>
          <w:sz w:val="24"/>
          <w:szCs w:val="24"/>
        </w:rPr>
        <w:t>(</w:t>
      </w:r>
      <w:r>
        <w:rPr>
          <w:rFonts w:hint="eastAsia" w:asciiTheme="minorEastAsia" w:hAnsiTheme="minorEastAsia" w:cstheme="minorEastAsia"/>
          <w:color w:val="FF0000"/>
          <w:sz w:val="24"/>
          <w:szCs w:val="24"/>
        </w:rPr>
        <w:t>2) 完成2026年纸质病案扫描后，采购人在收到中标人发票后</w:t>
      </w:r>
      <w:r>
        <w:rPr>
          <w:rFonts w:hint="eastAsia" w:asciiTheme="minorEastAsia" w:hAnsiTheme="minorEastAsia" w:cstheme="minorEastAsia"/>
          <w:color w:val="FF0000"/>
          <w:sz w:val="24"/>
          <w:szCs w:val="24"/>
          <w:lang w:val="en-US" w:eastAsia="zh-CN"/>
        </w:rPr>
        <w:t>2</w:t>
      </w:r>
      <w:r>
        <w:rPr>
          <w:rFonts w:hint="eastAsia" w:asciiTheme="minorEastAsia" w:hAnsiTheme="minorEastAsia" w:cstheme="minorEastAsia"/>
          <w:color w:val="FF0000"/>
          <w:sz w:val="24"/>
          <w:szCs w:val="24"/>
        </w:rPr>
        <w:t>0个工作日内支付采购预算的6</w:t>
      </w:r>
      <w:r>
        <w:rPr>
          <w:rFonts w:asciiTheme="minorEastAsia" w:hAnsiTheme="minorEastAsia" w:cstheme="minorEastAsia"/>
          <w:color w:val="FF0000"/>
          <w:sz w:val="24"/>
          <w:szCs w:val="24"/>
        </w:rPr>
        <w:t>0</w:t>
      </w:r>
      <w:r>
        <w:rPr>
          <w:rFonts w:hint="eastAsia" w:asciiTheme="minorEastAsia" w:hAnsiTheme="minorEastAsia" w:cstheme="minorEastAsia"/>
          <w:color w:val="FF0000"/>
          <w:sz w:val="24"/>
          <w:szCs w:val="24"/>
        </w:rPr>
        <w:t>%。</w:t>
      </w:r>
    </w:p>
    <w:p w14:paraId="47CC9CE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（3）完成3年的纸质病案托管后，采购人在收到中标人发票后</w:t>
      </w:r>
      <w:r>
        <w:rPr>
          <w:rFonts w:hint="eastAsia" w:asciiTheme="minorEastAsia" w:hAnsiTheme="minorEastAsia" w:cstheme="minorEastAsia"/>
          <w:sz w:val="24"/>
          <w:szCs w:val="24"/>
          <w:lang w:val="en-US" w:eastAsia="zh-CN"/>
        </w:rPr>
        <w:t>2</w:t>
      </w:r>
      <w:r>
        <w:rPr>
          <w:rFonts w:hint="eastAsia" w:asciiTheme="minorEastAsia" w:hAnsiTheme="minorEastAsia" w:cstheme="minorEastAsia"/>
          <w:sz w:val="24"/>
          <w:szCs w:val="24"/>
        </w:rPr>
        <w:t>0个工作日内支付采购预算的</w:t>
      </w:r>
      <w:r>
        <w:rPr>
          <w:rFonts w:asciiTheme="minorEastAsia" w:hAnsiTheme="minorEastAsia" w:cstheme="minorEastAsia"/>
          <w:sz w:val="24"/>
          <w:szCs w:val="24"/>
        </w:rPr>
        <w:t>10</w:t>
      </w:r>
      <w:r>
        <w:rPr>
          <w:rFonts w:hint="eastAsia" w:asciiTheme="minorEastAsia" w:hAnsiTheme="minorEastAsia" w:cstheme="minorEastAsia"/>
          <w:sz w:val="24"/>
          <w:szCs w:val="24"/>
        </w:rPr>
        <w:t>%。</w:t>
      </w:r>
    </w:p>
    <w:p w14:paraId="4B8550DB">
      <w:pPr>
        <w:spacing w:line="360" w:lineRule="auto"/>
        <w:ind w:firstLine="480" w:firstLineChars="200"/>
        <w:rPr>
          <w:rFonts w:hint="eastAsia" w:asciiTheme="minorEastAsia" w:hAnsiTheme="minorEastAsia" w:cstheme="minorEastAsia"/>
          <w:sz w:val="24"/>
          <w:szCs w:val="24"/>
        </w:rPr>
      </w:pPr>
    </w:p>
    <w:p w14:paraId="0D8C2C49">
      <w:pPr>
        <w:numPr>
          <w:ilvl w:val="0"/>
          <w:numId w:val="2"/>
        </w:numPr>
        <w:spacing w:line="360" w:lineRule="auto"/>
        <w:outlineLvl w:val="1"/>
        <w:rPr>
          <w:rFonts w:asciiTheme="minorEastAsia" w:hAnsiTheme="minorEastAsia" w:cstheme="minorEastAsia"/>
          <w:b/>
          <w:bCs/>
          <w:sz w:val="30"/>
          <w:szCs w:val="30"/>
        </w:rPr>
      </w:pPr>
      <w:r>
        <w:rPr>
          <w:rFonts w:hint="eastAsia" w:asciiTheme="minorEastAsia" w:hAnsiTheme="minorEastAsia" w:cstheme="minorEastAsia"/>
          <w:b/>
          <w:bCs/>
          <w:sz w:val="30"/>
          <w:szCs w:val="30"/>
        </w:rPr>
        <w:t>售后服务要求</w:t>
      </w:r>
    </w:p>
    <w:p w14:paraId="5C88AA4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1.病案数码影像信息管理系统必须保证每天24小时安全运行，并有冗余备份。</w:t>
      </w:r>
    </w:p>
    <w:p w14:paraId="62949A0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2.上门例行服务：售后服务中心每半年1次由服务商委派工程师到现场了解系统的运行状况，为系统定期维护保养，使系统处于最佳运行状态。</w:t>
      </w:r>
    </w:p>
    <w:p w14:paraId="56651D5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3.应急服务</w:t>
      </w:r>
    </w:p>
    <w:p w14:paraId="13B8E2F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当医院在运行过程中遇到技术问题时，由医院的联系人向售后服务中心反映问题，并通过电话提出应急服务的要求。公司售后服务中心在收到医院应急服务的要求后，在1小时（含）内做出应急服务响应。24小时（含）内完成采购人提出的应急服务要求。</w:t>
      </w:r>
    </w:p>
    <w:p w14:paraId="5B5A368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（2）服务方式如下</w:t>
      </w:r>
    </w:p>
    <w:p w14:paraId="012CFBD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a)电话服务：售后服务中心提供给医院的电话服务，由数字化病案系统工程师指导医院的联系人在第一时间作出正确的应急处理。</w:t>
      </w:r>
    </w:p>
    <w:p w14:paraId="4A5B136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b)传真、电子邮件：当医院技术联系人通过传真、E-mail寻求电子病案系统工程师支持时，该工程师将在收到邮件后1小时（含）内做出响应，指导医院技术联系人解决问题。</w:t>
      </w:r>
    </w:p>
    <w:p w14:paraId="714AB6B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c)远程维护：当医院允许公司通过远程解决时，服务商可通过远程连接方式在响应时间内提供服务。</w:t>
      </w:r>
    </w:p>
    <w:p w14:paraId="67A202CC">
      <w:pPr>
        <w:spacing w:line="360" w:lineRule="auto"/>
        <w:ind w:firstLine="480" w:firstLineChars="200"/>
        <w:rPr>
          <w:rFonts w:ascii="宋体" w:hAnsi="宋体" w:eastAsia="宋体" w:cs="宋体"/>
          <w:bCs/>
        </w:rPr>
      </w:pPr>
      <w:r>
        <w:rPr>
          <w:rFonts w:hint="eastAsia" w:asciiTheme="minorEastAsia" w:hAnsiTheme="minorEastAsia" w:cstheme="minorEastAsia"/>
          <w:sz w:val="24"/>
          <w:szCs w:val="24"/>
        </w:rPr>
        <w:t>d)上门现场服务：医院在使用过程中遇到故障，而这些故障通过电话及远程维护都无法解决时，服务商需指定病案数码影像系统工程师及其他必要的技术力量在24小时（含）内解决故障。</w:t>
      </w:r>
    </w:p>
    <w:p w14:paraId="07FD8B88">
      <w:pPr>
        <w:numPr>
          <w:ilvl w:val="0"/>
          <w:numId w:val="2"/>
        </w:numPr>
        <w:spacing w:line="360" w:lineRule="auto"/>
        <w:outlineLvl w:val="1"/>
        <w:rPr>
          <w:rFonts w:asciiTheme="minorEastAsia" w:hAnsiTheme="minorEastAsia" w:cstheme="minorEastAsia"/>
          <w:b/>
          <w:bCs/>
          <w:sz w:val="30"/>
          <w:szCs w:val="30"/>
        </w:rPr>
      </w:pPr>
      <w:r>
        <w:rPr>
          <w:rFonts w:hint="eastAsia" w:asciiTheme="minorEastAsia" w:hAnsiTheme="minorEastAsia" w:cstheme="minorEastAsia"/>
          <w:b/>
          <w:bCs/>
          <w:sz w:val="30"/>
          <w:szCs w:val="30"/>
        </w:rPr>
        <w:t>保密要求</w:t>
      </w:r>
    </w:p>
    <w:p w14:paraId="35F2ACA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1.服务商以协议的方式约定保密责任，遵守相关保密制度。</w:t>
      </w:r>
    </w:p>
    <w:p w14:paraId="3F37692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2.参与项目实施的人员不得有违法犯罪的记录。</w:t>
      </w:r>
    </w:p>
    <w:p w14:paraId="3F359FE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3.严格执行保密制度，服务商必须做好保密工作，服务商不得以任何形式（复印、扫描、照相、转抄等）向第三方泄密。</w:t>
      </w:r>
    </w:p>
    <w:p w14:paraId="1948B2B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4.数字化病案资料的所有权归属采购人，在项目结束时都必须完整移交。</w:t>
      </w:r>
    </w:p>
    <w:p w14:paraId="116FBA1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5.违约责任与赔偿损失：</w:t>
      </w:r>
    </w:p>
    <w:p w14:paraId="26B9D8C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 xml:space="preserve">（1）如服务商未履行保密义务，服务商应依法承担违约责任，如违约则须向采购人赔偿采购人认定损失额的十倍（至少10万元）并承担一切法律责任。具体的行为与事件以双方调查，并以司法机关与采购人的调查，相关证据为准。 </w:t>
      </w:r>
    </w:p>
    <w:p w14:paraId="73A9139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如服务商因未履行保密义务造成采购人损失的，服务商应依法承担损失赔偿责任，具体赔偿责任以实际行为与事件定责，并且包括名誉损失，名誉损失的，服务商将公关，消除相应负面影响，恢复采购人名誉，再进行经济赔偿。所有的责任定损如果双方不一致，可引入公平公正具有司法效应的第三方定损公司来介入调查定损，调查公司的费用由服务商承担。</w:t>
      </w:r>
    </w:p>
    <w:p w14:paraId="422043B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6.技术培训要求</w:t>
      </w:r>
    </w:p>
    <w:p w14:paraId="18DCB20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（1）服务商负责对采购人病案管理人员进行病案数字化相关方面的培训，保证项目终止前，采购人相关人员熟练掌握该项技能。</w:t>
      </w:r>
    </w:p>
    <w:p w14:paraId="3D18FDF7">
      <w:pPr>
        <w:spacing w:line="360" w:lineRule="auto"/>
        <w:ind w:firstLine="480" w:firstLineChars="200"/>
        <w:rPr>
          <w:rFonts w:ascii="宋体" w:hAnsi="宋体" w:eastAsia="宋体" w:cs="宋体"/>
          <w:bCs/>
        </w:rPr>
      </w:pPr>
      <w:r>
        <w:rPr>
          <w:rFonts w:hint="eastAsia" w:asciiTheme="minorEastAsia" w:hAnsiTheme="minorEastAsia" w:cstheme="minorEastAsia"/>
          <w:sz w:val="24"/>
          <w:szCs w:val="24"/>
        </w:rPr>
        <w:t>（2）培训内容包括：纸质病案扫描，病案数据库建立和维护，病案数码影像信息管理系统使用和维护。</w:t>
      </w:r>
    </w:p>
    <w:p w14:paraId="27788942">
      <w:pPr>
        <w:rPr>
          <w:rFonts w:asciiTheme="minorEastAsia" w:hAnsiTheme="minorEastAsia" w:cstheme="minorEastAsia"/>
          <w:b/>
          <w:bCs/>
          <w:sz w:val="30"/>
          <w:szCs w:val="30"/>
        </w:rPr>
      </w:pPr>
      <w:r>
        <w:rPr>
          <w:rFonts w:hint="eastAsia" w:asciiTheme="minorEastAsia" w:hAnsiTheme="minorEastAsia" w:cstheme="minorEastAsia"/>
          <w:b/>
          <w:bCs/>
          <w:sz w:val="30"/>
          <w:szCs w:val="30"/>
        </w:rPr>
        <w:br w:type="page"/>
      </w:r>
    </w:p>
    <w:p w14:paraId="55C9EC7F">
      <w:pPr>
        <w:numPr>
          <w:ilvl w:val="0"/>
          <w:numId w:val="2"/>
        </w:numPr>
        <w:spacing w:line="360" w:lineRule="auto"/>
        <w:outlineLvl w:val="1"/>
        <w:rPr>
          <w:rFonts w:asciiTheme="minorEastAsia" w:hAnsiTheme="minorEastAsia" w:cstheme="minorEastAsia"/>
          <w:b/>
          <w:bCs/>
          <w:sz w:val="30"/>
          <w:szCs w:val="30"/>
        </w:rPr>
      </w:pPr>
      <w:r>
        <w:rPr>
          <w:rFonts w:hint="eastAsia" w:asciiTheme="minorEastAsia" w:hAnsiTheme="minorEastAsia" w:cstheme="minorEastAsia"/>
          <w:b/>
          <w:bCs/>
          <w:sz w:val="30"/>
          <w:szCs w:val="30"/>
        </w:rPr>
        <w:t>参考附件</w:t>
      </w:r>
    </w:p>
    <w:p w14:paraId="79422796">
      <w:pPr>
        <w:tabs>
          <w:tab w:val="left" w:pos="210"/>
        </w:tabs>
        <w:outlineLvl w:val="2"/>
        <w:rPr>
          <w:rFonts w:ascii="宋体" w:hAnsi="宋体" w:eastAsia="宋体" w:cs="宋体"/>
          <w:bCs/>
          <w:sz w:val="28"/>
          <w:szCs w:val="32"/>
        </w:rPr>
      </w:pPr>
      <w:r>
        <w:rPr>
          <w:rFonts w:hint="eastAsia" w:ascii="宋体" w:hAnsi="宋体" w:eastAsia="宋体" w:cs="宋体"/>
          <w:bCs/>
          <w:sz w:val="28"/>
          <w:szCs w:val="32"/>
        </w:rPr>
        <w:t>附件一</w:t>
      </w:r>
    </w:p>
    <w:p w14:paraId="141C74A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广州医科大学附属第三医院白云分院（广州市白云区妇幼保健院）《病案数码影像与信息管理系统》病案安全性的控制</w:t>
      </w:r>
    </w:p>
    <w:p w14:paraId="3A08C1C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1.病案原件清点、交割：</w:t>
      </w:r>
    </w:p>
    <w:p w14:paraId="5F4EA24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1.1病案登记清点：向医院病案室接收纸质病案时需逐本清点，记录住院号、姓名、出院日期、住院次数，下架、打包，采购人指派工作人员进行监督及核查。</w:t>
      </w:r>
    </w:p>
    <w:p w14:paraId="277140D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1.2打包好的病案原件形成交接清单表，经双方确认后双方签字并复印留存，与医院交接。</w:t>
      </w:r>
    </w:p>
    <w:p w14:paraId="3A51904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1.3下架、打包、装车所需人力由中标方提供。服务商需保证病案的完整性，不得遗失、泄密、破坏、污损。</w:t>
      </w:r>
    </w:p>
    <w:p w14:paraId="06263D5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2.转运服务需求：</w:t>
      </w:r>
    </w:p>
    <w:p w14:paraId="3D6CC10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转运过程服务商须有专人全程押车，保障运输安全。运输时装、卸车均核对捆数（包括数量）。</w:t>
      </w:r>
    </w:p>
    <w:p w14:paraId="700FECAE">
      <w:pPr>
        <w:rPr>
          <w:rFonts w:ascii="宋体" w:hAnsi="宋体" w:eastAsia="宋体" w:cs="宋体"/>
          <w:bCs/>
          <w:sz w:val="28"/>
          <w:szCs w:val="32"/>
        </w:rPr>
      </w:pPr>
      <w:r>
        <w:rPr>
          <w:rFonts w:hint="eastAsia" w:ascii="宋体" w:hAnsi="宋体" w:eastAsia="宋体" w:cs="宋体"/>
          <w:bCs/>
          <w:sz w:val="28"/>
          <w:szCs w:val="32"/>
        </w:rPr>
        <w:br w:type="page"/>
      </w:r>
    </w:p>
    <w:p w14:paraId="308C0E42">
      <w:pPr>
        <w:tabs>
          <w:tab w:val="left" w:pos="210"/>
        </w:tabs>
        <w:outlineLvl w:val="2"/>
        <w:rPr>
          <w:rFonts w:ascii="宋体" w:hAnsi="宋体" w:eastAsia="宋体" w:cs="宋体"/>
          <w:bCs/>
          <w:sz w:val="28"/>
          <w:szCs w:val="32"/>
        </w:rPr>
      </w:pPr>
      <w:r>
        <w:rPr>
          <w:rFonts w:hint="eastAsia" w:ascii="宋体" w:hAnsi="宋体" w:eastAsia="宋体" w:cs="宋体"/>
          <w:bCs/>
          <w:sz w:val="28"/>
          <w:szCs w:val="32"/>
        </w:rPr>
        <w:t>附件二</w:t>
      </w:r>
    </w:p>
    <w:p w14:paraId="51834D6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广州医科大学附属第三医院白云分院（广州市白云区妇幼保健院）病历分段约定</w:t>
      </w:r>
    </w:p>
    <w:p w14:paraId="6215334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w:t>
      </w:r>
      <w:r>
        <w:rPr>
          <w:rFonts w:hint="eastAsia" w:asciiTheme="minorEastAsia" w:hAnsiTheme="minorEastAsia" w:cstheme="minorEastAsia"/>
          <w:sz w:val="24"/>
          <w:szCs w:val="24"/>
        </w:rPr>
        <w:tab/>
      </w:r>
      <w:r>
        <w:rPr>
          <w:rFonts w:hint="eastAsia" w:asciiTheme="minorEastAsia" w:hAnsiTheme="minorEastAsia" w:cstheme="minorEastAsia"/>
          <w:sz w:val="24"/>
          <w:szCs w:val="24"/>
        </w:rPr>
        <w:t>住院病案首页</w:t>
      </w:r>
    </w:p>
    <w:p w14:paraId="44F536E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w:t>
      </w:r>
      <w:r>
        <w:rPr>
          <w:rFonts w:hint="eastAsia" w:asciiTheme="minorEastAsia" w:hAnsiTheme="minorEastAsia" w:cstheme="minorEastAsia"/>
          <w:sz w:val="24"/>
          <w:szCs w:val="24"/>
        </w:rPr>
        <w:tab/>
      </w:r>
      <w:r>
        <w:rPr>
          <w:rFonts w:hint="eastAsia" w:asciiTheme="minorEastAsia" w:hAnsiTheme="minorEastAsia" w:cstheme="minorEastAsia"/>
          <w:sz w:val="24"/>
          <w:szCs w:val="24"/>
        </w:rPr>
        <w:t>入院记录</w:t>
      </w:r>
    </w:p>
    <w:p w14:paraId="18E2B25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w:t>
      </w:r>
      <w:r>
        <w:rPr>
          <w:rFonts w:hint="eastAsia" w:asciiTheme="minorEastAsia" w:hAnsiTheme="minorEastAsia" w:cstheme="minorEastAsia"/>
          <w:sz w:val="24"/>
          <w:szCs w:val="24"/>
        </w:rPr>
        <w:tab/>
      </w:r>
      <w:r>
        <w:rPr>
          <w:rFonts w:hint="eastAsia" w:asciiTheme="minorEastAsia" w:hAnsiTheme="minorEastAsia" w:cstheme="minorEastAsia"/>
          <w:sz w:val="24"/>
          <w:szCs w:val="24"/>
        </w:rPr>
        <w:t>病程记录</w:t>
      </w:r>
    </w:p>
    <w:p w14:paraId="7348F84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w:t>
      </w:r>
      <w:r>
        <w:rPr>
          <w:rFonts w:hint="eastAsia" w:asciiTheme="minorEastAsia" w:hAnsiTheme="minorEastAsia" w:cstheme="minorEastAsia"/>
          <w:sz w:val="24"/>
          <w:szCs w:val="24"/>
        </w:rPr>
        <w:tab/>
      </w:r>
      <w:r>
        <w:rPr>
          <w:rFonts w:hint="eastAsia" w:asciiTheme="minorEastAsia" w:hAnsiTheme="minorEastAsia" w:cstheme="minorEastAsia"/>
          <w:sz w:val="24"/>
          <w:szCs w:val="24"/>
        </w:rPr>
        <w:t>产前病人情况以及治疗意见（如有）</w:t>
      </w:r>
    </w:p>
    <w:p w14:paraId="4337226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w:t>
      </w:r>
      <w:r>
        <w:rPr>
          <w:rFonts w:hint="eastAsia" w:asciiTheme="minorEastAsia" w:hAnsiTheme="minorEastAsia" w:cstheme="minorEastAsia"/>
          <w:sz w:val="24"/>
          <w:szCs w:val="24"/>
        </w:rPr>
        <w:tab/>
      </w:r>
      <w:r>
        <w:rPr>
          <w:rFonts w:hint="eastAsia" w:asciiTheme="minorEastAsia" w:hAnsiTheme="minorEastAsia" w:cstheme="minorEastAsia"/>
          <w:sz w:val="24"/>
          <w:szCs w:val="24"/>
        </w:rPr>
        <w:t>阴道检查记录单（如有）</w:t>
      </w:r>
    </w:p>
    <w:p w14:paraId="74A67EF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w:t>
      </w:r>
      <w:r>
        <w:rPr>
          <w:rFonts w:hint="eastAsia" w:asciiTheme="minorEastAsia" w:hAnsiTheme="minorEastAsia" w:cstheme="minorEastAsia"/>
          <w:sz w:val="24"/>
          <w:szCs w:val="24"/>
        </w:rPr>
        <w:tab/>
      </w:r>
      <w:r>
        <w:rPr>
          <w:rFonts w:hint="eastAsia" w:asciiTheme="minorEastAsia" w:hAnsiTheme="minorEastAsia" w:cstheme="minorEastAsia"/>
          <w:sz w:val="24"/>
          <w:szCs w:val="24"/>
        </w:rPr>
        <w:t>阴道分娩同意书（如有）</w:t>
      </w:r>
    </w:p>
    <w:p w14:paraId="00D0BBA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w:t>
      </w:r>
      <w:r>
        <w:rPr>
          <w:rFonts w:hint="eastAsia" w:asciiTheme="minorEastAsia" w:hAnsiTheme="minorEastAsia" w:cstheme="minorEastAsia"/>
          <w:sz w:val="24"/>
          <w:szCs w:val="24"/>
        </w:rPr>
        <w:tab/>
      </w:r>
      <w:r>
        <w:rPr>
          <w:rFonts w:hint="eastAsia" w:asciiTheme="minorEastAsia" w:hAnsiTheme="minorEastAsia" w:cstheme="minorEastAsia"/>
          <w:sz w:val="24"/>
          <w:szCs w:val="24"/>
        </w:rPr>
        <w:t>产前护理记录（如有）</w:t>
      </w:r>
    </w:p>
    <w:p w14:paraId="20C590B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w:t>
      </w:r>
      <w:r>
        <w:rPr>
          <w:rFonts w:hint="eastAsia" w:asciiTheme="minorEastAsia" w:hAnsiTheme="minorEastAsia" w:cstheme="minorEastAsia"/>
          <w:sz w:val="24"/>
          <w:szCs w:val="24"/>
        </w:rPr>
        <w:tab/>
      </w:r>
      <w:r>
        <w:rPr>
          <w:rFonts w:hint="eastAsia" w:asciiTheme="minorEastAsia" w:hAnsiTheme="minorEastAsia" w:cstheme="minorEastAsia"/>
          <w:sz w:val="24"/>
          <w:szCs w:val="24"/>
        </w:rPr>
        <w:t>术前讨论记录</w:t>
      </w:r>
    </w:p>
    <w:p w14:paraId="3666306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9</w:t>
      </w:r>
      <w:r>
        <w:rPr>
          <w:rFonts w:hint="eastAsia" w:asciiTheme="minorEastAsia" w:hAnsiTheme="minorEastAsia" w:cstheme="minorEastAsia"/>
          <w:sz w:val="24"/>
          <w:szCs w:val="24"/>
        </w:rPr>
        <w:tab/>
      </w:r>
      <w:r>
        <w:rPr>
          <w:rFonts w:hint="eastAsia" w:asciiTheme="minorEastAsia" w:hAnsiTheme="minorEastAsia" w:cstheme="minorEastAsia"/>
          <w:sz w:val="24"/>
          <w:szCs w:val="24"/>
        </w:rPr>
        <w:t>术前小结</w:t>
      </w:r>
    </w:p>
    <w:p w14:paraId="5E6024D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10</w:t>
      </w:r>
      <w:r>
        <w:rPr>
          <w:rFonts w:hint="eastAsia" w:asciiTheme="minorEastAsia" w:hAnsiTheme="minorEastAsia" w:cstheme="minorEastAsia"/>
          <w:sz w:val="24"/>
          <w:szCs w:val="24"/>
        </w:rPr>
        <w:tab/>
      </w:r>
      <w:r>
        <w:rPr>
          <w:rFonts w:hint="eastAsia" w:asciiTheme="minorEastAsia" w:hAnsiTheme="minorEastAsia" w:cstheme="minorEastAsia"/>
          <w:sz w:val="24"/>
          <w:szCs w:val="24"/>
        </w:rPr>
        <w:t>手术同意书（LEEP刀同意书、药流同意书、引产同意书、剖宫产手术同意书）</w:t>
      </w:r>
    </w:p>
    <w:p w14:paraId="5EAC95C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11</w:t>
      </w:r>
      <w:r>
        <w:rPr>
          <w:rFonts w:hint="eastAsia" w:asciiTheme="minorEastAsia" w:hAnsiTheme="minorEastAsia" w:cstheme="minorEastAsia"/>
          <w:sz w:val="24"/>
          <w:szCs w:val="24"/>
        </w:rPr>
        <w:tab/>
      </w:r>
      <w:r>
        <w:rPr>
          <w:rFonts w:hint="eastAsia" w:asciiTheme="minorEastAsia" w:hAnsiTheme="minorEastAsia" w:cstheme="minorEastAsia"/>
          <w:sz w:val="24"/>
          <w:szCs w:val="24"/>
        </w:rPr>
        <w:t>麻醉知情同意书</w:t>
      </w:r>
    </w:p>
    <w:p w14:paraId="61B746E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12</w:t>
      </w:r>
      <w:r>
        <w:rPr>
          <w:rFonts w:hint="eastAsia" w:asciiTheme="minorEastAsia" w:hAnsiTheme="minorEastAsia" w:cstheme="minorEastAsia"/>
          <w:sz w:val="24"/>
          <w:szCs w:val="24"/>
        </w:rPr>
        <w:tab/>
      </w:r>
      <w:r>
        <w:rPr>
          <w:rFonts w:hint="eastAsia" w:asciiTheme="minorEastAsia" w:hAnsiTheme="minorEastAsia" w:cstheme="minorEastAsia"/>
          <w:sz w:val="24"/>
          <w:szCs w:val="24"/>
        </w:rPr>
        <w:t>麻醉前评估和麻醉计划</w:t>
      </w:r>
    </w:p>
    <w:p w14:paraId="5D21C9D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13</w:t>
      </w:r>
      <w:r>
        <w:rPr>
          <w:rFonts w:hint="eastAsia" w:asciiTheme="minorEastAsia" w:hAnsiTheme="minorEastAsia" w:cstheme="minorEastAsia"/>
          <w:sz w:val="24"/>
          <w:szCs w:val="24"/>
        </w:rPr>
        <w:tab/>
      </w:r>
      <w:r>
        <w:rPr>
          <w:rFonts w:hint="eastAsia" w:asciiTheme="minorEastAsia" w:hAnsiTheme="minorEastAsia" w:cstheme="minorEastAsia"/>
          <w:sz w:val="24"/>
          <w:szCs w:val="24"/>
        </w:rPr>
        <w:t>手术安全核查表</w:t>
      </w:r>
    </w:p>
    <w:p w14:paraId="44F6B1B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14</w:t>
      </w:r>
      <w:r>
        <w:rPr>
          <w:rFonts w:hint="eastAsia" w:asciiTheme="minorEastAsia" w:hAnsiTheme="minorEastAsia" w:cstheme="minorEastAsia"/>
          <w:sz w:val="24"/>
          <w:szCs w:val="24"/>
        </w:rPr>
        <w:tab/>
      </w:r>
      <w:r>
        <w:rPr>
          <w:rFonts w:hint="eastAsia" w:asciiTheme="minorEastAsia" w:hAnsiTheme="minorEastAsia" w:cstheme="minorEastAsia"/>
          <w:sz w:val="24"/>
          <w:szCs w:val="24"/>
        </w:rPr>
        <w:t>术前准备单</w:t>
      </w:r>
    </w:p>
    <w:p w14:paraId="74AF0DC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15</w:t>
      </w:r>
      <w:r>
        <w:rPr>
          <w:rFonts w:hint="eastAsia" w:asciiTheme="minorEastAsia" w:hAnsiTheme="minorEastAsia" w:cstheme="minorEastAsia"/>
          <w:sz w:val="24"/>
          <w:szCs w:val="24"/>
        </w:rPr>
        <w:tab/>
      </w:r>
      <w:r>
        <w:rPr>
          <w:rFonts w:hint="eastAsia" w:asciiTheme="minorEastAsia" w:hAnsiTheme="minorEastAsia" w:cstheme="minorEastAsia"/>
          <w:sz w:val="24"/>
          <w:szCs w:val="24"/>
        </w:rPr>
        <w:t>手术护理记录单</w:t>
      </w:r>
    </w:p>
    <w:p w14:paraId="16C1957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16</w:t>
      </w:r>
      <w:r>
        <w:rPr>
          <w:rFonts w:hint="eastAsia" w:asciiTheme="minorEastAsia" w:hAnsiTheme="minorEastAsia" w:cstheme="minorEastAsia"/>
          <w:sz w:val="24"/>
          <w:szCs w:val="24"/>
        </w:rPr>
        <w:tab/>
      </w:r>
      <w:r>
        <w:rPr>
          <w:rFonts w:hint="eastAsia" w:asciiTheme="minorEastAsia" w:hAnsiTheme="minorEastAsia" w:cstheme="minorEastAsia"/>
          <w:sz w:val="24"/>
          <w:szCs w:val="24"/>
        </w:rPr>
        <w:t>手术器械敷料登记表（如有）</w:t>
      </w:r>
    </w:p>
    <w:p w14:paraId="3F80FF4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17</w:t>
      </w:r>
      <w:r>
        <w:rPr>
          <w:rFonts w:hint="eastAsia" w:asciiTheme="minorEastAsia" w:hAnsiTheme="minorEastAsia" w:cstheme="minorEastAsia"/>
          <w:sz w:val="24"/>
          <w:szCs w:val="24"/>
        </w:rPr>
        <w:tab/>
      </w:r>
      <w:r>
        <w:rPr>
          <w:rFonts w:hint="eastAsia" w:asciiTheme="minorEastAsia" w:hAnsiTheme="minorEastAsia" w:cstheme="minorEastAsia"/>
          <w:sz w:val="24"/>
          <w:szCs w:val="24"/>
        </w:rPr>
        <w:t>麻醉记录</w:t>
      </w:r>
    </w:p>
    <w:p w14:paraId="138E21C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18</w:t>
      </w:r>
      <w:r>
        <w:rPr>
          <w:rFonts w:hint="eastAsia" w:asciiTheme="minorEastAsia" w:hAnsiTheme="minorEastAsia" w:cstheme="minorEastAsia"/>
          <w:sz w:val="24"/>
          <w:szCs w:val="24"/>
        </w:rPr>
        <w:tab/>
      </w:r>
      <w:r>
        <w:rPr>
          <w:rFonts w:hint="eastAsia" w:asciiTheme="minorEastAsia" w:hAnsiTheme="minorEastAsia" w:cstheme="minorEastAsia"/>
          <w:sz w:val="24"/>
          <w:szCs w:val="24"/>
        </w:rPr>
        <w:t>麻醉手术收费单（若有）</w:t>
      </w:r>
    </w:p>
    <w:p w14:paraId="2D3CBF9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19</w:t>
      </w:r>
      <w:r>
        <w:rPr>
          <w:rFonts w:hint="eastAsia" w:asciiTheme="minorEastAsia" w:hAnsiTheme="minorEastAsia" w:cstheme="minorEastAsia"/>
          <w:sz w:val="24"/>
          <w:szCs w:val="24"/>
        </w:rPr>
        <w:tab/>
      </w:r>
      <w:r>
        <w:rPr>
          <w:rFonts w:hint="eastAsia" w:asciiTheme="minorEastAsia" w:hAnsiTheme="minorEastAsia" w:cstheme="minorEastAsia"/>
          <w:sz w:val="24"/>
          <w:szCs w:val="24"/>
        </w:rPr>
        <w:t>手术记录（剖宫产手术记录、腹腔镜手术单）</w:t>
      </w:r>
    </w:p>
    <w:p w14:paraId="5560A50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20</w:t>
      </w:r>
      <w:r>
        <w:rPr>
          <w:rFonts w:hint="eastAsia" w:asciiTheme="minorEastAsia" w:hAnsiTheme="minorEastAsia" w:cstheme="minorEastAsia"/>
          <w:sz w:val="24"/>
          <w:szCs w:val="24"/>
        </w:rPr>
        <w:tab/>
      </w:r>
      <w:r>
        <w:rPr>
          <w:rFonts w:hint="eastAsia" w:asciiTheme="minorEastAsia" w:hAnsiTheme="minorEastAsia" w:cstheme="minorEastAsia"/>
          <w:sz w:val="24"/>
          <w:szCs w:val="24"/>
        </w:rPr>
        <w:t>分娩记录单（如有）</w:t>
      </w:r>
    </w:p>
    <w:p w14:paraId="7306B77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21</w:t>
      </w:r>
      <w:r>
        <w:rPr>
          <w:rFonts w:hint="eastAsia" w:asciiTheme="minorEastAsia" w:hAnsiTheme="minorEastAsia" w:cstheme="minorEastAsia"/>
          <w:sz w:val="24"/>
          <w:szCs w:val="24"/>
        </w:rPr>
        <w:tab/>
      </w:r>
      <w:r>
        <w:rPr>
          <w:rFonts w:hint="eastAsia" w:asciiTheme="minorEastAsia" w:hAnsiTheme="minorEastAsia" w:cstheme="minorEastAsia"/>
          <w:sz w:val="24"/>
          <w:szCs w:val="24"/>
        </w:rPr>
        <w:t>手术风险评估表</w:t>
      </w:r>
    </w:p>
    <w:p w14:paraId="3B8BEAE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22</w:t>
      </w:r>
      <w:r>
        <w:rPr>
          <w:rFonts w:hint="eastAsia" w:asciiTheme="minorEastAsia" w:hAnsiTheme="minorEastAsia" w:cstheme="minorEastAsia"/>
          <w:sz w:val="24"/>
          <w:szCs w:val="24"/>
        </w:rPr>
        <w:tab/>
      </w:r>
      <w:r>
        <w:rPr>
          <w:rFonts w:hint="eastAsia" w:asciiTheme="minorEastAsia" w:hAnsiTheme="minorEastAsia" w:cstheme="minorEastAsia"/>
          <w:sz w:val="24"/>
          <w:szCs w:val="24"/>
        </w:rPr>
        <w:t>麻醉术后访视记录</w:t>
      </w:r>
    </w:p>
    <w:p w14:paraId="75DBB88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23</w:t>
      </w:r>
      <w:r>
        <w:rPr>
          <w:rFonts w:hint="eastAsia" w:asciiTheme="minorEastAsia" w:hAnsiTheme="minorEastAsia" w:cstheme="minorEastAsia"/>
          <w:sz w:val="24"/>
          <w:szCs w:val="24"/>
        </w:rPr>
        <w:tab/>
      </w:r>
      <w:r>
        <w:rPr>
          <w:rFonts w:hint="eastAsia" w:asciiTheme="minorEastAsia" w:hAnsiTheme="minorEastAsia" w:cstheme="minorEastAsia"/>
          <w:sz w:val="24"/>
          <w:szCs w:val="24"/>
        </w:rPr>
        <w:t>麻醉总结</w:t>
      </w:r>
    </w:p>
    <w:p w14:paraId="6CB0193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24</w:t>
      </w:r>
      <w:r>
        <w:rPr>
          <w:rFonts w:hint="eastAsia" w:asciiTheme="minorEastAsia" w:hAnsiTheme="minorEastAsia" w:cstheme="minorEastAsia"/>
          <w:sz w:val="24"/>
          <w:szCs w:val="24"/>
        </w:rPr>
        <w:tab/>
      </w:r>
      <w:r>
        <w:rPr>
          <w:rFonts w:hint="eastAsia" w:asciiTheme="minorEastAsia" w:hAnsiTheme="minorEastAsia" w:cstheme="minorEastAsia"/>
          <w:sz w:val="24"/>
          <w:szCs w:val="24"/>
        </w:rPr>
        <w:t>术前、术后评估</w:t>
      </w:r>
    </w:p>
    <w:p w14:paraId="4737C10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25</w:t>
      </w:r>
      <w:r>
        <w:rPr>
          <w:rFonts w:hint="eastAsia" w:asciiTheme="minorEastAsia" w:hAnsiTheme="minorEastAsia" w:cstheme="minorEastAsia"/>
          <w:sz w:val="24"/>
          <w:szCs w:val="24"/>
        </w:rPr>
        <w:tab/>
      </w:r>
      <w:r>
        <w:rPr>
          <w:rFonts w:hint="eastAsia" w:asciiTheme="minorEastAsia" w:hAnsiTheme="minorEastAsia" w:cstheme="minorEastAsia"/>
          <w:sz w:val="24"/>
          <w:szCs w:val="24"/>
        </w:rPr>
        <w:t>催产素静脉滴注观察记录单（如有）</w:t>
      </w:r>
    </w:p>
    <w:p w14:paraId="4DAB9EF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26</w:t>
      </w:r>
      <w:r>
        <w:rPr>
          <w:rFonts w:hint="eastAsia" w:asciiTheme="minorEastAsia" w:hAnsiTheme="minorEastAsia" w:cstheme="minorEastAsia"/>
          <w:sz w:val="24"/>
          <w:szCs w:val="24"/>
        </w:rPr>
        <w:tab/>
      </w:r>
      <w:r>
        <w:rPr>
          <w:rFonts w:hint="eastAsia" w:asciiTheme="minorEastAsia" w:hAnsiTheme="minorEastAsia" w:cstheme="minorEastAsia"/>
          <w:sz w:val="24"/>
          <w:szCs w:val="24"/>
        </w:rPr>
        <w:t>分娩记录单</w:t>
      </w:r>
    </w:p>
    <w:p w14:paraId="366729D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27</w:t>
      </w:r>
      <w:r>
        <w:rPr>
          <w:rFonts w:hint="eastAsia" w:asciiTheme="minorEastAsia" w:hAnsiTheme="minorEastAsia" w:cstheme="minorEastAsia"/>
          <w:sz w:val="24"/>
          <w:szCs w:val="24"/>
        </w:rPr>
        <w:tab/>
      </w:r>
      <w:r>
        <w:rPr>
          <w:rFonts w:hint="eastAsia" w:asciiTheme="minorEastAsia" w:hAnsiTheme="minorEastAsia" w:cstheme="minorEastAsia"/>
          <w:sz w:val="24"/>
          <w:szCs w:val="24"/>
        </w:rPr>
        <w:t>产房安全核查表</w:t>
      </w:r>
    </w:p>
    <w:p w14:paraId="0398A68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28</w:t>
      </w:r>
      <w:r>
        <w:rPr>
          <w:rFonts w:hint="eastAsia" w:asciiTheme="minorEastAsia" w:hAnsiTheme="minorEastAsia" w:cstheme="minorEastAsia"/>
          <w:sz w:val="24"/>
          <w:szCs w:val="24"/>
        </w:rPr>
        <w:tab/>
      </w:r>
      <w:r>
        <w:rPr>
          <w:rFonts w:hint="eastAsia" w:asciiTheme="minorEastAsia" w:hAnsiTheme="minorEastAsia" w:cstheme="minorEastAsia"/>
          <w:sz w:val="24"/>
          <w:szCs w:val="24"/>
        </w:rPr>
        <w:t>经阴道接生器械敷料清点记录单</w:t>
      </w:r>
    </w:p>
    <w:p w14:paraId="42A988E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29</w:t>
      </w:r>
      <w:r>
        <w:rPr>
          <w:rFonts w:hint="eastAsia" w:asciiTheme="minorEastAsia" w:hAnsiTheme="minorEastAsia" w:cstheme="minorEastAsia"/>
          <w:sz w:val="24"/>
          <w:szCs w:val="24"/>
        </w:rPr>
        <w:tab/>
      </w:r>
      <w:r>
        <w:rPr>
          <w:rFonts w:hint="eastAsia" w:asciiTheme="minorEastAsia" w:hAnsiTheme="minorEastAsia" w:cstheme="minorEastAsia"/>
          <w:sz w:val="24"/>
          <w:szCs w:val="24"/>
        </w:rPr>
        <w:t>麻醉手术收费单（如有）</w:t>
      </w:r>
    </w:p>
    <w:p w14:paraId="2C23C7E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30</w:t>
      </w:r>
      <w:r>
        <w:rPr>
          <w:rFonts w:hint="eastAsia" w:asciiTheme="minorEastAsia" w:hAnsiTheme="minorEastAsia" w:cstheme="minorEastAsia"/>
          <w:sz w:val="24"/>
          <w:szCs w:val="24"/>
        </w:rPr>
        <w:tab/>
      </w:r>
      <w:r>
        <w:rPr>
          <w:rFonts w:hint="eastAsia" w:asciiTheme="minorEastAsia" w:hAnsiTheme="minorEastAsia" w:cstheme="minorEastAsia"/>
          <w:sz w:val="24"/>
          <w:szCs w:val="24"/>
        </w:rPr>
        <w:t>产后病程记录或病历续页</w:t>
      </w:r>
    </w:p>
    <w:p w14:paraId="3D01BD9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31</w:t>
      </w:r>
      <w:r>
        <w:rPr>
          <w:rFonts w:hint="eastAsia" w:asciiTheme="minorEastAsia" w:hAnsiTheme="minorEastAsia" w:cstheme="minorEastAsia"/>
          <w:sz w:val="24"/>
          <w:szCs w:val="24"/>
        </w:rPr>
        <w:tab/>
      </w:r>
      <w:r>
        <w:rPr>
          <w:rFonts w:hint="eastAsia" w:asciiTheme="minorEastAsia" w:hAnsiTheme="minorEastAsia" w:cstheme="minorEastAsia"/>
          <w:sz w:val="24"/>
          <w:szCs w:val="24"/>
        </w:rPr>
        <w:t>抢救记录</w:t>
      </w:r>
    </w:p>
    <w:p w14:paraId="46A2193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32</w:t>
      </w:r>
      <w:r>
        <w:rPr>
          <w:rFonts w:hint="eastAsia" w:asciiTheme="minorEastAsia" w:hAnsiTheme="minorEastAsia" w:cstheme="minorEastAsia"/>
          <w:sz w:val="24"/>
          <w:szCs w:val="24"/>
        </w:rPr>
        <w:tab/>
      </w:r>
      <w:r>
        <w:rPr>
          <w:rFonts w:hint="eastAsia" w:asciiTheme="minorEastAsia" w:hAnsiTheme="minorEastAsia" w:cstheme="minorEastAsia"/>
          <w:sz w:val="24"/>
          <w:szCs w:val="24"/>
        </w:rPr>
        <w:t>疑难/危重病例讨论记录</w:t>
      </w:r>
    </w:p>
    <w:p w14:paraId="2C67450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33</w:t>
      </w:r>
      <w:r>
        <w:rPr>
          <w:rFonts w:hint="eastAsia" w:asciiTheme="minorEastAsia" w:hAnsiTheme="minorEastAsia" w:cstheme="minorEastAsia"/>
          <w:sz w:val="24"/>
          <w:szCs w:val="24"/>
        </w:rPr>
        <w:tab/>
      </w:r>
      <w:r>
        <w:rPr>
          <w:rFonts w:hint="eastAsia" w:asciiTheme="minorEastAsia" w:hAnsiTheme="minorEastAsia" w:cstheme="minorEastAsia"/>
          <w:sz w:val="24"/>
          <w:szCs w:val="24"/>
        </w:rPr>
        <w:t>产后病人情况以及治疗意见</w:t>
      </w:r>
    </w:p>
    <w:p w14:paraId="1B3ABFF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34</w:t>
      </w:r>
      <w:r>
        <w:rPr>
          <w:rFonts w:hint="eastAsia" w:asciiTheme="minorEastAsia" w:hAnsiTheme="minorEastAsia" w:cstheme="minorEastAsia"/>
          <w:sz w:val="24"/>
          <w:szCs w:val="24"/>
        </w:rPr>
        <w:tab/>
      </w:r>
      <w:r>
        <w:rPr>
          <w:rFonts w:hint="eastAsia" w:asciiTheme="minorEastAsia" w:hAnsiTheme="minorEastAsia" w:cstheme="minorEastAsia"/>
          <w:sz w:val="24"/>
          <w:szCs w:val="24"/>
        </w:rPr>
        <w:t>家属谈话记录（如有）</w:t>
      </w:r>
    </w:p>
    <w:p w14:paraId="2B78508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35</w:t>
      </w:r>
      <w:r>
        <w:rPr>
          <w:rFonts w:hint="eastAsia" w:asciiTheme="minorEastAsia" w:hAnsiTheme="minorEastAsia" w:cstheme="minorEastAsia"/>
          <w:sz w:val="24"/>
          <w:szCs w:val="24"/>
        </w:rPr>
        <w:tab/>
      </w:r>
      <w:r>
        <w:rPr>
          <w:rFonts w:hint="eastAsia" w:asciiTheme="minorEastAsia" w:hAnsiTheme="minorEastAsia" w:cstheme="minorEastAsia"/>
          <w:sz w:val="24"/>
          <w:szCs w:val="24"/>
        </w:rPr>
        <w:t>出院记录与评估</w:t>
      </w:r>
    </w:p>
    <w:p w14:paraId="2EBBD8E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36</w:t>
      </w:r>
      <w:r>
        <w:rPr>
          <w:rFonts w:hint="eastAsia" w:asciiTheme="minorEastAsia" w:hAnsiTheme="minorEastAsia" w:cstheme="minorEastAsia"/>
          <w:sz w:val="24"/>
          <w:szCs w:val="24"/>
        </w:rPr>
        <w:tab/>
      </w:r>
      <w:r>
        <w:rPr>
          <w:rFonts w:hint="eastAsia" w:asciiTheme="minorEastAsia" w:hAnsiTheme="minorEastAsia" w:cstheme="minorEastAsia"/>
          <w:sz w:val="24"/>
          <w:szCs w:val="24"/>
        </w:rPr>
        <w:t>死亡记录</w:t>
      </w:r>
    </w:p>
    <w:p w14:paraId="0553D45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37</w:t>
      </w:r>
      <w:r>
        <w:rPr>
          <w:rFonts w:hint="eastAsia" w:asciiTheme="minorEastAsia" w:hAnsiTheme="minorEastAsia" w:cstheme="minorEastAsia"/>
          <w:sz w:val="24"/>
          <w:szCs w:val="24"/>
        </w:rPr>
        <w:tab/>
      </w:r>
      <w:r>
        <w:rPr>
          <w:rFonts w:hint="eastAsia" w:asciiTheme="minorEastAsia" w:hAnsiTheme="minorEastAsia" w:cstheme="minorEastAsia"/>
          <w:sz w:val="24"/>
          <w:szCs w:val="24"/>
        </w:rPr>
        <w:t>死亡讨论</w:t>
      </w:r>
    </w:p>
    <w:p w14:paraId="314B3B0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38</w:t>
      </w:r>
      <w:r>
        <w:rPr>
          <w:rFonts w:hint="eastAsia" w:asciiTheme="minorEastAsia" w:hAnsiTheme="minorEastAsia" w:cstheme="minorEastAsia"/>
          <w:sz w:val="24"/>
          <w:szCs w:val="24"/>
        </w:rPr>
        <w:tab/>
      </w:r>
      <w:r>
        <w:rPr>
          <w:rFonts w:hint="eastAsia" w:asciiTheme="minorEastAsia" w:hAnsiTheme="minorEastAsia" w:cstheme="minorEastAsia"/>
          <w:sz w:val="24"/>
          <w:szCs w:val="24"/>
        </w:rPr>
        <w:t>尸检报告书</w:t>
      </w:r>
    </w:p>
    <w:p w14:paraId="3F44669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39</w:t>
      </w:r>
      <w:r>
        <w:rPr>
          <w:rFonts w:hint="eastAsia" w:asciiTheme="minorEastAsia" w:hAnsiTheme="minorEastAsia" w:cstheme="minorEastAsia"/>
          <w:sz w:val="24"/>
          <w:szCs w:val="24"/>
        </w:rPr>
        <w:tab/>
      </w:r>
      <w:r>
        <w:rPr>
          <w:rFonts w:hint="eastAsia" w:asciiTheme="minorEastAsia" w:hAnsiTheme="minorEastAsia" w:cstheme="minorEastAsia"/>
          <w:sz w:val="24"/>
          <w:szCs w:val="24"/>
        </w:rPr>
        <w:t>临床路径表单（如有）</w:t>
      </w:r>
    </w:p>
    <w:p w14:paraId="359CE05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40</w:t>
      </w:r>
      <w:r>
        <w:rPr>
          <w:rFonts w:hint="eastAsia" w:asciiTheme="minorEastAsia" w:hAnsiTheme="minorEastAsia" w:cstheme="minorEastAsia"/>
          <w:sz w:val="24"/>
          <w:szCs w:val="24"/>
        </w:rPr>
        <w:tab/>
      </w:r>
      <w:r>
        <w:rPr>
          <w:rFonts w:hint="eastAsia" w:asciiTheme="minorEastAsia" w:hAnsiTheme="minorEastAsia" w:cstheme="minorEastAsia"/>
          <w:sz w:val="24"/>
          <w:szCs w:val="24"/>
        </w:rPr>
        <w:t>转诊相关表（转科记录、转诊记录、新生儿科转运护理评估）</w:t>
      </w:r>
    </w:p>
    <w:p w14:paraId="0A79F53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41</w:t>
      </w:r>
      <w:r>
        <w:rPr>
          <w:rFonts w:hint="eastAsia" w:asciiTheme="minorEastAsia" w:hAnsiTheme="minorEastAsia" w:cstheme="minorEastAsia"/>
          <w:sz w:val="24"/>
          <w:szCs w:val="24"/>
        </w:rPr>
        <w:tab/>
      </w:r>
      <w:r>
        <w:rPr>
          <w:rFonts w:hint="eastAsia" w:asciiTheme="minorEastAsia" w:hAnsiTheme="minorEastAsia" w:cstheme="minorEastAsia"/>
          <w:sz w:val="24"/>
          <w:szCs w:val="24"/>
        </w:rPr>
        <w:t>自动出院告知书、拒绝或放弃治疗告知书</w:t>
      </w:r>
    </w:p>
    <w:p w14:paraId="12A5758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42</w:t>
      </w:r>
      <w:r>
        <w:rPr>
          <w:rFonts w:hint="eastAsia" w:asciiTheme="minorEastAsia" w:hAnsiTheme="minorEastAsia" w:cstheme="minorEastAsia"/>
          <w:sz w:val="24"/>
          <w:szCs w:val="24"/>
        </w:rPr>
        <w:tab/>
      </w:r>
      <w:r>
        <w:rPr>
          <w:rFonts w:hint="eastAsia" w:asciiTheme="minorEastAsia" w:hAnsiTheme="minorEastAsia" w:cstheme="minorEastAsia"/>
          <w:sz w:val="24"/>
          <w:szCs w:val="24"/>
        </w:rPr>
        <w:t>妇产科VTE评分表（如有）</w:t>
      </w:r>
    </w:p>
    <w:p w14:paraId="6790896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43</w:t>
      </w:r>
      <w:r>
        <w:rPr>
          <w:rFonts w:hint="eastAsia" w:asciiTheme="minorEastAsia" w:hAnsiTheme="minorEastAsia" w:cstheme="minorEastAsia"/>
          <w:sz w:val="24"/>
          <w:szCs w:val="24"/>
        </w:rPr>
        <w:tab/>
      </w:r>
      <w:r>
        <w:rPr>
          <w:rFonts w:hint="eastAsia" w:asciiTheme="minorEastAsia" w:hAnsiTheme="minorEastAsia" w:cstheme="minorEastAsia"/>
          <w:sz w:val="24"/>
          <w:szCs w:val="24"/>
        </w:rPr>
        <w:t>产后出血高危评估及管理与预案</w:t>
      </w:r>
    </w:p>
    <w:p w14:paraId="7C19F84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44</w:t>
      </w:r>
      <w:r>
        <w:rPr>
          <w:rFonts w:hint="eastAsia" w:asciiTheme="minorEastAsia" w:hAnsiTheme="minorEastAsia" w:cstheme="minorEastAsia"/>
          <w:sz w:val="24"/>
          <w:szCs w:val="24"/>
        </w:rPr>
        <w:tab/>
      </w:r>
      <w:r>
        <w:rPr>
          <w:rFonts w:hint="eastAsia" w:asciiTheme="minorEastAsia" w:hAnsiTheme="minorEastAsia" w:cstheme="minorEastAsia"/>
          <w:sz w:val="24"/>
          <w:szCs w:val="24"/>
        </w:rPr>
        <w:t>呼吸机治疗记录表</w:t>
      </w:r>
    </w:p>
    <w:p w14:paraId="6FDEE7E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45</w:t>
      </w:r>
      <w:r>
        <w:rPr>
          <w:rFonts w:hint="eastAsia" w:asciiTheme="minorEastAsia" w:hAnsiTheme="minorEastAsia" w:cstheme="minorEastAsia"/>
          <w:sz w:val="24"/>
          <w:szCs w:val="24"/>
        </w:rPr>
        <w:tab/>
      </w:r>
      <w:r>
        <w:rPr>
          <w:rFonts w:hint="eastAsia" w:asciiTheme="minorEastAsia" w:hAnsiTheme="minorEastAsia" w:cstheme="minorEastAsia"/>
          <w:sz w:val="24"/>
          <w:szCs w:val="24"/>
        </w:rPr>
        <w:t>换血记录表</w:t>
      </w:r>
    </w:p>
    <w:p w14:paraId="43EA302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46</w:t>
      </w:r>
      <w:r>
        <w:rPr>
          <w:rFonts w:hint="eastAsia" w:asciiTheme="minorEastAsia" w:hAnsiTheme="minorEastAsia" w:cstheme="minorEastAsia"/>
          <w:sz w:val="24"/>
          <w:szCs w:val="24"/>
        </w:rPr>
        <w:tab/>
      </w:r>
      <w:r>
        <w:rPr>
          <w:rFonts w:hint="eastAsia" w:asciiTheme="minorEastAsia" w:hAnsiTheme="minorEastAsia" w:cstheme="minorEastAsia"/>
          <w:sz w:val="24"/>
          <w:szCs w:val="24"/>
        </w:rPr>
        <w:t>热卡记录表</w:t>
      </w:r>
    </w:p>
    <w:p w14:paraId="0CC7239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47</w:t>
      </w:r>
      <w:r>
        <w:rPr>
          <w:rFonts w:hint="eastAsia" w:asciiTheme="minorEastAsia" w:hAnsiTheme="minorEastAsia" w:cstheme="minorEastAsia"/>
          <w:sz w:val="24"/>
          <w:szCs w:val="24"/>
        </w:rPr>
        <w:tab/>
      </w:r>
      <w:r>
        <w:rPr>
          <w:rFonts w:hint="eastAsia" w:asciiTheme="minorEastAsia" w:hAnsiTheme="minorEastAsia" w:cstheme="minorEastAsia"/>
          <w:sz w:val="24"/>
          <w:szCs w:val="24"/>
        </w:rPr>
        <w:t>生长曲线</w:t>
      </w:r>
    </w:p>
    <w:p w14:paraId="0C20694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48</w:t>
      </w:r>
      <w:r>
        <w:rPr>
          <w:rFonts w:hint="eastAsia" w:asciiTheme="minorEastAsia" w:hAnsiTheme="minorEastAsia" w:cstheme="minorEastAsia"/>
          <w:sz w:val="24"/>
          <w:szCs w:val="24"/>
        </w:rPr>
        <w:tab/>
      </w:r>
      <w:r>
        <w:rPr>
          <w:rFonts w:hint="eastAsia" w:asciiTheme="minorEastAsia" w:hAnsiTheme="minorEastAsia" w:cstheme="minorEastAsia"/>
          <w:sz w:val="24"/>
          <w:szCs w:val="24"/>
        </w:rPr>
        <w:t>知情同意书（病情知情同意书、输血/血液制品治疗知情同意书、气管插管（机械通气）告知同意书、新生儿氧疗同意书、脐静脉插管术知情同意书、腰穿胸穿骨穿同意书、新生儿疾病筛查知情同意书、乙肝疫苗接种知情同意书、分娩镇痛知情同意书、特殊治疗同意书、产科人工破膜知情同意书、产科催产素知情同意书、欣普贝生催产知情同意书、COOK宫颈扩张球囊引产知情同意书、支气管镜检、化疗、无痛苦诊疗知情同意书等）</w:t>
      </w:r>
    </w:p>
    <w:p w14:paraId="2BF3884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49</w:t>
      </w:r>
      <w:r>
        <w:rPr>
          <w:rFonts w:hint="eastAsia" w:asciiTheme="minorEastAsia" w:hAnsiTheme="minorEastAsia" w:cstheme="minorEastAsia"/>
          <w:sz w:val="24"/>
          <w:szCs w:val="24"/>
        </w:rPr>
        <w:tab/>
      </w:r>
      <w:r>
        <w:rPr>
          <w:rFonts w:hint="eastAsia" w:asciiTheme="minorEastAsia" w:hAnsiTheme="minorEastAsia" w:cstheme="minorEastAsia"/>
          <w:sz w:val="24"/>
          <w:szCs w:val="24"/>
        </w:rPr>
        <w:t>特殊级抗菌药物使用申请单</w:t>
      </w:r>
    </w:p>
    <w:p w14:paraId="73EFF1D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50</w:t>
      </w:r>
      <w:r>
        <w:rPr>
          <w:rFonts w:hint="eastAsia" w:asciiTheme="minorEastAsia" w:hAnsiTheme="minorEastAsia" w:cstheme="minorEastAsia"/>
          <w:sz w:val="24"/>
          <w:szCs w:val="24"/>
        </w:rPr>
        <w:tab/>
      </w:r>
      <w:r>
        <w:rPr>
          <w:rFonts w:hint="eastAsia" w:asciiTheme="minorEastAsia" w:hAnsiTheme="minorEastAsia" w:cstheme="minorEastAsia"/>
          <w:sz w:val="24"/>
          <w:szCs w:val="24"/>
        </w:rPr>
        <w:t>会诊记录单</w:t>
      </w:r>
    </w:p>
    <w:p w14:paraId="7B512E7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51</w:t>
      </w:r>
      <w:r>
        <w:rPr>
          <w:rFonts w:hint="eastAsia" w:asciiTheme="minorEastAsia" w:hAnsiTheme="minorEastAsia" w:cstheme="minorEastAsia"/>
          <w:sz w:val="24"/>
          <w:szCs w:val="24"/>
        </w:rPr>
        <w:tab/>
      </w:r>
      <w:r>
        <w:rPr>
          <w:rFonts w:hint="eastAsia" w:asciiTheme="minorEastAsia" w:hAnsiTheme="minorEastAsia" w:cstheme="minorEastAsia"/>
          <w:sz w:val="24"/>
          <w:szCs w:val="24"/>
        </w:rPr>
        <w:t>危重病例评分法</w:t>
      </w:r>
    </w:p>
    <w:p w14:paraId="45C2921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52</w:t>
      </w:r>
      <w:r>
        <w:rPr>
          <w:rFonts w:hint="eastAsia" w:asciiTheme="minorEastAsia" w:hAnsiTheme="minorEastAsia" w:cstheme="minorEastAsia"/>
          <w:sz w:val="24"/>
          <w:szCs w:val="24"/>
        </w:rPr>
        <w:tab/>
      </w:r>
      <w:r>
        <w:rPr>
          <w:rFonts w:hint="eastAsia" w:asciiTheme="minorEastAsia" w:hAnsiTheme="minorEastAsia" w:cstheme="minorEastAsia"/>
          <w:sz w:val="24"/>
          <w:szCs w:val="24"/>
        </w:rPr>
        <w:t>病危（重）通知书</w:t>
      </w:r>
    </w:p>
    <w:p w14:paraId="3726368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53</w:t>
      </w:r>
      <w:r>
        <w:rPr>
          <w:rFonts w:hint="eastAsia" w:asciiTheme="minorEastAsia" w:hAnsiTheme="minorEastAsia" w:cstheme="minorEastAsia"/>
          <w:sz w:val="24"/>
          <w:szCs w:val="24"/>
        </w:rPr>
        <w:tab/>
      </w:r>
      <w:r>
        <w:rPr>
          <w:rFonts w:hint="eastAsia" w:asciiTheme="minorEastAsia" w:hAnsiTheme="minorEastAsia" w:cstheme="minorEastAsia"/>
          <w:sz w:val="24"/>
          <w:szCs w:val="24"/>
        </w:rPr>
        <w:t>病理诊断报告书</w:t>
      </w:r>
    </w:p>
    <w:p w14:paraId="08FF476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54</w:t>
      </w:r>
      <w:r>
        <w:rPr>
          <w:rFonts w:hint="eastAsia" w:asciiTheme="minorEastAsia" w:hAnsiTheme="minorEastAsia" w:cstheme="minorEastAsia"/>
          <w:sz w:val="24"/>
          <w:szCs w:val="24"/>
        </w:rPr>
        <w:tab/>
      </w:r>
      <w:r>
        <w:rPr>
          <w:rFonts w:hint="eastAsia" w:asciiTheme="minorEastAsia" w:hAnsiTheme="minorEastAsia" w:cstheme="minorEastAsia"/>
          <w:sz w:val="24"/>
          <w:szCs w:val="24"/>
        </w:rPr>
        <w:t>交叉配血报告单</w:t>
      </w:r>
    </w:p>
    <w:p w14:paraId="3E991AF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55</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新冠病毒核酸检测报告单（如有）</w:t>
      </w:r>
    </w:p>
    <w:p w14:paraId="3C523A0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56</w:t>
      </w:r>
      <w:r>
        <w:rPr>
          <w:rFonts w:hint="eastAsia" w:asciiTheme="minorEastAsia" w:hAnsiTheme="minorEastAsia" w:cstheme="minorEastAsia"/>
          <w:sz w:val="24"/>
          <w:szCs w:val="24"/>
        </w:rPr>
        <w:tab/>
      </w:r>
      <w:r>
        <w:rPr>
          <w:rFonts w:hint="eastAsia" w:asciiTheme="minorEastAsia" w:hAnsiTheme="minorEastAsia" w:cstheme="minorEastAsia"/>
          <w:sz w:val="24"/>
          <w:szCs w:val="24"/>
        </w:rPr>
        <w:t>特殊化验报告单(生化免疫细菌等)</w:t>
      </w:r>
    </w:p>
    <w:p w14:paraId="4D2B031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57</w:t>
      </w:r>
      <w:r>
        <w:rPr>
          <w:rFonts w:hint="eastAsia" w:asciiTheme="minorEastAsia" w:hAnsiTheme="minorEastAsia" w:cstheme="minorEastAsia"/>
          <w:sz w:val="24"/>
          <w:szCs w:val="24"/>
        </w:rPr>
        <w:tab/>
      </w:r>
      <w:r>
        <w:rPr>
          <w:rFonts w:hint="eastAsia" w:asciiTheme="minorEastAsia" w:hAnsiTheme="minorEastAsia" w:cstheme="minorEastAsia"/>
          <w:sz w:val="24"/>
          <w:szCs w:val="24"/>
        </w:rPr>
        <w:t>常规化验报告单（血常规大小便）</w:t>
      </w:r>
    </w:p>
    <w:p w14:paraId="0C52DB1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58</w:t>
      </w:r>
      <w:r>
        <w:rPr>
          <w:rFonts w:hint="eastAsia" w:asciiTheme="minorEastAsia" w:hAnsiTheme="minorEastAsia" w:cstheme="minorEastAsia"/>
          <w:sz w:val="24"/>
          <w:szCs w:val="24"/>
        </w:rPr>
        <w:tab/>
      </w:r>
      <w:r>
        <w:rPr>
          <w:rFonts w:hint="eastAsia" w:asciiTheme="minorEastAsia" w:hAnsiTheme="minorEastAsia" w:cstheme="minorEastAsia"/>
          <w:sz w:val="24"/>
          <w:szCs w:val="24"/>
        </w:rPr>
        <w:t>血糖监测记录单</w:t>
      </w:r>
    </w:p>
    <w:p w14:paraId="092FB81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59</w:t>
      </w:r>
      <w:r>
        <w:rPr>
          <w:rFonts w:hint="eastAsia" w:asciiTheme="minorEastAsia" w:hAnsiTheme="minorEastAsia" w:cstheme="minorEastAsia"/>
          <w:sz w:val="24"/>
          <w:szCs w:val="24"/>
        </w:rPr>
        <w:tab/>
      </w:r>
      <w:r>
        <w:rPr>
          <w:rFonts w:hint="eastAsia" w:asciiTheme="minorEastAsia" w:hAnsiTheme="minorEastAsia" w:cstheme="minorEastAsia"/>
          <w:sz w:val="24"/>
          <w:szCs w:val="24"/>
        </w:rPr>
        <w:t>经皮测胆红素记录表（如有）</w:t>
      </w:r>
    </w:p>
    <w:p w14:paraId="566BDCA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60</w:t>
      </w:r>
      <w:r>
        <w:rPr>
          <w:rFonts w:hint="eastAsia" w:asciiTheme="minorEastAsia" w:hAnsiTheme="minorEastAsia" w:cstheme="minorEastAsia"/>
          <w:sz w:val="24"/>
          <w:szCs w:val="24"/>
        </w:rPr>
        <w:tab/>
      </w:r>
      <w:r>
        <w:rPr>
          <w:rFonts w:hint="eastAsia" w:asciiTheme="minorEastAsia" w:hAnsiTheme="minorEastAsia" w:cstheme="minorEastAsia"/>
          <w:sz w:val="24"/>
          <w:szCs w:val="24"/>
        </w:rPr>
        <w:t>听力筛查报告单（如有）</w:t>
      </w:r>
    </w:p>
    <w:p w14:paraId="15DD47C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61</w:t>
      </w:r>
      <w:r>
        <w:rPr>
          <w:rFonts w:hint="eastAsia" w:asciiTheme="minorEastAsia" w:hAnsiTheme="minorEastAsia" w:cstheme="minorEastAsia"/>
          <w:sz w:val="24"/>
          <w:szCs w:val="24"/>
        </w:rPr>
        <w:tab/>
      </w:r>
      <w:r>
        <w:rPr>
          <w:rFonts w:hint="eastAsia" w:asciiTheme="minorEastAsia" w:hAnsiTheme="minorEastAsia" w:cstheme="minorEastAsia"/>
          <w:sz w:val="24"/>
          <w:szCs w:val="24"/>
        </w:rPr>
        <w:t>医学影像检查单（如B超、心电图、支气管镜检单、胃镜单、CT、放射、6脑电图、MR等）</w:t>
      </w:r>
    </w:p>
    <w:p w14:paraId="613D7D1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62</w:t>
      </w:r>
      <w:r>
        <w:rPr>
          <w:rFonts w:hint="eastAsia" w:asciiTheme="minorEastAsia" w:hAnsiTheme="minorEastAsia" w:cstheme="minorEastAsia"/>
          <w:sz w:val="24"/>
          <w:szCs w:val="24"/>
        </w:rPr>
        <w:tab/>
      </w:r>
      <w:r>
        <w:rPr>
          <w:rFonts w:hint="eastAsia" w:asciiTheme="minorEastAsia" w:hAnsiTheme="minorEastAsia" w:cstheme="minorEastAsia"/>
          <w:sz w:val="24"/>
          <w:szCs w:val="24"/>
        </w:rPr>
        <w:t>体温单</w:t>
      </w:r>
    </w:p>
    <w:p w14:paraId="6E1DD9B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63</w:t>
      </w:r>
      <w:r>
        <w:rPr>
          <w:rFonts w:hint="eastAsia" w:asciiTheme="minorEastAsia" w:hAnsiTheme="minorEastAsia" w:cstheme="minorEastAsia"/>
          <w:sz w:val="24"/>
          <w:szCs w:val="24"/>
        </w:rPr>
        <w:tab/>
      </w:r>
      <w:r>
        <w:rPr>
          <w:rFonts w:hint="eastAsia" w:asciiTheme="minorEastAsia" w:hAnsiTheme="minorEastAsia" w:cstheme="minorEastAsia"/>
          <w:sz w:val="24"/>
          <w:szCs w:val="24"/>
        </w:rPr>
        <w:t>长期医嘱单</w:t>
      </w:r>
    </w:p>
    <w:p w14:paraId="6725B97A">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64</w:t>
      </w:r>
      <w:r>
        <w:rPr>
          <w:rFonts w:hint="eastAsia" w:asciiTheme="minorEastAsia" w:hAnsiTheme="minorEastAsia" w:cstheme="minorEastAsia"/>
          <w:sz w:val="24"/>
          <w:szCs w:val="24"/>
        </w:rPr>
        <w:tab/>
      </w:r>
      <w:r>
        <w:rPr>
          <w:rFonts w:hint="eastAsia" w:asciiTheme="minorEastAsia" w:hAnsiTheme="minorEastAsia" w:cstheme="minorEastAsia"/>
          <w:sz w:val="24"/>
          <w:szCs w:val="24"/>
        </w:rPr>
        <w:t>临时医嘱单</w:t>
      </w:r>
    </w:p>
    <w:p w14:paraId="5AF89951">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65</w:t>
      </w:r>
      <w:r>
        <w:rPr>
          <w:rFonts w:hint="eastAsia" w:asciiTheme="minorEastAsia" w:hAnsiTheme="minorEastAsia" w:cstheme="minorEastAsia"/>
          <w:sz w:val="24"/>
          <w:szCs w:val="24"/>
        </w:rPr>
        <w:tab/>
      </w:r>
      <w:r>
        <w:rPr>
          <w:rFonts w:hint="eastAsia" w:asciiTheme="minorEastAsia" w:hAnsiTheme="minorEastAsia" w:cstheme="minorEastAsia"/>
          <w:sz w:val="24"/>
          <w:szCs w:val="24"/>
        </w:rPr>
        <w:t>首次护理记录单</w:t>
      </w:r>
    </w:p>
    <w:p w14:paraId="691055E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66</w:t>
      </w:r>
      <w:r>
        <w:rPr>
          <w:rFonts w:hint="eastAsia" w:asciiTheme="minorEastAsia" w:hAnsiTheme="minorEastAsia" w:cstheme="minorEastAsia"/>
          <w:sz w:val="24"/>
          <w:szCs w:val="24"/>
        </w:rPr>
        <w:tab/>
      </w:r>
      <w:r>
        <w:rPr>
          <w:rFonts w:hint="eastAsia" w:asciiTheme="minorEastAsia" w:hAnsiTheme="minorEastAsia" w:cstheme="minorEastAsia"/>
          <w:sz w:val="24"/>
          <w:szCs w:val="24"/>
        </w:rPr>
        <w:t>护理记录单（产后护理记录单、胰岛素注射单、输血安全单、滴注硫酸镁观察单、基本生活活动能力量表、压疮风险护理单、跌倒护理单、PICC穿刺记录及效果评价、中长导管穿刺记录及效果评价、其他护理单）</w:t>
      </w:r>
    </w:p>
    <w:p w14:paraId="5A0B28B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67</w:t>
      </w:r>
      <w:r>
        <w:rPr>
          <w:rFonts w:hint="eastAsia" w:asciiTheme="minorEastAsia" w:hAnsiTheme="minorEastAsia" w:cstheme="minorEastAsia"/>
          <w:sz w:val="24"/>
          <w:szCs w:val="24"/>
        </w:rPr>
        <w:tab/>
      </w:r>
      <w:r>
        <w:rPr>
          <w:rFonts w:hint="eastAsia" w:asciiTheme="minorEastAsia" w:hAnsiTheme="minorEastAsia" w:cstheme="minorEastAsia"/>
          <w:sz w:val="24"/>
          <w:szCs w:val="24"/>
        </w:rPr>
        <w:t>护理出院评估与指导</w:t>
      </w:r>
    </w:p>
    <w:p w14:paraId="3C42B73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68</w:t>
      </w:r>
      <w:r>
        <w:rPr>
          <w:rFonts w:hint="eastAsia" w:asciiTheme="minorEastAsia" w:hAnsiTheme="minorEastAsia" w:cstheme="minorEastAsia"/>
          <w:sz w:val="24"/>
          <w:szCs w:val="24"/>
        </w:rPr>
        <w:tab/>
      </w:r>
      <w:r>
        <w:rPr>
          <w:rFonts w:hint="eastAsia" w:asciiTheme="minorEastAsia" w:hAnsiTheme="minorEastAsia" w:cstheme="minorEastAsia"/>
          <w:sz w:val="24"/>
          <w:szCs w:val="24"/>
        </w:rPr>
        <w:t>护理技术操作知情同意书（外周静脉置管术（PICC）同意书、外周静脉置入中长导管知情同意书、护理侵入性治疗知情同意书）</w:t>
      </w:r>
    </w:p>
    <w:p w14:paraId="41971DA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69</w:t>
      </w:r>
      <w:r>
        <w:rPr>
          <w:rFonts w:hint="eastAsia" w:asciiTheme="minorEastAsia" w:hAnsiTheme="minorEastAsia" w:cstheme="minorEastAsia"/>
          <w:sz w:val="24"/>
          <w:szCs w:val="24"/>
        </w:rPr>
        <w:tab/>
      </w:r>
      <w:r>
        <w:rPr>
          <w:rFonts w:hint="eastAsia" w:asciiTheme="minorEastAsia" w:hAnsiTheme="minorEastAsia" w:cstheme="minorEastAsia"/>
          <w:sz w:val="24"/>
          <w:szCs w:val="24"/>
        </w:rPr>
        <w:t>住院证</w:t>
      </w:r>
    </w:p>
    <w:p w14:paraId="4008F44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70</w:t>
      </w:r>
      <w:r>
        <w:rPr>
          <w:rFonts w:hint="eastAsia" w:asciiTheme="minorEastAsia" w:hAnsiTheme="minorEastAsia" w:cstheme="minorEastAsia"/>
          <w:sz w:val="24"/>
          <w:szCs w:val="24"/>
        </w:rPr>
        <w:tab/>
      </w:r>
      <w:r>
        <w:rPr>
          <w:rFonts w:hint="eastAsia" w:asciiTheme="minorEastAsia" w:hAnsiTheme="minorEastAsia" w:cstheme="minorEastAsia"/>
          <w:sz w:val="24"/>
          <w:szCs w:val="24"/>
        </w:rPr>
        <w:t>入院须知、住院告知协议书、《出生医学证明》签发知情同意书、自费药品知情同意书、自主选择医用耗材知情书、公医医保病人知情同意书、定点医疗机构参保人身份核实工作知情同意书、一次性高值耗材或贵重药品使用知情同意书、NICU患者使用一次性物品知情同意书</w:t>
      </w:r>
    </w:p>
    <w:p w14:paraId="7D023F56">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71</w:t>
      </w:r>
      <w:r>
        <w:rPr>
          <w:rFonts w:hint="eastAsia" w:asciiTheme="minorEastAsia" w:hAnsiTheme="minorEastAsia" w:cstheme="minorEastAsia"/>
          <w:sz w:val="24"/>
          <w:szCs w:val="24"/>
        </w:rPr>
        <w:tab/>
      </w:r>
      <w:r>
        <w:rPr>
          <w:rFonts w:hint="eastAsia" w:asciiTheme="minorEastAsia" w:hAnsiTheme="minorEastAsia" w:cstheme="minorEastAsia"/>
          <w:sz w:val="24"/>
          <w:szCs w:val="24"/>
        </w:rPr>
        <w:t>产房宣教、导乐分娩</w:t>
      </w:r>
    </w:p>
    <w:p w14:paraId="6274E61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72</w:t>
      </w:r>
      <w:r>
        <w:rPr>
          <w:rFonts w:hint="eastAsia" w:asciiTheme="minorEastAsia" w:hAnsiTheme="minorEastAsia" w:cstheme="minorEastAsia"/>
          <w:sz w:val="24"/>
          <w:szCs w:val="24"/>
        </w:rPr>
        <w:tab/>
      </w:r>
      <w:r>
        <w:rPr>
          <w:rFonts w:hint="eastAsia" w:asciiTheme="minorEastAsia" w:hAnsiTheme="minorEastAsia" w:cstheme="minorEastAsia"/>
          <w:sz w:val="24"/>
          <w:szCs w:val="24"/>
        </w:rPr>
        <w:t>三个目录外自费同意书同意书</w:t>
      </w:r>
    </w:p>
    <w:p w14:paraId="3C2E361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73</w:t>
      </w:r>
      <w:r>
        <w:rPr>
          <w:rFonts w:hint="eastAsia" w:asciiTheme="minorEastAsia" w:hAnsiTheme="minorEastAsia" w:cstheme="minorEastAsia"/>
          <w:sz w:val="24"/>
          <w:szCs w:val="24"/>
        </w:rPr>
        <w:tab/>
      </w:r>
      <w:r>
        <w:rPr>
          <w:rFonts w:hint="eastAsia" w:asciiTheme="minorEastAsia" w:hAnsiTheme="minorEastAsia" w:cstheme="minorEastAsia"/>
          <w:sz w:val="24"/>
          <w:szCs w:val="24"/>
        </w:rPr>
        <w:t>授权委托书</w:t>
      </w:r>
    </w:p>
    <w:p w14:paraId="3B5A033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74</w:t>
      </w:r>
      <w:r>
        <w:rPr>
          <w:rFonts w:hint="eastAsia" w:asciiTheme="minorEastAsia" w:hAnsiTheme="minorEastAsia" w:cstheme="minorEastAsia"/>
          <w:sz w:val="24"/>
          <w:szCs w:val="24"/>
        </w:rPr>
        <w:tab/>
      </w:r>
      <w:r>
        <w:rPr>
          <w:rFonts w:hint="eastAsia" w:asciiTheme="minorEastAsia" w:hAnsiTheme="minorEastAsia" w:cstheme="minorEastAsia"/>
          <w:sz w:val="24"/>
          <w:szCs w:val="24"/>
        </w:rPr>
        <w:t>身份证复印件及其他证明复印件</w:t>
      </w:r>
    </w:p>
    <w:p w14:paraId="2D7CC7B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75</w:t>
      </w:r>
      <w:r>
        <w:rPr>
          <w:rFonts w:hint="eastAsia" w:asciiTheme="minorEastAsia" w:hAnsiTheme="minorEastAsia" w:cstheme="minorEastAsia"/>
          <w:sz w:val="24"/>
          <w:szCs w:val="24"/>
        </w:rPr>
        <w:tab/>
      </w:r>
      <w:r>
        <w:rPr>
          <w:rFonts w:hint="eastAsia" w:asciiTheme="minorEastAsia" w:hAnsiTheme="minorEastAsia" w:cstheme="minorEastAsia"/>
          <w:sz w:val="24"/>
          <w:szCs w:val="24"/>
        </w:rPr>
        <w:t>院外资料（门诊病历、围产保健病历、院外检查结果）</w:t>
      </w:r>
    </w:p>
    <w:p w14:paraId="482E102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76</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新生儿出生记录单</w:t>
      </w:r>
    </w:p>
    <w:p w14:paraId="646CBC4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77</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新生儿出生确认交接记录单</w:t>
      </w:r>
    </w:p>
    <w:p w14:paraId="0370CF7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78</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新生儿转科记录（如有）</w:t>
      </w:r>
    </w:p>
    <w:p w14:paraId="760F32A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79</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新生儿入室记录</w:t>
      </w:r>
    </w:p>
    <w:p w14:paraId="3394B99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80</w:t>
      </w:r>
      <w:r>
        <w:rPr>
          <w:rFonts w:hint="eastAsia" w:asciiTheme="minorEastAsia" w:hAnsiTheme="minorEastAsia" w:cstheme="minorEastAsia"/>
          <w:sz w:val="24"/>
          <w:szCs w:val="24"/>
        </w:rPr>
        <w:tab/>
      </w:r>
      <w:r>
        <w:rPr>
          <w:rFonts w:hint="eastAsia" w:asciiTheme="minorEastAsia" w:hAnsiTheme="minorEastAsia" w:cstheme="minorEastAsia"/>
          <w:sz w:val="24"/>
          <w:szCs w:val="24"/>
        </w:rPr>
        <w:t>病程记录（如有）</w:t>
      </w:r>
    </w:p>
    <w:p w14:paraId="4757788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81</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新生儿抢救记录（如有）</w:t>
      </w:r>
    </w:p>
    <w:p w14:paraId="195C72D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82</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新生儿出院记录</w:t>
      </w:r>
    </w:p>
    <w:p w14:paraId="0F27CB7B">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83</w:t>
      </w:r>
      <w:r>
        <w:rPr>
          <w:rFonts w:hint="eastAsia" w:asciiTheme="minorEastAsia" w:hAnsiTheme="minorEastAsia" w:cstheme="minorEastAsia"/>
          <w:sz w:val="24"/>
          <w:szCs w:val="24"/>
        </w:rPr>
        <w:tab/>
      </w:r>
      <w:r>
        <w:rPr>
          <w:rFonts w:hint="eastAsia" w:asciiTheme="minorEastAsia" w:hAnsiTheme="minorEastAsia" w:cstheme="minorEastAsia"/>
          <w:sz w:val="24"/>
          <w:szCs w:val="24"/>
        </w:rPr>
        <w:t>免费新生儿疾病筛查、乙型肝炎疫苗、卡介苗接种等知情同意书</w:t>
      </w:r>
    </w:p>
    <w:p w14:paraId="34C005B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80</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新生儿化验单</w:t>
      </w:r>
    </w:p>
    <w:p w14:paraId="35A5989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81</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新生儿听力筛查报告单</w:t>
      </w:r>
    </w:p>
    <w:p w14:paraId="305A2D3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82</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新生儿检查单</w:t>
      </w:r>
    </w:p>
    <w:p w14:paraId="1041DB8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83</w:t>
      </w:r>
      <w:r>
        <w:rPr>
          <w:rFonts w:hint="eastAsia" w:asciiTheme="minorEastAsia" w:hAnsiTheme="minorEastAsia" w:cstheme="minorEastAsia"/>
          <w:sz w:val="24"/>
          <w:szCs w:val="24"/>
        </w:rPr>
        <w:tab/>
      </w:r>
      <w:r>
        <w:rPr>
          <w:rFonts w:hint="eastAsia" w:asciiTheme="minorEastAsia" w:hAnsiTheme="minorEastAsia" w:cstheme="minorEastAsia"/>
          <w:sz w:val="24"/>
          <w:szCs w:val="24"/>
        </w:rPr>
        <w:t>体温单</w:t>
      </w:r>
    </w:p>
    <w:p w14:paraId="4BB3C8C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84</w:t>
      </w:r>
      <w:r>
        <w:rPr>
          <w:rFonts w:hint="eastAsia" w:asciiTheme="minorEastAsia" w:hAnsiTheme="minorEastAsia" w:cstheme="minorEastAsia"/>
          <w:sz w:val="24"/>
          <w:szCs w:val="24"/>
        </w:rPr>
        <w:tab/>
      </w:r>
      <w:r>
        <w:rPr>
          <w:rFonts w:hint="eastAsia" w:asciiTheme="minorEastAsia" w:hAnsiTheme="minorEastAsia" w:cstheme="minorEastAsia"/>
          <w:sz w:val="24"/>
          <w:szCs w:val="24"/>
        </w:rPr>
        <w:t>长期医嘱单</w:t>
      </w:r>
    </w:p>
    <w:p w14:paraId="3045823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85</w:t>
      </w:r>
      <w:r>
        <w:rPr>
          <w:rFonts w:hint="eastAsia" w:asciiTheme="minorEastAsia" w:hAnsiTheme="minorEastAsia" w:cstheme="minorEastAsia"/>
          <w:sz w:val="24"/>
          <w:szCs w:val="24"/>
        </w:rPr>
        <w:tab/>
      </w:r>
      <w:r>
        <w:rPr>
          <w:rFonts w:hint="eastAsia" w:asciiTheme="minorEastAsia" w:hAnsiTheme="minorEastAsia" w:cstheme="minorEastAsia"/>
          <w:sz w:val="24"/>
          <w:szCs w:val="24"/>
        </w:rPr>
        <w:t>临时医嘱单</w:t>
      </w:r>
    </w:p>
    <w:p w14:paraId="66875572">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86</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新生儿护理记录（如有）</w:t>
      </w:r>
    </w:p>
    <w:p w14:paraId="40EB9EA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87</w:t>
      </w:r>
      <w:r>
        <w:rPr>
          <w:rFonts w:hint="eastAsia" w:asciiTheme="minorEastAsia" w:hAnsiTheme="minorEastAsia" w:cstheme="minorEastAsia"/>
          <w:sz w:val="24"/>
          <w:szCs w:val="24"/>
        </w:rPr>
        <w:tab/>
      </w:r>
      <w:r>
        <w:rPr>
          <w:rFonts w:hint="eastAsia" w:asciiTheme="minorEastAsia" w:hAnsiTheme="minorEastAsia" w:cstheme="minorEastAsia"/>
          <w:sz w:val="24"/>
          <w:szCs w:val="24"/>
        </w:rPr>
        <w:t>新生儿早期基本保健产房观察记录表</w:t>
      </w:r>
    </w:p>
    <w:p w14:paraId="11C3D40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88</w:t>
      </w:r>
      <w:r>
        <w:rPr>
          <w:rFonts w:hint="eastAsia" w:asciiTheme="minorEastAsia" w:hAnsiTheme="minorEastAsia" w:cstheme="minorEastAsia"/>
          <w:sz w:val="24"/>
          <w:szCs w:val="24"/>
        </w:rPr>
        <w:tab/>
      </w:r>
      <w:r>
        <w:rPr>
          <w:rFonts w:hint="eastAsia" w:asciiTheme="minorEastAsia" w:hAnsiTheme="minorEastAsia" w:cstheme="minorEastAsia"/>
          <w:sz w:val="24"/>
          <w:szCs w:val="24"/>
        </w:rPr>
        <w:t>质控评分表</w:t>
      </w:r>
    </w:p>
    <w:p w14:paraId="6821EBC4">
      <w:pPr>
        <w:rPr>
          <w:rFonts w:ascii="宋体" w:hAnsi="宋体" w:eastAsia="宋体" w:cs="宋体"/>
          <w:bCs/>
          <w:sz w:val="28"/>
          <w:szCs w:val="32"/>
        </w:rPr>
      </w:pPr>
      <w:r>
        <w:rPr>
          <w:rFonts w:hint="eastAsia" w:ascii="宋体" w:hAnsi="宋体" w:eastAsia="宋体" w:cs="宋体"/>
          <w:bCs/>
          <w:sz w:val="28"/>
          <w:szCs w:val="32"/>
        </w:rPr>
        <w:br w:type="page"/>
      </w:r>
    </w:p>
    <w:p w14:paraId="0C4FD277">
      <w:pPr>
        <w:tabs>
          <w:tab w:val="left" w:pos="210"/>
        </w:tabs>
        <w:outlineLvl w:val="2"/>
        <w:rPr>
          <w:rFonts w:ascii="宋体" w:hAnsi="宋体" w:eastAsia="宋体" w:cs="宋体"/>
          <w:bCs/>
          <w:sz w:val="28"/>
          <w:szCs w:val="32"/>
        </w:rPr>
      </w:pPr>
      <w:r>
        <w:rPr>
          <w:rFonts w:hint="eastAsia" w:ascii="宋体" w:hAnsi="宋体" w:eastAsia="宋体" w:cs="宋体"/>
          <w:bCs/>
          <w:sz w:val="28"/>
          <w:szCs w:val="32"/>
        </w:rPr>
        <w:t>附件三</w:t>
      </w:r>
    </w:p>
    <w:p w14:paraId="657C5315">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广州医科大学附属第三医院白云分院（广州市白云区妇幼保健院）《扫描数码影像与信息管理系统》验收方法及标准</w:t>
      </w:r>
    </w:p>
    <w:p w14:paraId="75D0570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采购人收到服务商验收通知后，进行验收。</w:t>
      </w:r>
    </w:p>
    <w:p w14:paraId="0DE0C239">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1.服务商提交的文件：</w:t>
      </w:r>
    </w:p>
    <w:p w14:paraId="4867FCE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1.1提供本期工程病案的空号、重号详单；</w:t>
      </w:r>
    </w:p>
    <w:p w14:paraId="13A94D1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1.2提供本期工程完整电子影像和数据数量，以及相应数据备份；</w:t>
      </w:r>
    </w:p>
    <w:p w14:paraId="0B393B3D">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1.3广州医科大学附属第三医院白云分院（广州市白云区妇幼保健院）数字病案库管理软件操作手册和维护手册。</w:t>
      </w:r>
    </w:p>
    <w:p w14:paraId="5221E29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2.验收方法：</w:t>
      </w:r>
    </w:p>
    <w:p w14:paraId="24A09F90">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2.1核对数量：</w:t>
      </w:r>
    </w:p>
    <w:p w14:paraId="43A0823E">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采购人接收到服务商电子影像后先核对数量（即电子影像总数）。</w:t>
      </w:r>
    </w:p>
    <w:p w14:paraId="50F46A7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2.2抽查数量：随机抽查，抽查数量由采购人决定，至少应为总数的1%。</w:t>
      </w:r>
    </w:p>
    <w:p w14:paraId="03315B3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3.验收标准：</w:t>
      </w:r>
    </w:p>
    <w:p w14:paraId="32A7BBF4">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3.1电子影像：</w:t>
      </w:r>
    </w:p>
    <w:p w14:paraId="7C4881EC">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3.1.1数字病案的扫描影像是否完整；</w:t>
      </w:r>
    </w:p>
    <w:p w14:paraId="3A333B27">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3.1.2数字病案图像格式和清晰度；</w:t>
      </w:r>
    </w:p>
    <w:p w14:paraId="6F74B8A8">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3.1.3差错率：依据“纸质档案数字化技术标准（中华人民共和国档案行业标准DA/T31-2017《纸质档案数字化规范》）”11.2.2之规定，数字化转换质量抽检的合格率应≥95%。</w:t>
      </w:r>
    </w:p>
    <w:p w14:paraId="29BB41E3">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3.2软件：</w:t>
      </w:r>
    </w:p>
    <w:p w14:paraId="7655B8AF">
      <w:pPr>
        <w:spacing w:line="360" w:lineRule="auto"/>
        <w:ind w:firstLine="480" w:firstLineChars="200"/>
        <w:rPr>
          <w:rFonts w:asciiTheme="minorEastAsia" w:hAnsiTheme="minorEastAsia" w:cstheme="minorEastAsia"/>
          <w:sz w:val="24"/>
          <w:szCs w:val="24"/>
        </w:rPr>
      </w:pPr>
      <w:r>
        <w:rPr>
          <w:rFonts w:hint="eastAsia" w:asciiTheme="minorEastAsia" w:hAnsiTheme="minorEastAsia" w:cstheme="minorEastAsia"/>
          <w:sz w:val="24"/>
          <w:szCs w:val="24"/>
        </w:rPr>
        <w:t>3.2.1“病案数码影像与信息管理系统”正常运行，各项功能正常使用。</w:t>
      </w:r>
    </w:p>
    <w:p w14:paraId="7AC1A709">
      <w:pPr>
        <w:spacing w:line="360" w:lineRule="auto"/>
        <w:ind w:firstLine="480" w:firstLineChars="200"/>
        <w:rPr>
          <w:rFonts w:asciiTheme="minorEastAsia" w:hAnsiTheme="minorEastAsia" w:cstheme="minorEastAsia"/>
          <w:sz w:val="24"/>
          <w:szCs w:val="24"/>
        </w:rPr>
      </w:pPr>
    </w:p>
    <w:p w14:paraId="5E33BFE7">
      <w:pPr>
        <w:rPr>
          <w:rFonts w:asciiTheme="minorEastAsia" w:hAnsiTheme="minorEastAsia" w:cstheme="minorEastAsia"/>
          <w:b/>
          <w:bCs/>
          <w:kern w:val="0"/>
          <w:sz w:val="24"/>
          <w:szCs w:val="24"/>
        </w:rPr>
      </w:pPr>
      <w:r>
        <w:rPr>
          <w:rFonts w:hint="eastAsia" w:asciiTheme="minorEastAsia" w:hAnsiTheme="minorEastAsia" w:cstheme="minorEastAsia"/>
          <w:b/>
          <w:bCs/>
          <w:kern w:val="0"/>
          <w:sz w:val="24"/>
          <w:szCs w:val="24"/>
        </w:rPr>
        <w:br w:type="page"/>
      </w:r>
    </w:p>
    <w:p w14:paraId="05967DCA">
      <w:pPr>
        <w:jc w:val="center"/>
        <w:outlineLvl w:val="0"/>
        <w:rPr>
          <w:rFonts w:asciiTheme="majorEastAsia" w:hAnsiTheme="majorEastAsia" w:eastAsiaTheme="majorEastAsia" w:cstheme="majorEastAsia"/>
          <w:b/>
          <w:bCs/>
          <w:sz w:val="44"/>
          <w:szCs w:val="44"/>
        </w:rPr>
      </w:pPr>
      <w:r>
        <w:rPr>
          <w:rFonts w:hint="eastAsia" w:asciiTheme="majorEastAsia" w:hAnsiTheme="majorEastAsia" w:eastAsiaTheme="majorEastAsia" w:cstheme="majorEastAsia"/>
          <w:b/>
          <w:bCs/>
          <w:sz w:val="44"/>
          <w:szCs w:val="44"/>
        </w:rPr>
        <w:t>调研诚信保证函</w:t>
      </w:r>
    </w:p>
    <w:p w14:paraId="4A83C6D8">
      <w:pPr>
        <w:jc w:val="left"/>
        <w:rPr>
          <w:rFonts w:ascii="宋体" w:hAnsi="宋体" w:eastAsia="宋体" w:cs="宋体"/>
          <w:sz w:val="28"/>
          <w:szCs w:val="28"/>
        </w:rPr>
      </w:pPr>
    </w:p>
    <w:p w14:paraId="71050D87">
      <w:pPr>
        <w:jc w:val="left"/>
        <w:rPr>
          <w:rFonts w:ascii="宋体" w:hAnsi="宋体" w:eastAsia="宋体" w:cs="宋体"/>
          <w:sz w:val="28"/>
          <w:szCs w:val="28"/>
        </w:rPr>
      </w:pPr>
      <w:r>
        <w:rPr>
          <w:rFonts w:hint="eastAsia" w:ascii="宋体" w:hAnsi="宋体" w:eastAsia="宋体" w:cs="宋体"/>
          <w:sz w:val="28"/>
          <w:szCs w:val="28"/>
        </w:rPr>
        <w:t>广州医科大学附属第三医院白云分院：</w:t>
      </w:r>
    </w:p>
    <w:p w14:paraId="71127178">
      <w:pPr>
        <w:ind w:firstLine="560" w:firstLineChars="200"/>
        <w:jc w:val="left"/>
        <w:rPr>
          <w:rFonts w:ascii="宋体" w:hAnsi="宋体" w:eastAsia="宋体" w:cs="宋体"/>
          <w:sz w:val="28"/>
          <w:szCs w:val="28"/>
        </w:rPr>
      </w:pPr>
      <w:r>
        <w:rPr>
          <w:rFonts w:hint="eastAsia" w:ascii="宋体" w:hAnsi="宋体" w:eastAsia="宋体" w:cs="宋体"/>
          <w:sz w:val="28"/>
          <w:szCs w:val="28"/>
        </w:rPr>
        <w:t>我公司自愿参与贵单位的调研活动，并向贵单位保证如下：</w:t>
      </w:r>
    </w:p>
    <w:p w14:paraId="5B05DD77">
      <w:pPr>
        <w:ind w:firstLine="560" w:firstLineChars="200"/>
        <w:jc w:val="left"/>
        <w:rPr>
          <w:rFonts w:ascii="宋体" w:hAnsi="宋体" w:eastAsia="宋体" w:cs="宋体"/>
          <w:sz w:val="28"/>
          <w:szCs w:val="28"/>
        </w:rPr>
      </w:pPr>
      <w:r>
        <w:rPr>
          <w:rFonts w:hint="eastAsia" w:ascii="宋体" w:hAnsi="宋体" w:eastAsia="宋体" w:cs="宋体"/>
          <w:sz w:val="28"/>
          <w:szCs w:val="28"/>
        </w:rPr>
        <w:t>1.我公司保证完全服从贵单位的调研流程与规定，我公司将积极配合贵单位的资质审查工作，且承诺毫无保留地向贵方提供资质审查一切所需的证明材料。</w:t>
      </w:r>
    </w:p>
    <w:p w14:paraId="3DC960BA">
      <w:pPr>
        <w:jc w:val="left"/>
        <w:rPr>
          <w:rFonts w:ascii="宋体" w:hAnsi="宋体" w:eastAsia="宋体" w:cs="宋体"/>
          <w:sz w:val="28"/>
          <w:szCs w:val="28"/>
        </w:rPr>
      </w:pPr>
      <w:r>
        <w:rPr>
          <w:rFonts w:hint="eastAsia" w:ascii="宋体" w:hAnsi="宋体" w:eastAsia="宋体" w:cs="宋体"/>
          <w:sz w:val="28"/>
          <w:szCs w:val="28"/>
        </w:rPr>
        <w:t xml:space="preserve">    2.我公司承诺在本次调研活动中提供的一切文件，无论是原件还是复印件均为真实、合法、有效，绝无任何虚假、伪造和夸大的成份。如上述承诺与事实不符，我公司愿承担由此而产生的一切责任，并同意贵单位有权将我公司列入“供应商黑名单”及一年内禁止参加贵单位调研、遴选和相关采购项目，如造成贵单位损失的或涉及相关法律后果和法律责任的，我公司自愿承担相应的法律后果和法律责任，并赔偿贵单位的全部损失。</w:t>
      </w:r>
    </w:p>
    <w:p w14:paraId="7140D15F">
      <w:pPr>
        <w:ind w:firstLine="560" w:firstLineChars="200"/>
        <w:jc w:val="left"/>
        <w:rPr>
          <w:rFonts w:ascii="宋体" w:hAnsi="宋体" w:eastAsia="宋体" w:cs="宋体"/>
          <w:sz w:val="28"/>
          <w:szCs w:val="28"/>
        </w:rPr>
      </w:pPr>
      <w:r>
        <w:rPr>
          <w:rFonts w:hint="eastAsia" w:ascii="宋体" w:hAnsi="宋体" w:eastAsia="宋体" w:cs="宋体"/>
          <w:sz w:val="28"/>
          <w:szCs w:val="28"/>
        </w:rPr>
        <w:t>3.我公司保证所报名产品质量符合国家的相关规定要求，来源合法合规。</w:t>
      </w:r>
    </w:p>
    <w:p w14:paraId="1C660285">
      <w:pPr>
        <w:autoSpaceDE w:val="0"/>
        <w:autoSpaceDN w:val="0"/>
        <w:adjustRightInd w:val="0"/>
        <w:spacing w:line="380" w:lineRule="exact"/>
        <w:ind w:right="246"/>
        <w:rPr>
          <w:rFonts w:ascii="宋体" w:hAnsi="宋体" w:eastAsia="宋体" w:cs="宋体"/>
          <w:color w:val="000000"/>
          <w:kern w:val="0"/>
          <w:sz w:val="28"/>
          <w:szCs w:val="28"/>
        </w:rPr>
      </w:pPr>
    </w:p>
    <w:p w14:paraId="43067EF8">
      <w:pPr>
        <w:autoSpaceDE w:val="0"/>
        <w:autoSpaceDN w:val="0"/>
        <w:adjustRightInd w:val="0"/>
        <w:ind w:right="246" w:firstLine="638" w:firstLineChars="228"/>
        <w:rPr>
          <w:rFonts w:ascii="宋体" w:hAnsi="宋体" w:eastAsia="宋体" w:cs="宋体"/>
          <w:color w:val="000000"/>
          <w:kern w:val="0"/>
          <w:sz w:val="28"/>
          <w:szCs w:val="28"/>
        </w:rPr>
      </w:pPr>
      <w:r>
        <w:rPr>
          <w:rFonts w:hint="eastAsia" w:ascii="宋体" w:hAnsi="宋体" w:eastAsia="宋体" w:cs="宋体"/>
          <w:color w:val="000000"/>
          <w:kern w:val="0"/>
          <w:sz w:val="28"/>
          <w:szCs w:val="28"/>
        </w:rPr>
        <w:t xml:space="preserve">报名单位名称（公章）：                             </w:t>
      </w:r>
    </w:p>
    <w:p w14:paraId="0133017F">
      <w:pPr>
        <w:autoSpaceDE w:val="0"/>
        <w:autoSpaceDN w:val="0"/>
        <w:adjustRightInd w:val="0"/>
        <w:ind w:right="246" w:firstLine="638" w:firstLineChars="228"/>
        <w:rPr>
          <w:rFonts w:ascii="宋体" w:hAnsi="宋体" w:eastAsia="宋体" w:cs="宋体"/>
        </w:rPr>
      </w:pPr>
      <w:r>
        <w:rPr>
          <w:rFonts w:hint="eastAsia" w:ascii="宋体" w:hAnsi="宋体" w:eastAsia="宋体" w:cs="宋体"/>
          <w:color w:val="000000"/>
          <w:kern w:val="0"/>
          <w:sz w:val="28"/>
          <w:szCs w:val="28"/>
        </w:rPr>
        <w:t>日期：       年     月    日</w:t>
      </w:r>
    </w:p>
    <w:p w14:paraId="79FA2CBF"/>
    <w:p w14:paraId="201C4AE6">
      <w:pPr>
        <w:pStyle w:val="7"/>
      </w:pPr>
    </w:p>
    <w:p w14:paraId="1436F1A3">
      <w:pPr>
        <w:widowControl/>
        <w:spacing w:before="100" w:beforeAutospacing="1" w:after="100" w:afterAutospacing="1"/>
        <w:jc w:val="center"/>
        <w:rPr>
          <w:rFonts w:ascii="仿宋" w:hAnsi="仿宋" w:eastAsia="仿宋" w:cs="宋体"/>
          <w:b/>
          <w:bCs/>
          <w:kern w:val="0"/>
          <w:sz w:val="36"/>
          <w:szCs w:val="36"/>
        </w:rPr>
      </w:pPr>
    </w:p>
    <w:p w14:paraId="2F2F8D1D">
      <w:pPr>
        <w:widowControl/>
        <w:spacing w:before="100" w:beforeAutospacing="1" w:after="100" w:afterAutospacing="1"/>
        <w:jc w:val="center"/>
        <w:rPr>
          <w:rFonts w:ascii="仿宋" w:hAnsi="仿宋" w:eastAsia="仿宋" w:cs="宋体"/>
          <w:b/>
          <w:bCs/>
          <w:kern w:val="0"/>
          <w:sz w:val="36"/>
          <w:szCs w:val="36"/>
        </w:rPr>
      </w:pPr>
    </w:p>
    <w:p w14:paraId="10E80257">
      <w:pPr>
        <w:widowControl/>
        <w:spacing w:before="100" w:beforeAutospacing="1" w:after="100" w:afterAutospacing="1"/>
        <w:jc w:val="center"/>
        <w:outlineLvl w:val="0"/>
        <w:rPr>
          <w:rFonts w:ascii="仿宋" w:hAnsi="仿宋" w:eastAsia="仿宋" w:cs="宋体"/>
          <w:b/>
          <w:bCs/>
          <w:kern w:val="0"/>
          <w:sz w:val="52"/>
          <w:szCs w:val="52"/>
        </w:rPr>
      </w:pPr>
      <w:r>
        <w:rPr>
          <w:rFonts w:hint="eastAsia" w:ascii="仿宋" w:hAnsi="仿宋" w:eastAsia="仿宋" w:cs="宋体"/>
          <w:b/>
          <w:bCs/>
          <w:kern w:val="0"/>
          <w:sz w:val="52"/>
          <w:szCs w:val="52"/>
        </w:rPr>
        <w:t>采购需求调查反馈意见报告</w:t>
      </w:r>
    </w:p>
    <w:p w14:paraId="5AF019B4">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383C5641">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17224887">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04EA2B92">
      <w:pPr>
        <w:pStyle w:val="4"/>
        <w:ind w:firstLine="0" w:firstLineChars="0"/>
        <w:rPr>
          <w:rFonts w:ascii="仿宋" w:hAnsi="仿宋" w:eastAsia="仿宋" w:cs="宋体"/>
          <w:kern w:val="0"/>
          <w:sz w:val="28"/>
          <w:szCs w:val="28"/>
        </w:rPr>
      </w:pPr>
    </w:p>
    <w:p w14:paraId="46A1F347">
      <w:pPr>
        <w:pStyle w:val="4"/>
        <w:ind w:firstLine="0" w:firstLineChars="0"/>
        <w:rPr>
          <w:rFonts w:ascii="仿宋" w:hAnsi="仿宋" w:eastAsia="仿宋" w:cs="宋体"/>
          <w:kern w:val="0"/>
          <w:sz w:val="28"/>
          <w:szCs w:val="28"/>
        </w:rPr>
      </w:pPr>
    </w:p>
    <w:p w14:paraId="58F62521">
      <w:pPr>
        <w:pStyle w:val="4"/>
        <w:ind w:firstLine="0" w:firstLineChars="0"/>
        <w:rPr>
          <w:rFonts w:ascii="仿宋" w:hAnsi="仿宋" w:eastAsia="仿宋" w:cs="宋体"/>
          <w:kern w:val="0"/>
          <w:sz w:val="28"/>
          <w:szCs w:val="28"/>
        </w:rPr>
      </w:pPr>
    </w:p>
    <w:p w14:paraId="1AE07E9D">
      <w:pPr>
        <w:pStyle w:val="4"/>
        <w:ind w:firstLine="0" w:firstLineChars="0"/>
        <w:rPr>
          <w:rFonts w:ascii="仿宋" w:hAnsi="仿宋" w:eastAsia="仿宋" w:cs="宋体"/>
          <w:kern w:val="0"/>
          <w:sz w:val="28"/>
          <w:szCs w:val="28"/>
        </w:rPr>
      </w:pPr>
    </w:p>
    <w:p w14:paraId="09422F22">
      <w:pPr>
        <w:pStyle w:val="4"/>
        <w:ind w:left="1800" w:hanging="1800" w:hangingChars="500"/>
        <w:rPr>
          <w:rFonts w:ascii="仿宋" w:hAnsi="仿宋" w:eastAsia="仿宋" w:cs="宋体"/>
          <w:kern w:val="0"/>
          <w:sz w:val="36"/>
          <w:szCs w:val="36"/>
        </w:rPr>
      </w:pPr>
      <w:r>
        <w:rPr>
          <w:rFonts w:hint="eastAsia" w:ascii="仿宋" w:hAnsi="仿宋" w:eastAsia="仿宋" w:cs="宋体"/>
          <w:kern w:val="0"/>
          <w:sz w:val="36"/>
          <w:szCs w:val="36"/>
        </w:rPr>
        <w:t xml:space="preserve"> 项目名称：</w:t>
      </w:r>
      <w:r>
        <w:rPr>
          <w:rFonts w:hint="eastAsia" w:ascii="仿宋" w:hAnsi="仿宋" w:eastAsia="仿宋" w:cs="宋体"/>
          <w:kern w:val="0"/>
          <w:sz w:val="36"/>
          <w:szCs w:val="36"/>
          <w:u w:val="single"/>
        </w:rPr>
        <w:t>广州医科大学附属第三医院白云分院（广州市白云区妇幼保健院）病案数字化扫描及托管采购需求</w:t>
      </w:r>
    </w:p>
    <w:p w14:paraId="0EF1B8C9">
      <w:pPr>
        <w:pStyle w:val="4"/>
        <w:ind w:firstLine="0" w:firstLineChars="0"/>
        <w:rPr>
          <w:rFonts w:ascii="仿宋" w:hAnsi="仿宋" w:eastAsia="仿宋" w:cs="宋体"/>
          <w:kern w:val="0"/>
          <w:sz w:val="36"/>
          <w:szCs w:val="36"/>
          <w:u w:val="single"/>
        </w:rPr>
      </w:pPr>
      <w:r>
        <w:rPr>
          <w:rFonts w:hint="eastAsia" w:ascii="仿宋" w:hAnsi="仿宋" w:eastAsia="仿宋" w:cs="宋体"/>
          <w:kern w:val="0"/>
          <w:sz w:val="36"/>
          <w:szCs w:val="36"/>
        </w:rPr>
        <w:t>公司名称（盖章）：</w:t>
      </w:r>
      <w:r>
        <w:rPr>
          <w:rFonts w:hint="eastAsia" w:ascii="仿宋" w:hAnsi="仿宋" w:eastAsia="仿宋" w:cs="宋体"/>
          <w:kern w:val="0"/>
          <w:sz w:val="36"/>
          <w:szCs w:val="36"/>
          <w:u w:val="single"/>
        </w:rPr>
        <w:t xml:space="preserve"> </w:t>
      </w:r>
      <w:r>
        <w:rPr>
          <w:rFonts w:ascii="仿宋" w:hAnsi="仿宋" w:eastAsia="仿宋" w:cs="宋体"/>
          <w:kern w:val="0"/>
          <w:sz w:val="36"/>
          <w:szCs w:val="36"/>
          <w:u w:val="single"/>
        </w:rPr>
        <w:t xml:space="preserve">                    </w:t>
      </w:r>
    </w:p>
    <w:p w14:paraId="2C4D5E80">
      <w:pPr>
        <w:pStyle w:val="4"/>
        <w:ind w:firstLine="0" w:firstLineChars="0"/>
        <w:rPr>
          <w:rFonts w:ascii="仿宋" w:hAnsi="仿宋" w:eastAsia="仿宋" w:cs="宋体"/>
          <w:kern w:val="0"/>
          <w:sz w:val="36"/>
          <w:szCs w:val="36"/>
        </w:rPr>
      </w:pPr>
      <w:r>
        <w:rPr>
          <w:rFonts w:hint="eastAsia" w:ascii="仿宋" w:hAnsi="仿宋" w:eastAsia="仿宋" w:cs="宋体"/>
          <w:kern w:val="0"/>
          <w:sz w:val="36"/>
          <w:szCs w:val="36"/>
        </w:rPr>
        <w:t>采购人：</w:t>
      </w:r>
      <w:r>
        <w:rPr>
          <w:rFonts w:hint="eastAsia" w:ascii="仿宋" w:hAnsi="仿宋" w:eastAsia="仿宋" w:cs="宋体"/>
          <w:kern w:val="0"/>
          <w:sz w:val="36"/>
          <w:szCs w:val="36"/>
          <w:u w:val="single"/>
        </w:rPr>
        <w:t>广州医科大学附属第三医院白云分院</w:t>
      </w:r>
    </w:p>
    <w:p w14:paraId="487201D9">
      <w:pPr>
        <w:pStyle w:val="4"/>
        <w:ind w:firstLine="0" w:firstLineChars="0"/>
        <w:rPr>
          <w:rFonts w:ascii="仿宋" w:hAnsi="仿宋" w:eastAsia="仿宋" w:cs="宋体"/>
          <w:kern w:val="0"/>
          <w:sz w:val="36"/>
          <w:szCs w:val="36"/>
          <w:u w:val="single"/>
        </w:rPr>
      </w:pPr>
      <w:r>
        <w:rPr>
          <w:rFonts w:hint="eastAsia" w:ascii="仿宋" w:hAnsi="仿宋" w:eastAsia="仿宋" w:cs="宋体"/>
          <w:kern w:val="0"/>
          <w:sz w:val="36"/>
          <w:szCs w:val="36"/>
        </w:rPr>
        <w:t>调查组织单位：</w:t>
      </w:r>
      <w:r>
        <w:rPr>
          <w:rFonts w:hint="eastAsia" w:ascii="仿宋" w:hAnsi="仿宋" w:eastAsia="仿宋" w:cs="宋体"/>
          <w:kern w:val="0"/>
          <w:sz w:val="36"/>
          <w:szCs w:val="36"/>
          <w:u w:val="single"/>
        </w:rPr>
        <w:t>广东广招国际招标有限公司</w:t>
      </w:r>
    </w:p>
    <w:p w14:paraId="5475D2E1">
      <w:pPr>
        <w:pStyle w:val="4"/>
        <w:ind w:firstLine="0" w:firstLineChars="0"/>
        <w:jc w:val="center"/>
        <w:rPr>
          <w:rFonts w:ascii="仿宋" w:hAnsi="仿宋" w:eastAsia="仿宋" w:cs="宋体"/>
          <w:kern w:val="0"/>
          <w:sz w:val="36"/>
          <w:szCs w:val="36"/>
        </w:rPr>
      </w:pPr>
      <w:r>
        <w:rPr>
          <w:rFonts w:hint="eastAsia" w:ascii="仿宋" w:hAnsi="仿宋" w:eastAsia="仿宋" w:cs="宋体"/>
          <w:kern w:val="0"/>
          <w:sz w:val="36"/>
          <w:szCs w:val="36"/>
        </w:rPr>
        <w:t>2026年3月</w:t>
      </w:r>
    </w:p>
    <w:p w14:paraId="01B28D76">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0BD3FA1F">
      <w:pPr>
        <w:rPr>
          <w:rFonts w:ascii="仿宋" w:hAnsi="仿宋" w:eastAsia="仿宋" w:cs="宋体"/>
          <w:b/>
          <w:bCs/>
          <w:kern w:val="0"/>
          <w:sz w:val="28"/>
          <w:szCs w:val="28"/>
        </w:rPr>
      </w:pPr>
      <w:r>
        <w:rPr>
          <w:rFonts w:hint="eastAsia" w:ascii="仿宋" w:hAnsi="仿宋" w:eastAsia="仿宋" w:cs="宋体"/>
          <w:b/>
          <w:bCs/>
          <w:kern w:val="0"/>
          <w:sz w:val="28"/>
          <w:szCs w:val="28"/>
        </w:rPr>
        <w:br w:type="page"/>
      </w:r>
    </w:p>
    <w:p w14:paraId="70BA4212">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表1</w:t>
      </w:r>
    </w:p>
    <w:p w14:paraId="0C91325C">
      <w:pPr>
        <w:pStyle w:val="4"/>
        <w:ind w:firstLine="0" w:firstLineChars="0"/>
        <w:jc w:val="center"/>
        <w:outlineLvl w:val="1"/>
        <w:rPr>
          <w:rFonts w:ascii="仿宋" w:hAnsi="仿宋" w:eastAsia="仿宋" w:cs="宋体"/>
          <w:kern w:val="0"/>
          <w:sz w:val="28"/>
          <w:szCs w:val="28"/>
        </w:rPr>
      </w:pPr>
      <w:r>
        <w:rPr>
          <w:rFonts w:hint="eastAsia" w:ascii="仿宋" w:hAnsi="仿宋" w:eastAsia="仿宋" w:cs="宋体"/>
          <w:b/>
          <w:bCs/>
          <w:sz w:val="36"/>
          <w:szCs w:val="36"/>
        </w:rPr>
        <w:t>企业基本情况</w:t>
      </w:r>
      <w:r>
        <w:rPr>
          <w:rFonts w:hint="eastAsia" w:ascii="仿宋" w:hAnsi="仿宋" w:eastAsia="仿宋" w:cs="宋体"/>
          <w:b/>
          <w:bCs/>
          <w:color w:val="FF0000"/>
          <w:sz w:val="36"/>
          <w:szCs w:val="36"/>
        </w:rPr>
        <w:t>（必填）</w:t>
      </w:r>
    </w:p>
    <w:p w14:paraId="3A3F8AAD">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致：广州医科大学附属第三医院白云分院/广东广招国际招标有限公司</w:t>
      </w:r>
    </w:p>
    <w:p w14:paraId="5F76BFF4">
      <w:pPr>
        <w:widowControl/>
        <w:spacing w:after="150" w:line="360" w:lineRule="auto"/>
        <w:ind w:firstLine="420"/>
        <w:jc w:val="left"/>
        <w:rPr>
          <w:rFonts w:ascii="仿宋" w:hAnsi="仿宋" w:eastAsia="仿宋" w:cs="宋体"/>
          <w:kern w:val="0"/>
          <w:sz w:val="28"/>
          <w:szCs w:val="28"/>
        </w:rPr>
      </w:pPr>
      <w:r>
        <w:rPr>
          <w:rFonts w:hint="eastAsia" w:ascii="仿宋" w:hAnsi="仿宋" w:eastAsia="仿宋" w:cs="宋体"/>
          <w:kern w:val="0"/>
          <w:sz w:val="28"/>
          <w:szCs w:val="28"/>
        </w:rPr>
        <w:t xml:space="preserve"> </w:t>
      </w:r>
      <w:r>
        <w:rPr>
          <w:rFonts w:ascii="仿宋" w:hAnsi="仿宋" w:eastAsia="仿宋" w:cs="宋体"/>
          <w:kern w:val="0"/>
          <w:sz w:val="28"/>
          <w:szCs w:val="28"/>
        </w:rPr>
        <w:t xml:space="preserve"> </w:t>
      </w:r>
      <w:r>
        <w:rPr>
          <w:rFonts w:hint="eastAsia" w:ascii="仿宋" w:hAnsi="仿宋" w:eastAsia="仿宋" w:cs="宋体"/>
          <w:kern w:val="0"/>
          <w:sz w:val="28"/>
          <w:szCs w:val="28"/>
        </w:rPr>
        <w:t>根据广州医科大学附属第三医院白云分院（广州市白云区妇幼保健院）病案数字化扫描及托管采购需求调查内容，我公司现按要求提交反馈意见。</w:t>
      </w:r>
    </w:p>
    <w:tbl>
      <w:tblPr>
        <w:tblStyle w:val="13"/>
        <w:tblW w:w="5167" w:type="pct"/>
        <w:jc w:val="center"/>
        <w:tblLayout w:type="autofit"/>
        <w:tblCellMar>
          <w:top w:w="0" w:type="dxa"/>
          <w:left w:w="108" w:type="dxa"/>
          <w:bottom w:w="0" w:type="dxa"/>
          <w:right w:w="108" w:type="dxa"/>
        </w:tblCellMar>
      </w:tblPr>
      <w:tblGrid>
        <w:gridCol w:w="2049"/>
        <w:gridCol w:w="2321"/>
        <w:gridCol w:w="2508"/>
        <w:gridCol w:w="2485"/>
      </w:tblGrid>
      <w:tr w14:paraId="2C3A3058">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vAlign w:val="center"/>
          </w:tcPr>
          <w:p w14:paraId="2DCF6E3B">
            <w:pPr>
              <w:widowControl/>
              <w:jc w:val="center"/>
              <w:textAlignment w:val="center"/>
              <w:rPr>
                <w:rFonts w:ascii="宋体" w:hAnsi="宋体" w:eastAsia="宋体" w:cs="宋体"/>
                <w:color w:val="000000"/>
                <w:kern w:val="0"/>
                <w:sz w:val="24"/>
                <w:lang w:bidi="ar"/>
              </w:rPr>
            </w:pPr>
            <w:r>
              <w:rPr>
                <w:rFonts w:hint="eastAsia" w:ascii="宋体" w:hAnsi="宋体" w:eastAsia="宋体" w:cs="宋体"/>
                <w:sz w:val="24"/>
              </w:rPr>
              <w:t>供应商名称</w:t>
            </w:r>
          </w:p>
        </w:tc>
        <w:tc>
          <w:tcPr>
            <w:tcW w:w="3905" w:type="pct"/>
            <w:gridSpan w:val="3"/>
            <w:tcBorders>
              <w:top w:val="single" w:color="000000" w:sz="4" w:space="0"/>
              <w:left w:val="single" w:color="000000" w:sz="4" w:space="0"/>
              <w:bottom w:val="single" w:color="000000" w:sz="4" w:space="0"/>
              <w:right w:val="single" w:color="000000" w:sz="4" w:space="0"/>
            </w:tcBorders>
            <w:vAlign w:val="center"/>
          </w:tcPr>
          <w:p w14:paraId="093E168A">
            <w:pPr>
              <w:widowControl/>
              <w:spacing w:line="360" w:lineRule="auto"/>
              <w:jc w:val="center"/>
              <w:textAlignment w:val="center"/>
              <w:rPr>
                <w:rFonts w:ascii="宋体" w:hAnsi="宋体" w:eastAsia="宋体" w:cs="宋体"/>
                <w:color w:val="000000"/>
                <w:kern w:val="0"/>
                <w:sz w:val="24"/>
                <w:lang w:bidi="ar"/>
              </w:rPr>
            </w:pPr>
          </w:p>
        </w:tc>
      </w:tr>
      <w:tr w14:paraId="540C1B62">
        <w:tblPrEx>
          <w:tblCellMar>
            <w:top w:w="0" w:type="dxa"/>
            <w:left w:w="108" w:type="dxa"/>
            <w:bottom w:w="0" w:type="dxa"/>
            <w:right w:w="108" w:type="dxa"/>
          </w:tblCellMar>
        </w:tblPrEx>
        <w:trPr>
          <w:trHeight w:val="585" w:hRule="atLeast"/>
          <w:jc w:val="center"/>
        </w:trPr>
        <w:tc>
          <w:tcPr>
            <w:tcW w:w="1094" w:type="pct"/>
            <w:tcBorders>
              <w:top w:val="single" w:color="000000" w:sz="4" w:space="0"/>
              <w:left w:val="single" w:color="000000" w:sz="4" w:space="0"/>
              <w:bottom w:val="single" w:color="000000" w:sz="4" w:space="0"/>
              <w:right w:val="single" w:color="000000" w:sz="4" w:space="0"/>
            </w:tcBorders>
            <w:vAlign w:val="center"/>
          </w:tcPr>
          <w:p w14:paraId="62D528D5">
            <w:pPr>
              <w:widowControl/>
              <w:jc w:val="center"/>
              <w:textAlignment w:val="center"/>
              <w:rPr>
                <w:rFonts w:ascii="宋体" w:hAnsi="宋体" w:eastAsia="宋体" w:cs="宋体"/>
                <w:sz w:val="24"/>
              </w:rPr>
            </w:pPr>
            <w:r>
              <w:rPr>
                <w:rFonts w:hint="eastAsia" w:ascii="宋体" w:hAnsi="宋体" w:cs="宋体"/>
                <w:sz w:val="24"/>
              </w:rPr>
              <w:t>信用机构代码</w:t>
            </w:r>
          </w:p>
        </w:tc>
        <w:tc>
          <w:tcPr>
            <w:tcW w:w="3905" w:type="pct"/>
            <w:gridSpan w:val="3"/>
            <w:tcBorders>
              <w:top w:val="single" w:color="000000" w:sz="4" w:space="0"/>
              <w:left w:val="single" w:color="000000" w:sz="4" w:space="0"/>
              <w:bottom w:val="single" w:color="000000" w:sz="4" w:space="0"/>
              <w:right w:val="single" w:color="000000" w:sz="4" w:space="0"/>
            </w:tcBorders>
            <w:vAlign w:val="center"/>
          </w:tcPr>
          <w:p w14:paraId="7053E770">
            <w:pPr>
              <w:widowControl/>
              <w:spacing w:line="360" w:lineRule="auto"/>
              <w:jc w:val="center"/>
              <w:textAlignment w:val="center"/>
              <w:rPr>
                <w:rFonts w:ascii="宋体" w:hAnsi="宋体" w:eastAsia="宋体" w:cs="宋体"/>
                <w:color w:val="000000"/>
                <w:kern w:val="0"/>
                <w:sz w:val="24"/>
                <w:lang w:bidi="ar"/>
              </w:rPr>
            </w:pPr>
          </w:p>
        </w:tc>
      </w:tr>
      <w:tr w14:paraId="420446D0">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4061B">
            <w:pPr>
              <w:widowControl/>
              <w:jc w:val="center"/>
              <w:textAlignment w:val="center"/>
              <w:rPr>
                <w:rFonts w:ascii="宋体" w:hAnsi="宋体" w:eastAsia="宋体" w:cs="宋体"/>
                <w:color w:val="000000"/>
                <w:kern w:val="0"/>
                <w:sz w:val="24"/>
                <w:szCs w:val="21"/>
                <w:lang w:bidi="ar"/>
              </w:rPr>
            </w:pPr>
            <w:r>
              <w:rPr>
                <w:rFonts w:hint="eastAsia" w:ascii="宋体" w:hAnsi="宋体" w:eastAsia="宋体" w:cs="宋体"/>
                <w:sz w:val="24"/>
              </w:rPr>
              <w:t>供应商</w:t>
            </w:r>
            <w:r>
              <w:rPr>
                <w:rFonts w:hint="eastAsia" w:ascii="宋体" w:hAnsi="宋体" w:cs="宋体"/>
                <w:sz w:val="24"/>
              </w:rPr>
              <w:t>所属行业</w:t>
            </w:r>
          </w:p>
        </w:tc>
        <w:tc>
          <w:tcPr>
            <w:tcW w:w="1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6C802">
            <w:pPr>
              <w:widowControl/>
              <w:jc w:val="center"/>
              <w:textAlignment w:val="center"/>
              <w:rPr>
                <w:rFonts w:ascii="宋体" w:hAnsi="宋体" w:eastAsia="宋体" w:cs="宋体"/>
                <w:sz w:val="24"/>
                <w:szCs w:val="21"/>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0B0AA">
            <w:pPr>
              <w:widowControl/>
              <w:jc w:val="center"/>
              <w:textAlignment w:val="center"/>
              <w:rPr>
                <w:rFonts w:ascii="宋体" w:hAnsi="宋体" w:eastAsia="宋体" w:cs="宋体"/>
                <w:sz w:val="32"/>
                <w:szCs w:val="21"/>
              </w:rPr>
            </w:pPr>
            <w:r>
              <w:rPr>
                <w:rFonts w:hint="eastAsia" w:ascii="宋体" w:hAnsi="宋体" w:eastAsia="宋体" w:cs="宋体"/>
                <w:sz w:val="24"/>
              </w:rPr>
              <w:t>供应商是否中小企业</w:t>
            </w:r>
          </w:p>
        </w:tc>
        <w:tc>
          <w:tcPr>
            <w:tcW w:w="13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EE8B0">
            <w:pPr>
              <w:widowControl/>
              <w:jc w:val="center"/>
              <w:textAlignment w:val="center"/>
              <w:rPr>
                <w:rFonts w:ascii="宋体" w:hAnsi="宋体" w:eastAsia="宋体" w:cs="宋体"/>
                <w:color w:val="000000"/>
                <w:kern w:val="0"/>
                <w:sz w:val="24"/>
                <w:lang w:bidi="ar"/>
              </w:rPr>
            </w:pPr>
            <w:r>
              <w:rPr>
                <w:rFonts w:hint="eastAsia" w:ascii="宋体" w:hAnsi="宋体" w:eastAsia="宋体" w:cs="宋体"/>
                <w:color w:val="000000"/>
                <w:kern w:val="0"/>
                <w:sz w:val="24"/>
                <w:lang w:bidi="ar"/>
              </w:rPr>
              <w:sym w:font="Wingdings 2" w:char="00A3"/>
            </w:r>
            <w:r>
              <w:rPr>
                <w:rFonts w:hint="eastAsia" w:ascii="宋体" w:hAnsi="宋体" w:eastAsia="宋体" w:cs="宋体"/>
                <w:color w:val="000000"/>
                <w:kern w:val="0"/>
                <w:sz w:val="24"/>
                <w:lang w:bidi="ar"/>
              </w:rPr>
              <w:t>大型企业</w:t>
            </w:r>
          </w:p>
          <w:p w14:paraId="262E2DFA">
            <w:pPr>
              <w:widowControl/>
              <w:jc w:val="center"/>
              <w:textAlignment w:val="center"/>
              <w:rPr>
                <w:rFonts w:ascii="宋体" w:hAnsi="宋体" w:eastAsia="宋体" w:cs="宋体"/>
                <w:color w:val="000000"/>
                <w:kern w:val="0"/>
                <w:sz w:val="24"/>
                <w:lang w:bidi="ar"/>
              </w:rPr>
            </w:pPr>
            <w:r>
              <w:rPr>
                <w:rFonts w:hint="eastAsia" w:ascii="宋体" w:hAnsi="宋体" w:eastAsia="宋体" w:cs="宋体"/>
                <w:color w:val="000000"/>
                <w:kern w:val="0"/>
                <w:sz w:val="24"/>
                <w:lang w:bidi="ar"/>
              </w:rPr>
              <w:sym w:font="Wingdings 2" w:char="00A3"/>
            </w:r>
            <w:r>
              <w:rPr>
                <w:rFonts w:hint="eastAsia" w:ascii="宋体" w:hAnsi="宋体" w:eastAsia="宋体" w:cs="宋体"/>
                <w:color w:val="000000"/>
                <w:kern w:val="0"/>
                <w:sz w:val="24"/>
                <w:lang w:bidi="ar"/>
              </w:rPr>
              <w:t>中型企业</w:t>
            </w:r>
          </w:p>
          <w:p w14:paraId="15B47876">
            <w:pPr>
              <w:widowControl/>
              <w:jc w:val="center"/>
              <w:textAlignment w:val="center"/>
              <w:rPr>
                <w:rFonts w:ascii="宋体" w:hAnsi="宋体" w:eastAsia="宋体" w:cs="宋体"/>
                <w:color w:val="000000"/>
                <w:kern w:val="0"/>
                <w:sz w:val="24"/>
                <w:lang w:bidi="ar"/>
              </w:rPr>
            </w:pPr>
            <w:r>
              <w:rPr>
                <w:rFonts w:hint="eastAsia" w:ascii="宋体" w:hAnsi="宋体" w:eastAsia="宋体" w:cs="宋体"/>
                <w:color w:val="000000"/>
                <w:kern w:val="0"/>
                <w:sz w:val="24"/>
                <w:lang w:bidi="ar"/>
              </w:rPr>
              <w:sym w:font="Wingdings 2" w:char="00A3"/>
            </w:r>
            <w:r>
              <w:rPr>
                <w:rFonts w:hint="eastAsia" w:ascii="宋体" w:hAnsi="宋体" w:eastAsia="宋体" w:cs="宋体"/>
                <w:color w:val="000000"/>
                <w:kern w:val="0"/>
                <w:sz w:val="24"/>
                <w:lang w:bidi="ar"/>
              </w:rPr>
              <w:t>小型企业</w:t>
            </w:r>
          </w:p>
          <w:p w14:paraId="1AA94C07">
            <w:pPr>
              <w:widowControl/>
              <w:spacing w:line="360" w:lineRule="auto"/>
              <w:jc w:val="center"/>
              <w:textAlignment w:val="center"/>
              <w:rPr>
                <w:rFonts w:ascii="宋体" w:hAnsi="宋体" w:eastAsia="宋体" w:cs="宋体"/>
                <w:color w:val="000000"/>
                <w:kern w:val="0"/>
                <w:sz w:val="24"/>
                <w:szCs w:val="21"/>
                <w:lang w:bidi="ar"/>
              </w:rPr>
            </w:pPr>
            <w:r>
              <w:rPr>
                <w:rFonts w:hint="eastAsia" w:ascii="宋体" w:hAnsi="宋体" w:eastAsia="宋体" w:cs="宋体"/>
                <w:color w:val="000000"/>
                <w:kern w:val="0"/>
                <w:sz w:val="24"/>
                <w:lang w:bidi="ar"/>
              </w:rPr>
              <w:sym w:font="Wingdings 2" w:char="00A3"/>
            </w:r>
            <w:r>
              <w:rPr>
                <w:rFonts w:hint="eastAsia" w:ascii="宋体" w:hAnsi="宋体" w:eastAsia="宋体" w:cs="宋体"/>
                <w:color w:val="000000"/>
                <w:kern w:val="0"/>
                <w:sz w:val="24"/>
                <w:lang w:bidi="ar"/>
              </w:rPr>
              <w:t>微型企业</w:t>
            </w:r>
          </w:p>
        </w:tc>
      </w:tr>
      <w:tr w14:paraId="75E86BDA">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A2C8B">
            <w:pPr>
              <w:widowControl/>
              <w:jc w:val="center"/>
              <w:textAlignment w:val="center"/>
              <w:rPr>
                <w:rFonts w:ascii="宋体" w:hAnsi="宋体" w:eastAsia="宋体" w:cs="宋体"/>
                <w:color w:val="000000"/>
                <w:kern w:val="0"/>
                <w:sz w:val="24"/>
                <w:szCs w:val="21"/>
                <w:lang w:bidi="ar"/>
              </w:rPr>
            </w:pPr>
            <w:r>
              <w:rPr>
                <w:rFonts w:hint="eastAsia" w:ascii="宋体" w:hAnsi="宋体" w:eastAsia="宋体" w:cs="宋体"/>
                <w:sz w:val="24"/>
              </w:rPr>
              <w:t>供应商联系人</w:t>
            </w:r>
          </w:p>
        </w:tc>
        <w:tc>
          <w:tcPr>
            <w:tcW w:w="12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AE0395">
            <w:pPr>
              <w:widowControl/>
              <w:jc w:val="center"/>
              <w:textAlignment w:val="center"/>
              <w:rPr>
                <w:rFonts w:ascii="宋体" w:hAnsi="宋体" w:eastAsia="宋体" w:cs="宋体"/>
                <w:color w:val="000000"/>
                <w:kern w:val="0"/>
                <w:sz w:val="24"/>
                <w:szCs w:val="21"/>
                <w:lang w:bidi="ar"/>
              </w:rPr>
            </w:pPr>
          </w:p>
        </w:tc>
        <w:tc>
          <w:tcPr>
            <w:tcW w:w="1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9B979">
            <w:pPr>
              <w:widowControl/>
              <w:jc w:val="center"/>
              <w:textAlignment w:val="center"/>
              <w:rPr>
                <w:rFonts w:ascii="宋体" w:hAnsi="宋体" w:eastAsia="宋体" w:cs="宋体"/>
                <w:color w:val="000000"/>
                <w:kern w:val="0"/>
                <w:sz w:val="24"/>
                <w:szCs w:val="21"/>
                <w:lang w:bidi="ar"/>
              </w:rPr>
            </w:pPr>
            <w:r>
              <w:rPr>
                <w:rFonts w:hint="eastAsia" w:ascii="宋体" w:hAnsi="宋体" w:eastAsia="宋体" w:cs="宋体"/>
                <w:sz w:val="24"/>
              </w:rPr>
              <w:t>联系人电话</w:t>
            </w:r>
          </w:p>
        </w:tc>
        <w:tc>
          <w:tcPr>
            <w:tcW w:w="132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991E0">
            <w:pPr>
              <w:widowControl/>
              <w:jc w:val="center"/>
              <w:textAlignment w:val="center"/>
              <w:rPr>
                <w:rFonts w:ascii="宋体" w:hAnsi="宋体" w:eastAsia="宋体" w:cs="宋体"/>
                <w:color w:val="000000"/>
                <w:kern w:val="0"/>
                <w:sz w:val="24"/>
                <w:szCs w:val="21"/>
                <w:lang w:bidi="ar"/>
              </w:rPr>
            </w:pPr>
          </w:p>
        </w:tc>
      </w:tr>
      <w:tr w14:paraId="6BC51E9D">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A3DF81">
            <w:pPr>
              <w:widowControl/>
              <w:jc w:val="center"/>
              <w:textAlignment w:val="center"/>
              <w:rPr>
                <w:rFonts w:ascii="宋体" w:hAnsi="宋体" w:eastAsia="宋体" w:cs="宋体"/>
                <w:sz w:val="24"/>
              </w:rPr>
            </w:pPr>
            <w:r>
              <w:rPr>
                <w:rFonts w:hint="eastAsia" w:ascii="宋体" w:hAnsi="宋体" w:cs="宋体"/>
                <w:sz w:val="24"/>
              </w:rPr>
              <w:t>企业资质</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C8CB6A">
            <w:pPr>
              <w:widowControl/>
              <w:jc w:val="center"/>
              <w:textAlignment w:val="center"/>
              <w:rPr>
                <w:rFonts w:ascii="宋体" w:hAnsi="宋体" w:eastAsia="宋体" w:cs="宋体"/>
                <w:color w:val="000000"/>
                <w:kern w:val="0"/>
                <w:sz w:val="24"/>
                <w:szCs w:val="21"/>
                <w:lang w:bidi="ar"/>
              </w:rPr>
            </w:pPr>
          </w:p>
        </w:tc>
      </w:tr>
      <w:tr w14:paraId="5BCB0D0D">
        <w:tblPrEx>
          <w:tblCellMar>
            <w:top w:w="0" w:type="dxa"/>
            <w:left w:w="108" w:type="dxa"/>
            <w:bottom w:w="0" w:type="dxa"/>
            <w:right w:w="108" w:type="dxa"/>
          </w:tblCellMar>
        </w:tblPrEx>
        <w:trPr>
          <w:trHeight w:val="885" w:hRule="atLeast"/>
          <w:jc w:val="center"/>
        </w:trPr>
        <w:tc>
          <w:tcPr>
            <w:tcW w:w="10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230010">
            <w:pPr>
              <w:widowControl/>
              <w:jc w:val="center"/>
              <w:textAlignment w:val="center"/>
              <w:rPr>
                <w:rFonts w:ascii="宋体" w:hAnsi="宋体" w:cs="宋体"/>
                <w:sz w:val="24"/>
              </w:rPr>
            </w:pPr>
            <w:r>
              <w:rPr>
                <w:rFonts w:hint="eastAsia" w:ascii="宋体" w:hAnsi="宋体" w:cs="宋体"/>
                <w:sz w:val="24"/>
              </w:rPr>
              <w:t>服务过的客户名单</w:t>
            </w:r>
          </w:p>
        </w:tc>
        <w:tc>
          <w:tcPr>
            <w:tcW w:w="3905"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86F618">
            <w:pPr>
              <w:widowControl/>
              <w:jc w:val="center"/>
              <w:textAlignment w:val="center"/>
              <w:rPr>
                <w:rFonts w:ascii="宋体" w:hAnsi="宋体" w:eastAsia="宋体" w:cs="宋体"/>
                <w:color w:val="000000"/>
                <w:kern w:val="0"/>
                <w:sz w:val="24"/>
                <w:szCs w:val="21"/>
                <w:lang w:bidi="ar"/>
              </w:rPr>
            </w:pPr>
          </w:p>
        </w:tc>
      </w:tr>
    </w:tbl>
    <w:p w14:paraId="5BECA766">
      <w:pPr>
        <w:pStyle w:val="24"/>
      </w:pPr>
    </w:p>
    <w:p w14:paraId="4D38B654">
      <w:pPr>
        <w:pStyle w:val="24"/>
        <w:rPr>
          <w:rFonts w:ascii="仿宋" w:hAnsi="仿宋" w:eastAsia="仿宋"/>
          <w:kern w:val="0"/>
          <w:sz w:val="28"/>
          <w:szCs w:val="28"/>
        </w:rPr>
      </w:pPr>
      <w:r>
        <w:rPr>
          <w:rFonts w:hint="eastAsia"/>
          <w:color w:val="FF0000"/>
        </w:rPr>
        <w:t>后附企业营业执照、资质证书</w:t>
      </w:r>
      <w:r>
        <w:rPr>
          <w:rFonts w:hint="eastAsia" w:ascii="仿宋" w:hAnsi="仿宋" w:eastAsia="仿宋"/>
          <w:kern w:val="0"/>
          <w:sz w:val="28"/>
          <w:szCs w:val="28"/>
        </w:rPr>
        <w:t xml:space="preserve"> </w:t>
      </w:r>
    </w:p>
    <w:p w14:paraId="251709C5">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79633053">
      <w:pPr>
        <w:widowControl/>
        <w:spacing w:after="150" w:line="360" w:lineRule="auto"/>
        <w:ind w:firstLine="420"/>
        <w:jc w:val="right"/>
        <w:rPr>
          <w:rFonts w:ascii="仿宋" w:hAnsi="仿宋" w:eastAsia="仿宋" w:cs="宋体"/>
          <w:b/>
          <w:bCs/>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72416EAC">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表2</w:t>
      </w:r>
    </w:p>
    <w:p w14:paraId="0E9E3E65">
      <w:pPr>
        <w:pStyle w:val="4"/>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相关产业发展情况</w:t>
      </w:r>
    </w:p>
    <w:p w14:paraId="0C558FE5">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致：广州医科大学附属第三医院白云分院/广东广招国际招标有限公司</w:t>
      </w:r>
    </w:p>
    <w:p w14:paraId="033182BB">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注：供应商应针对本项目提供相关产业发展情况说明，附件相关佐证材料（如有）。</w:t>
      </w:r>
    </w:p>
    <w:p w14:paraId="6016234C">
      <w:pPr>
        <w:rPr>
          <w:rFonts w:ascii="仿宋" w:hAnsi="仿宋" w:eastAsia="仿宋"/>
          <w:sz w:val="32"/>
          <w:szCs w:val="32"/>
        </w:rPr>
      </w:pPr>
      <w:r>
        <w:rPr>
          <w:rFonts w:hint="eastAsia" w:ascii="仿宋" w:hAnsi="仿宋" w:eastAsia="仿宋"/>
          <w:sz w:val="32"/>
          <w:szCs w:val="32"/>
        </w:rPr>
        <w:t>1.现有产品的技术路线、工艺水平、技术水平或行业的发展历程、行业现状等：</w:t>
      </w:r>
    </w:p>
    <w:p w14:paraId="5AB9BDD5">
      <w:pPr>
        <w:rPr>
          <w:sz w:val="32"/>
          <w:szCs w:val="32"/>
        </w:rPr>
      </w:pPr>
      <w:r>
        <w:rPr>
          <w:sz w:val="32"/>
          <w:szCs w:val="32"/>
        </w:rPr>
        <w:t xml:space="preserve"> </w:t>
      </w:r>
    </w:p>
    <w:p w14:paraId="53C0D0C1">
      <w:pPr>
        <w:rPr>
          <w:sz w:val="32"/>
          <w:szCs w:val="32"/>
        </w:rPr>
      </w:pPr>
      <w:r>
        <w:rPr>
          <w:sz w:val="32"/>
          <w:szCs w:val="32"/>
        </w:rPr>
        <w:t xml:space="preserve">  </w:t>
      </w:r>
    </w:p>
    <w:p w14:paraId="33446A51">
      <w:pPr>
        <w:rPr>
          <w:sz w:val="32"/>
          <w:szCs w:val="32"/>
        </w:rPr>
      </w:pPr>
      <w:r>
        <w:rPr>
          <w:sz w:val="32"/>
          <w:szCs w:val="32"/>
        </w:rPr>
        <w:t xml:space="preserve"> </w:t>
      </w:r>
    </w:p>
    <w:p w14:paraId="5742292E">
      <w:pPr>
        <w:rPr>
          <w:rFonts w:ascii="仿宋" w:hAnsi="仿宋" w:eastAsia="仿宋"/>
          <w:sz w:val="32"/>
          <w:szCs w:val="32"/>
        </w:rPr>
      </w:pPr>
      <w:r>
        <w:rPr>
          <w:rFonts w:hint="eastAsia" w:ascii="仿宋" w:hAnsi="仿宋" w:eastAsia="仿宋"/>
          <w:sz w:val="32"/>
          <w:szCs w:val="32"/>
        </w:rPr>
        <w:t>2.可能涉及的企业资质（如生产企业准入资格）、产品资质（如涉及到强制检验）、人员资质（如上岗证、资格证等证件）：</w:t>
      </w:r>
    </w:p>
    <w:p w14:paraId="47F0B888">
      <w:pPr>
        <w:rPr>
          <w:sz w:val="32"/>
          <w:szCs w:val="32"/>
        </w:rPr>
      </w:pPr>
      <w:r>
        <w:rPr>
          <w:sz w:val="32"/>
          <w:szCs w:val="32"/>
        </w:rPr>
        <w:t xml:space="preserve">  </w:t>
      </w:r>
    </w:p>
    <w:p w14:paraId="730187FE">
      <w:pPr>
        <w:rPr>
          <w:sz w:val="32"/>
          <w:szCs w:val="32"/>
        </w:rPr>
      </w:pPr>
      <w:r>
        <w:rPr>
          <w:sz w:val="32"/>
          <w:szCs w:val="32"/>
        </w:rPr>
        <w:t xml:space="preserve"> </w:t>
      </w:r>
    </w:p>
    <w:p w14:paraId="3AE0B181">
      <w:pPr>
        <w:rPr>
          <w:rFonts w:ascii="仿宋" w:hAnsi="仿宋" w:eastAsia="仿宋"/>
          <w:sz w:val="32"/>
          <w:szCs w:val="32"/>
        </w:rPr>
      </w:pPr>
      <w:r>
        <w:rPr>
          <w:rFonts w:hint="eastAsia" w:ascii="仿宋" w:hAnsi="仿宋" w:eastAsia="仿宋"/>
          <w:sz w:val="32"/>
          <w:szCs w:val="32"/>
        </w:rPr>
        <w:t>3.涉及的相关标准（含国家标准）和规范：</w:t>
      </w:r>
    </w:p>
    <w:p w14:paraId="014BF66E">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1EFEE7D7">
      <w:pPr>
        <w:widowControl/>
        <w:spacing w:after="150" w:line="360" w:lineRule="auto"/>
        <w:ind w:firstLine="420"/>
        <w:jc w:val="right"/>
        <w:rPr>
          <w:rFonts w:ascii="仿宋" w:hAnsi="仿宋" w:eastAsia="仿宋"/>
          <w:kern w:val="0"/>
          <w:sz w:val="28"/>
          <w:szCs w:val="28"/>
        </w:rPr>
      </w:pPr>
      <w:r>
        <w:rPr>
          <w:rFonts w:hint="eastAsia" w:ascii="仿宋" w:hAnsi="仿宋" w:eastAsia="仿宋" w:cs="宋体"/>
          <w:kern w:val="0"/>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512EAAB9">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79B0C275">
      <w:pPr>
        <w:rPr>
          <w:rFonts w:ascii="仿宋" w:hAnsi="仿宋" w:eastAsia="仿宋" w:cs="宋体"/>
          <w:b/>
          <w:bCs/>
          <w:kern w:val="0"/>
          <w:sz w:val="28"/>
          <w:szCs w:val="28"/>
        </w:rPr>
      </w:pPr>
      <w:r>
        <w:rPr>
          <w:rFonts w:hint="eastAsia" w:ascii="仿宋" w:hAnsi="仿宋" w:eastAsia="仿宋" w:cs="宋体"/>
          <w:b/>
          <w:bCs/>
          <w:kern w:val="0"/>
          <w:sz w:val="28"/>
          <w:szCs w:val="28"/>
        </w:rPr>
        <w:br w:type="page"/>
      </w:r>
    </w:p>
    <w:p w14:paraId="5729468E">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表3</w:t>
      </w:r>
    </w:p>
    <w:p w14:paraId="5654AB5A">
      <w:pPr>
        <w:pStyle w:val="4"/>
        <w:ind w:firstLine="0" w:firstLineChars="0"/>
        <w:jc w:val="center"/>
        <w:outlineLvl w:val="1"/>
        <w:rPr>
          <w:rFonts w:ascii="仿宋" w:hAnsi="仿宋" w:eastAsia="仿宋" w:cs="宋体"/>
          <w:b/>
          <w:bCs/>
          <w:kern w:val="0"/>
          <w:sz w:val="36"/>
          <w:szCs w:val="36"/>
        </w:rPr>
      </w:pPr>
      <w:r>
        <w:rPr>
          <w:rFonts w:hint="eastAsia" w:ascii="仿宋" w:hAnsi="仿宋" w:eastAsia="仿宋" w:cs="宋体"/>
          <w:b/>
          <w:bCs/>
          <w:sz w:val="36"/>
          <w:szCs w:val="36"/>
        </w:rPr>
        <w:t>市场供给情况</w:t>
      </w:r>
    </w:p>
    <w:p w14:paraId="02814559">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致：广州医科大学附属第三医院白云分院/广东广招国际招标有限公司</w:t>
      </w:r>
    </w:p>
    <w:p w14:paraId="40AF12E1">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注：供应商应针对本项目提供市场供给情况说明，附件相关佐证材料（如有）。</w:t>
      </w:r>
    </w:p>
    <w:p w14:paraId="20CD4885">
      <w:pPr>
        <w:rPr>
          <w:rFonts w:ascii="仿宋" w:hAnsi="仿宋" w:eastAsia="仿宋"/>
          <w:sz w:val="32"/>
          <w:szCs w:val="32"/>
        </w:rPr>
      </w:pPr>
      <w:r>
        <w:rPr>
          <w:rFonts w:hint="eastAsia" w:ascii="仿宋" w:hAnsi="仿宋" w:eastAsia="仿宋"/>
          <w:sz w:val="32"/>
          <w:szCs w:val="32"/>
        </w:rPr>
        <w:t>1.市场竞争程度：</w:t>
      </w:r>
    </w:p>
    <w:p w14:paraId="584D8F1E">
      <w:pPr>
        <w:rPr>
          <w:sz w:val="32"/>
          <w:szCs w:val="32"/>
        </w:rPr>
      </w:pPr>
      <w:r>
        <w:rPr>
          <w:sz w:val="32"/>
          <w:szCs w:val="32"/>
        </w:rPr>
        <w:t xml:space="preserve"> </w:t>
      </w:r>
    </w:p>
    <w:p w14:paraId="0B04FCCB">
      <w:pPr>
        <w:rPr>
          <w:sz w:val="32"/>
          <w:szCs w:val="32"/>
        </w:rPr>
      </w:pPr>
      <w:r>
        <w:rPr>
          <w:sz w:val="32"/>
          <w:szCs w:val="32"/>
        </w:rPr>
        <w:t xml:space="preserve"> </w:t>
      </w:r>
    </w:p>
    <w:p w14:paraId="036C2E50">
      <w:pPr>
        <w:rPr>
          <w:sz w:val="32"/>
          <w:szCs w:val="32"/>
        </w:rPr>
      </w:pPr>
      <w:r>
        <w:rPr>
          <w:sz w:val="32"/>
          <w:szCs w:val="32"/>
        </w:rPr>
        <w:t xml:space="preserve"> </w:t>
      </w:r>
    </w:p>
    <w:p w14:paraId="58A822C0">
      <w:pPr>
        <w:rPr>
          <w:sz w:val="32"/>
          <w:szCs w:val="32"/>
        </w:rPr>
      </w:pPr>
      <w:r>
        <w:rPr>
          <w:sz w:val="32"/>
          <w:szCs w:val="32"/>
        </w:rPr>
        <w:t xml:space="preserve"> </w:t>
      </w:r>
    </w:p>
    <w:p w14:paraId="459094E7">
      <w:pPr>
        <w:rPr>
          <w:rFonts w:ascii="仿宋" w:hAnsi="仿宋" w:eastAsia="仿宋"/>
          <w:sz w:val="32"/>
          <w:szCs w:val="32"/>
        </w:rPr>
      </w:pPr>
      <w:r>
        <w:rPr>
          <w:rFonts w:hint="eastAsia" w:ascii="仿宋" w:hAnsi="仿宋" w:eastAsia="仿宋"/>
          <w:sz w:val="32"/>
          <w:szCs w:val="32"/>
        </w:rPr>
        <w:t>2.价格水平或价格构成：</w:t>
      </w:r>
    </w:p>
    <w:p w14:paraId="53F2931F">
      <w:pPr>
        <w:rPr>
          <w:sz w:val="32"/>
          <w:szCs w:val="32"/>
        </w:rPr>
      </w:pPr>
      <w:r>
        <w:rPr>
          <w:sz w:val="32"/>
          <w:szCs w:val="32"/>
        </w:rPr>
        <w:t xml:space="preserve"> </w:t>
      </w:r>
    </w:p>
    <w:p w14:paraId="3C6FBB13">
      <w:pPr>
        <w:rPr>
          <w:sz w:val="32"/>
          <w:szCs w:val="32"/>
        </w:rPr>
      </w:pPr>
      <w:r>
        <w:rPr>
          <w:sz w:val="32"/>
          <w:szCs w:val="32"/>
        </w:rPr>
        <w:t xml:space="preserve"> </w:t>
      </w:r>
    </w:p>
    <w:p w14:paraId="2D2ABA88">
      <w:pPr>
        <w:rPr>
          <w:sz w:val="32"/>
          <w:szCs w:val="32"/>
        </w:rPr>
      </w:pPr>
      <w:r>
        <w:rPr>
          <w:sz w:val="32"/>
          <w:szCs w:val="32"/>
        </w:rPr>
        <w:t xml:space="preserve"> </w:t>
      </w:r>
    </w:p>
    <w:p w14:paraId="07DBE1D9">
      <w:pPr>
        <w:rPr>
          <w:sz w:val="32"/>
          <w:szCs w:val="32"/>
        </w:rPr>
      </w:pPr>
      <w:r>
        <w:rPr>
          <w:sz w:val="32"/>
          <w:szCs w:val="32"/>
        </w:rPr>
        <w:t xml:space="preserve"> </w:t>
      </w:r>
    </w:p>
    <w:p w14:paraId="0A257772">
      <w:pPr>
        <w:rPr>
          <w:rFonts w:ascii="仿宋" w:hAnsi="仿宋" w:eastAsia="仿宋" w:cs="宋体"/>
          <w:sz w:val="28"/>
          <w:szCs w:val="28"/>
        </w:rPr>
      </w:pPr>
      <w:r>
        <w:rPr>
          <w:rFonts w:hint="eastAsia" w:ascii="仿宋" w:hAnsi="仿宋" w:eastAsia="仿宋"/>
          <w:sz w:val="32"/>
          <w:szCs w:val="32"/>
        </w:rPr>
        <w:t>3.履约能力、售后服务能力：</w:t>
      </w:r>
    </w:p>
    <w:p w14:paraId="58420161">
      <w:pPr>
        <w:pStyle w:val="4"/>
        <w:ind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52914ABD">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69A51081">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0DA26D8D">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br w:type="page"/>
      </w:r>
      <w:r>
        <w:rPr>
          <w:rFonts w:hint="eastAsia" w:ascii="仿宋" w:hAnsi="仿宋" w:eastAsia="仿宋" w:cs="宋体"/>
          <w:b/>
          <w:bCs/>
          <w:kern w:val="0"/>
          <w:sz w:val="28"/>
          <w:szCs w:val="28"/>
        </w:rPr>
        <w:t>表4</w:t>
      </w:r>
    </w:p>
    <w:p w14:paraId="6CC09C54">
      <w:pPr>
        <w:pStyle w:val="4"/>
        <w:ind w:firstLine="0" w:firstLineChars="0"/>
        <w:jc w:val="center"/>
        <w:outlineLvl w:val="1"/>
        <w:rPr>
          <w:rFonts w:ascii="仿宋" w:hAnsi="仿宋" w:eastAsia="仿宋" w:cs="宋体"/>
          <w:kern w:val="0"/>
          <w:sz w:val="28"/>
          <w:szCs w:val="28"/>
        </w:rPr>
      </w:pPr>
      <w:bookmarkStart w:id="0" w:name="_Hlk143094076"/>
      <w:r>
        <w:rPr>
          <w:rFonts w:hint="eastAsia" w:ascii="仿宋" w:hAnsi="仿宋" w:eastAsia="仿宋" w:cs="宋体"/>
          <w:b/>
          <w:bCs/>
          <w:sz w:val="36"/>
          <w:szCs w:val="36"/>
        </w:rPr>
        <w:t>2022年以来同类项目成交价格记录（如有）</w:t>
      </w:r>
    </w:p>
    <w:bookmarkEnd w:id="0"/>
    <w:p w14:paraId="03AA77A3">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4EBE3908">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致：广州医科大学附属第三医院白云分院/广东广招国际招标有限公司</w:t>
      </w:r>
    </w:p>
    <w:tbl>
      <w:tblPr>
        <w:tblStyle w:val="14"/>
        <w:tblW w:w="796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4"/>
        <w:gridCol w:w="1204"/>
        <w:gridCol w:w="1326"/>
        <w:gridCol w:w="1243"/>
        <w:gridCol w:w="1034"/>
        <w:gridCol w:w="1139"/>
        <w:gridCol w:w="1139"/>
      </w:tblGrid>
      <w:tr w14:paraId="24D152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50877DB5">
            <w:pPr>
              <w:jc w:val="center"/>
              <w:rPr>
                <w:rFonts w:ascii="仿宋" w:hAnsi="仿宋" w:eastAsia="仿宋" w:cs="Times New Roman"/>
                <w:b/>
                <w:bCs/>
                <w:sz w:val="24"/>
                <w:szCs w:val="24"/>
              </w:rPr>
            </w:pPr>
            <w:r>
              <w:rPr>
                <w:rFonts w:hint="eastAsia" w:ascii="仿宋" w:hAnsi="仿宋" w:eastAsia="仿宋" w:cs="Times New Roman"/>
                <w:b/>
                <w:bCs/>
                <w:kern w:val="0"/>
                <w:sz w:val="24"/>
                <w:szCs w:val="24"/>
              </w:rPr>
              <w:t>序号</w:t>
            </w:r>
          </w:p>
        </w:tc>
        <w:tc>
          <w:tcPr>
            <w:tcW w:w="1204" w:type="dxa"/>
            <w:tcBorders>
              <w:top w:val="single" w:color="auto" w:sz="4" w:space="0"/>
              <w:left w:val="single" w:color="auto" w:sz="4" w:space="0"/>
              <w:bottom w:val="single" w:color="auto" w:sz="4" w:space="0"/>
              <w:right w:val="single" w:color="auto" w:sz="4" w:space="0"/>
            </w:tcBorders>
            <w:vAlign w:val="center"/>
          </w:tcPr>
          <w:p w14:paraId="28598F47">
            <w:pPr>
              <w:jc w:val="center"/>
              <w:rPr>
                <w:rFonts w:ascii="仿宋" w:hAnsi="仿宋" w:eastAsia="仿宋" w:cs="Times New Roman"/>
                <w:b/>
                <w:bCs/>
                <w:kern w:val="0"/>
                <w:sz w:val="24"/>
                <w:szCs w:val="24"/>
              </w:rPr>
            </w:pPr>
            <w:r>
              <w:rPr>
                <w:rFonts w:hint="eastAsia" w:ascii="仿宋" w:hAnsi="仿宋" w:eastAsia="仿宋" w:cs="Times New Roman"/>
                <w:b/>
                <w:bCs/>
                <w:kern w:val="0"/>
                <w:sz w:val="24"/>
                <w:szCs w:val="24"/>
              </w:rPr>
              <w:t>采购人</w:t>
            </w:r>
          </w:p>
        </w:tc>
        <w:tc>
          <w:tcPr>
            <w:tcW w:w="1326" w:type="dxa"/>
            <w:tcBorders>
              <w:top w:val="single" w:color="auto" w:sz="4" w:space="0"/>
              <w:left w:val="single" w:color="auto" w:sz="4" w:space="0"/>
              <w:bottom w:val="single" w:color="auto" w:sz="4" w:space="0"/>
              <w:right w:val="single" w:color="auto" w:sz="4" w:space="0"/>
            </w:tcBorders>
            <w:vAlign w:val="center"/>
          </w:tcPr>
          <w:p w14:paraId="1A69AFB1">
            <w:pPr>
              <w:jc w:val="center"/>
              <w:rPr>
                <w:rFonts w:ascii="仿宋" w:hAnsi="仿宋" w:eastAsia="仿宋" w:cs="Times New Roman"/>
                <w:b/>
                <w:bCs/>
                <w:kern w:val="0"/>
                <w:sz w:val="24"/>
                <w:szCs w:val="24"/>
              </w:rPr>
            </w:pPr>
            <w:r>
              <w:rPr>
                <w:rFonts w:hint="eastAsia" w:ascii="仿宋" w:hAnsi="仿宋" w:eastAsia="仿宋" w:cs="Times New Roman"/>
                <w:b/>
                <w:bCs/>
                <w:kern w:val="0"/>
                <w:sz w:val="24"/>
                <w:szCs w:val="24"/>
              </w:rPr>
              <w:t>项目名称</w:t>
            </w:r>
          </w:p>
        </w:tc>
        <w:tc>
          <w:tcPr>
            <w:tcW w:w="1243" w:type="dxa"/>
            <w:tcBorders>
              <w:top w:val="single" w:color="auto" w:sz="4" w:space="0"/>
              <w:left w:val="single" w:color="auto" w:sz="4" w:space="0"/>
              <w:bottom w:val="single" w:color="auto" w:sz="4" w:space="0"/>
              <w:right w:val="single" w:color="auto" w:sz="4" w:space="0"/>
            </w:tcBorders>
            <w:vAlign w:val="center"/>
          </w:tcPr>
          <w:p w14:paraId="6101159F">
            <w:pPr>
              <w:jc w:val="center"/>
              <w:rPr>
                <w:rFonts w:ascii="仿宋" w:hAnsi="仿宋" w:eastAsia="仿宋" w:cs="Times New Roman"/>
                <w:b/>
                <w:bCs/>
                <w:kern w:val="0"/>
                <w:sz w:val="24"/>
                <w:szCs w:val="24"/>
              </w:rPr>
            </w:pPr>
            <w:r>
              <w:rPr>
                <w:rFonts w:hint="eastAsia" w:ascii="仿宋" w:hAnsi="仿宋" w:eastAsia="仿宋" w:cs="Times New Roman"/>
                <w:b/>
                <w:bCs/>
                <w:kern w:val="0"/>
                <w:sz w:val="24"/>
                <w:szCs w:val="24"/>
              </w:rPr>
              <w:t>项目预算</w:t>
            </w:r>
          </w:p>
        </w:tc>
        <w:tc>
          <w:tcPr>
            <w:tcW w:w="1034" w:type="dxa"/>
            <w:tcBorders>
              <w:top w:val="single" w:color="auto" w:sz="4" w:space="0"/>
              <w:left w:val="single" w:color="auto" w:sz="4" w:space="0"/>
              <w:bottom w:val="single" w:color="auto" w:sz="4" w:space="0"/>
              <w:right w:val="single" w:color="auto" w:sz="4" w:space="0"/>
            </w:tcBorders>
            <w:vAlign w:val="center"/>
          </w:tcPr>
          <w:p w14:paraId="2986C70F">
            <w:pPr>
              <w:jc w:val="center"/>
              <w:rPr>
                <w:rFonts w:ascii="仿宋" w:hAnsi="仿宋" w:eastAsia="仿宋" w:cs="Times New Roman"/>
                <w:b/>
                <w:bCs/>
                <w:kern w:val="0"/>
                <w:sz w:val="24"/>
                <w:szCs w:val="24"/>
              </w:rPr>
            </w:pPr>
            <w:r>
              <w:rPr>
                <w:rFonts w:hint="eastAsia" w:ascii="仿宋" w:hAnsi="仿宋" w:eastAsia="仿宋" w:cs="Times New Roman"/>
                <w:b/>
                <w:bCs/>
                <w:kern w:val="0"/>
                <w:sz w:val="24"/>
                <w:szCs w:val="24"/>
              </w:rPr>
              <w:t>中标/成交人</w:t>
            </w:r>
          </w:p>
        </w:tc>
        <w:tc>
          <w:tcPr>
            <w:tcW w:w="1139" w:type="dxa"/>
            <w:tcBorders>
              <w:top w:val="single" w:color="auto" w:sz="4" w:space="0"/>
              <w:left w:val="single" w:color="auto" w:sz="4" w:space="0"/>
              <w:bottom w:val="single" w:color="auto" w:sz="4" w:space="0"/>
              <w:right w:val="single" w:color="auto" w:sz="4" w:space="0"/>
            </w:tcBorders>
            <w:vAlign w:val="center"/>
          </w:tcPr>
          <w:p w14:paraId="5A6F135A">
            <w:pPr>
              <w:jc w:val="center"/>
              <w:rPr>
                <w:rFonts w:ascii="仿宋" w:hAnsi="仿宋" w:eastAsia="仿宋" w:cs="Times New Roman"/>
                <w:b/>
                <w:bCs/>
                <w:kern w:val="0"/>
                <w:sz w:val="24"/>
                <w:szCs w:val="24"/>
              </w:rPr>
            </w:pPr>
            <w:r>
              <w:rPr>
                <w:rFonts w:hint="eastAsia" w:ascii="仿宋" w:hAnsi="仿宋" w:eastAsia="仿宋" w:cs="Times New Roman"/>
                <w:b/>
                <w:bCs/>
                <w:kern w:val="0"/>
                <w:sz w:val="24"/>
                <w:szCs w:val="24"/>
              </w:rPr>
              <w:t>中标/成交价</w:t>
            </w:r>
          </w:p>
        </w:tc>
        <w:tc>
          <w:tcPr>
            <w:tcW w:w="1139" w:type="dxa"/>
            <w:tcBorders>
              <w:top w:val="single" w:color="auto" w:sz="4" w:space="0"/>
              <w:left w:val="single" w:color="auto" w:sz="4" w:space="0"/>
              <w:bottom w:val="single" w:color="auto" w:sz="4" w:space="0"/>
              <w:right w:val="single" w:color="auto" w:sz="4" w:space="0"/>
            </w:tcBorders>
            <w:vAlign w:val="center"/>
          </w:tcPr>
          <w:p w14:paraId="5578634B">
            <w:pPr>
              <w:jc w:val="center"/>
              <w:rPr>
                <w:rFonts w:ascii="仿宋" w:hAnsi="仿宋" w:eastAsia="仿宋" w:cs="Times New Roman"/>
                <w:b/>
                <w:bCs/>
                <w:kern w:val="0"/>
                <w:sz w:val="24"/>
                <w:szCs w:val="24"/>
              </w:rPr>
            </w:pPr>
            <w:r>
              <w:rPr>
                <w:rFonts w:hint="eastAsia" w:ascii="仿宋" w:hAnsi="仿宋" w:eastAsia="仿宋" w:cs="Times New Roman"/>
                <w:b/>
                <w:bCs/>
                <w:kern w:val="0"/>
                <w:sz w:val="24"/>
                <w:szCs w:val="24"/>
              </w:rPr>
              <w:t>中标内容</w:t>
            </w:r>
          </w:p>
        </w:tc>
      </w:tr>
      <w:tr w14:paraId="109B56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7E72019D">
            <w:pPr>
              <w:jc w:val="center"/>
              <w:rPr>
                <w:rFonts w:ascii="仿宋" w:hAnsi="仿宋" w:eastAsia="仿宋" w:cs="Times New Roman"/>
                <w:kern w:val="0"/>
                <w:sz w:val="24"/>
                <w:szCs w:val="24"/>
              </w:rPr>
            </w:pPr>
          </w:p>
        </w:tc>
        <w:tc>
          <w:tcPr>
            <w:tcW w:w="1204" w:type="dxa"/>
            <w:tcBorders>
              <w:top w:val="single" w:color="auto" w:sz="4" w:space="0"/>
              <w:left w:val="single" w:color="auto" w:sz="4" w:space="0"/>
              <w:bottom w:val="single" w:color="auto" w:sz="4" w:space="0"/>
              <w:right w:val="single" w:color="auto" w:sz="4" w:space="0"/>
            </w:tcBorders>
            <w:vAlign w:val="center"/>
          </w:tcPr>
          <w:p w14:paraId="19DF6BA6">
            <w:pPr>
              <w:jc w:val="center"/>
              <w:rPr>
                <w:rFonts w:ascii="仿宋" w:hAnsi="仿宋" w:eastAsia="仿宋" w:cs="Times New Roman"/>
                <w:kern w:val="0"/>
                <w:sz w:val="24"/>
                <w:szCs w:val="24"/>
              </w:rPr>
            </w:pPr>
          </w:p>
        </w:tc>
        <w:tc>
          <w:tcPr>
            <w:tcW w:w="1326" w:type="dxa"/>
            <w:tcBorders>
              <w:top w:val="single" w:color="auto" w:sz="4" w:space="0"/>
              <w:left w:val="single" w:color="auto" w:sz="4" w:space="0"/>
              <w:bottom w:val="single" w:color="auto" w:sz="4" w:space="0"/>
              <w:right w:val="single" w:color="auto" w:sz="4" w:space="0"/>
            </w:tcBorders>
            <w:vAlign w:val="center"/>
          </w:tcPr>
          <w:p w14:paraId="5A87BBD4">
            <w:pPr>
              <w:jc w:val="center"/>
              <w:rPr>
                <w:rFonts w:ascii="仿宋" w:hAnsi="仿宋" w:eastAsia="仿宋" w:cs="Times New Roman"/>
                <w:kern w:val="0"/>
                <w:sz w:val="24"/>
                <w:szCs w:val="24"/>
              </w:rPr>
            </w:pPr>
          </w:p>
        </w:tc>
        <w:tc>
          <w:tcPr>
            <w:tcW w:w="1243" w:type="dxa"/>
            <w:tcBorders>
              <w:top w:val="single" w:color="auto" w:sz="4" w:space="0"/>
              <w:left w:val="single" w:color="auto" w:sz="4" w:space="0"/>
              <w:bottom w:val="single" w:color="auto" w:sz="4" w:space="0"/>
              <w:right w:val="single" w:color="auto" w:sz="4" w:space="0"/>
            </w:tcBorders>
            <w:vAlign w:val="center"/>
          </w:tcPr>
          <w:p w14:paraId="2971B340">
            <w:pPr>
              <w:jc w:val="center"/>
              <w:rPr>
                <w:rFonts w:ascii="仿宋" w:hAnsi="仿宋" w:eastAsia="仿宋" w:cs="Times New Roman"/>
                <w:kern w:val="0"/>
                <w:sz w:val="24"/>
                <w:szCs w:val="24"/>
              </w:rPr>
            </w:pPr>
          </w:p>
        </w:tc>
        <w:tc>
          <w:tcPr>
            <w:tcW w:w="1034" w:type="dxa"/>
            <w:tcBorders>
              <w:top w:val="single" w:color="auto" w:sz="4" w:space="0"/>
              <w:left w:val="single" w:color="auto" w:sz="4" w:space="0"/>
              <w:bottom w:val="single" w:color="auto" w:sz="4" w:space="0"/>
              <w:right w:val="single" w:color="auto" w:sz="4" w:space="0"/>
            </w:tcBorders>
            <w:vAlign w:val="center"/>
          </w:tcPr>
          <w:p w14:paraId="25233A25">
            <w:pPr>
              <w:jc w:val="center"/>
              <w:rPr>
                <w:rFonts w:ascii="仿宋" w:hAnsi="仿宋" w:eastAsia="仿宋" w:cs="Times New Roman"/>
                <w:kern w:val="0"/>
                <w:sz w:val="24"/>
                <w:szCs w:val="24"/>
              </w:rPr>
            </w:pPr>
          </w:p>
        </w:tc>
        <w:tc>
          <w:tcPr>
            <w:tcW w:w="1139" w:type="dxa"/>
            <w:tcBorders>
              <w:top w:val="single" w:color="auto" w:sz="4" w:space="0"/>
              <w:left w:val="single" w:color="auto" w:sz="4" w:space="0"/>
              <w:bottom w:val="single" w:color="auto" w:sz="4" w:space="0"/>
              <w:right w:val="single" w:color="auto" w:sz="4" w:space="0"/>
            </w:tcBorders>
            <w:vAlign w:val="center"/>
          </w:tcPr>
          <w:p w14:paraId="353587D0">
            <w:pPr>
              <w:jc w:val="center"/>
              <w:rPr>
                <w:rFonts w:ascii="仿宋" w:hAnsi="仿宋" w:eastAsia="仿宋" w:cs="Times New Roman"/>
                <w:kern w:val="0"/>
                <w:sz w:val="24"/>
                <w:szCs w:val="24"/>
              </w:rPr>
            </w:pPr>
          </w:p>
        </w:tc>
        <w:tc>
          <w:tcPr>
            <w:tcW w:w="1139" w:type="dxa"/>
            <w:tcBorders>
              <w:top w:val="single" w:color="auto" w:sz="4" w:space="0"/>
              <w:left w:val="single" w:color="auto" w:sz="4" w:space="0"/>
              <w:bottom w:val="single" w:color="auto" w:sz="4" w:space="0"/>
              <w:right w:val="single" w:color="auto" w:sz="4" w:space="0"/>
            </w:tcBorders>
            <w:vAlign w:val="center"/>
          </w:tcPr>
          <w:p w14:paraId="17A16BA2">
            <w:pPr>
              <w:jc w:val="center"/>
              <w:rPr>
                <w:rFonts w:ascii="仿宋" w:hAnsi="仿宋" w:eastAsia="仿宋" w:cs="Times New Roman"/>
                <w:kern w:val="0"/>
                <w:sz w:val="24"/>
                <w:szCs w:val="24"/>
              </w:rPr>
            </w:pPr>
          </w:p>
        </w:tc>
      </w:tr>
      <w:tr w14:paraId="4F317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8"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19EB274E">
            <w:pPr>
              <w:jc w:val="center"/>
              <w:rPr>
                <w:rFonts w:ascii="仿宋" w:hAnsi="仿宋" w:eastAsia="仿宋" w:cs="Times New Roman"/>
                <w:kern w:val="0"/>
                <w:sz w:val="24"/>
                <w:szCs w:val="24"/>
              </w:rPr>
            </w:pPr>
          </w:p>
        </w:tc>
        <w:tc>
          <w:tcPr>
            <w:tcW w:w="1204" w:type="dxa"/>
            <w:tcBorders>
              <w:top w:val="single" w:color="auto" w:sz="4" w:space="0"/>
              <w:left w:val="single" w:color="auto" w:sz="4" w:space="0"/>
              <w:bottom w:val="single" w:color="auto" w:sz="4" w:space="0"/>
              <w:right w:val="single" w:color="auto" w:sz="4" w:space="0"/>
            </w:tcBorders>
            <w:vAlign w:val="center"/>
          </w:tcPr>
          <w:p w14:paraId="4F54CC94">
            <w:pPr>
              <w:jc w:val="center"/>
              <w:rPr>
                <w:rFonts w:ascii="仿宋" w:hAnsi="仿宋" w:eastAsia="仿宋" w:cs="Times New Roman"/>
                <w:kern w:val="0"/>
                <w:sz w:val="24"/>
                <w:szCs w:val="24"/>
              </w:rPr>
            </w:pPr>
          </w:p>
        </w:tc>
        <w:tc>
          <w:tcPr>
            <w:tcW w:w="1326" w:type="dxa"/>
            <w:tcBorders>
              <w:top w:val="single" w:color="auto" w:sz="4" w:space="0"/>
              <w:left w:val="single" w:color="auto" w:sz="4" w:space="0"/>
              <w:bottom w:val="single" w:color="auto" w:sz="4" w:space="0"/>
              <w:right w:val="single" w:color="auto" w:sz="4" w:space="0"/>
            </w:tcBorders>
            <w:vAlign w:val="center"/>
          </w:tcPr>
          <w:p w14:paraId="4C08E880">
            <w:pPr>
              <w:jc w:val="center"/>
              <w:rPr>
                <w:rFonts w:ascii="仿宋" w:hAnsi="仿宋" w:eastAsia="仿宋" w:cs="Times New Roman"/>
                <w:kern w:val="0"/>
                <w:sz w:val="24"/>
                <w:szCs w:val="24"/>
              </w:rPr>
            </w:pPr>
          </w:p>
        </w:tc>
        <w:tc>
          <w:tcPr>
            <w:tcW w:w="1243" w:type="dxa"/>
            <w:tcBorders>
              <w:top w:val="single" w:color="auto" w:sz="4" w:space="0"/>
              <w:left w:val="single" w:color="auto" w:sz="4" w:space="0"/>
              <w:bottom w:val="single" w:color="auto" w:sz="4" w:space="0"/>
              <w:right w:val="single" w:color="auto" w:sz="4" w:space="0"/>
            </w:tcBorders>
            <w:vAlign w:val="center"/>
          </w:tcPr>
          <w:p w14:paraId="78351957">
            <w:pPr>
              <w:jc w:val="center"/>
              <w:rPr>
                <w:rFonts w:ascii="仿宋" w:hAnsi="仿宋" w:eastAsia="仿宋" w:cs="Times New Roman"/>
                <w:kern w:val="0"/>
                <w:sz w:val="24"/>
                <w:szCs w:val="24"/>
              </w:rPr>
            </w:pPr>
          </w:p>
        </w:tc>
        <w:tc>
          <w:tcPr>
            <w:tcW w:w="1034" w:type="dxa"/>
            <w:tcBorders>
              <w:top w:val="single" w:color="auto" w:sz="4" w:space="0"/>
              <w:left w:val="single" w:color="auto" w:sz="4" w:space="0"/>
              <w:bottom w:val="single" w:color="auto" w:sz="4" w:space="0"/>
              <w:right w:val="single" w:color="auto" w:sz="4" w:space="0"/>
            </w:tcBorders>
            <w:vAlign w:val="center"/>
          </w:tcPr>
          <w:p w14:paraId="41F3381E">
            <w:pPr>
              <w:jc w:val="center"/>
              <w:rPr>
                <w:rFonts w:ascii="仿宋" w:hAnsi="仿宋" w:eastAsia="仿宋" w:cs="Times New Roman"/>
                <w:kern w:val="0"/>
                <w:sz w:val="24"/>
                <w:szCs w:val="24"/>
              </w:rPr>
            </w:pPr>
          </w:p>
        </w:tc>
        <w:tc>
          <w:tcPr>
            <w:tcW w:w="1139" w:type="dxa"/>
            <w:tcBorders>
              <w:top w:val="single" w:color="auto" w:sz="4" w:space="0"/>
              <w:left w:val="single" w:color="auto" w:sz="4" w:space="0"/>
              <w:bottom w:val="single" w:color="auto" w:sz="4" w:space="0"/>
              <w:right w:val="single" w:color="auto" w:sz="4" w:space="0"/>
            </w:tcBorders>
            <w:vAlign w:val="center"/>
          </w:tcPr>
          <w:p w14:paraId="57282427">
            <w:pPr>
              <w:jc w:val="center"/>
              <w:rPr>
                <w:rFonts w:ascii="仿宋" w:hAnsi="仿宋" w:eastAsia="仿宋" w:cs="Times New Roman"/>
                <w:kern w:val="0"/>
                <w:sz w:val="24"/>
                <w:szCs w:val="24"/>
              </w:rPr>
            </w:pPr>
          </w:p>
        </w:tc>
        <w:tc>
          <w:tcPr>
            <w:tcW w:w="1139" w:type="dxa"/>
            <w:tcBorders>
              <w:top w:val="single" w:color="auto" w:sz="4" w:space="0"/>
              <w:left w:val="single" w:color="auto" w:sz="4" w:space="0"/>
              <w:bottom w:val="single" w:color="auto" w:sz="4" w:space="0"/>
              <w:right w:val="single" w:color="auto" w:sz="4" w:space="0"/>
            </w:tcBorders>
            <w:vAlign w:val="center"/>
          </w:tcPr>
          <w:p w14:paraId="7A9FE578">
            <w:pPr>
              <w:jc w:val="center"/>
              <w:rPr>
                <w:rFonts w:ascii="仿宋" w:hAnsi="仿宋" w:eastAsia="仿宋" w:cs="Times New Roman"/>
                <w:kern w:val="0"/>
                <w:sz w:val="24"/>
                <w:szCs w:val="24"/>
              </w:rPr>
            </w:pPr>
          </w:p>
        </w:tc>
      </w:tr>
      <w:tr w14:paraId="7A898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4" w:hRule="atLeast"/>
          <w:jc w:val="center"/>
        </w:trPr>
        <w:tc>
          <w:tcPr>
            <w:tcW w:w="884" w:type="dxa"/>
            <w:tcBorders>
              <w:top w:val="single" w:color="auto" w:sz="4" w:space="0"/>
              <w:left w:val="single" w:color="auto" w:sz="4" w:space="0"/>
              <w:bottom w:val="single" w:color="auto" w:sz="4" w:space="0"/>
              <w:right w:val="single" w:color="auto" w:sz="4" w:space="0"/>
            </w:tcBorders>
            <w:vAlign w:val="center"/>
          </w:tcPr>
          <w:p w14:paraId="67C4618F">
            <w:pPr>
              <w:jc w:val="center"/>
              <w:rPr>
                <w:rFonts w:ascii="仿宋" w:hAnsi="仿宋" w:eastAsia="仿宋" w:cs="Times New Roman"/>
                <w:kern w:val="0"/>
                <w:sz w:val="24"/>
                <w:szCs w:val="24"/>
              </w:rPr>
            </w:pPr>
          </w:p>
        </w:tc>
        <w:tc>
          <w:tcPr>
            <w:tcW w:w="1204" w:type="dxa"/>
            <w:tcBorders>
              <w:top w:val="single" w:color="auto" w:sz="4" w:space="0"/>
              <w:left w:val="single" w:color="auto" w:sz="4" w:space="0"/>
              <w:bottom w:val="single" w:color="auto" w:sz="4" w:space="0"/>
              <w:right w:val="single" w:color="auto" w:sz="4" w:space="0"/>
            </w:tcBorders>
            <w:vAlign w:val="center"/>
          </w:tcPr>
          <w:p w14:paraId="113CEAE5">
            <w:pPr>
              <w:jc w:val="center"/>
              <w:rPr>
                <w:rFonts w:ascii="仿宋" w:hAnsi="仿宋" w:eastAsia="仿宋" w:cs="Times New Roman"/>
                <w:kern w:val="0"/>
                <w:sz w:val="24"/>
                <w:szCs w:val="24"/>
              </w:rPr>
            </w:pPr>
          </w:p>
        </w:tc>
        <w:tc>
          <w:tcPr>
            <w:tcW w:w="1326" w:type="dxa"/>
            <w:tcBorders>
              <w:top w:val="single" w:color="auto" w:sz="4" w:space="0"/>
              <w:left w:val="single" w:color="auto" w:sz="4" w:space="0"/>
              <w:bottom w:val="single" w:color="auto" w:sz="4" w:space="0"/>
              <w:right w:val="single" w:color="auto" w:sz="4" w:space="0"/>
            </w:tcBorders>
            <w:vAlign w:val="center"/>
          </w:tcPr>
          <w:p w14:paraId="1A234032">
            <w:pPr>
              <w:jc w:val="center"/>
              <w:rPr>
                <w:rFonts w:ascii="仿宋" w:hAnsi="仿宋" w:eastAsia="仿宋" w:cs="Times New Roman"/>
                <w:kern w:val="0"/>
                <w:sz w:val="24"/>
                <w:szCs w:val="24"/>
              </w:rPr>
            </w:pPr>
          </w:p>
        </w:tc>
        <w:tc>
          <w:tcPr>
            <w:tcW w:w="1243" w:type="dxa"/>
            <w:tcBorders>
              <w:top w:val="single" w:color="auto" w:sz="4" w:space="0"/>
              <w:left w:val="single" w:color="auto" w:sz="4" w:space="0"/>
              <w:bottom w:val="single" w:color="auto" w:sz="4" w:space="0"/>
              <w:right w:val="single" w:color="auto" w:sz="4" w:space="0"/>
            </w:tcBorders>
            <w:vAlign w:val="center"/>
          </w:tcPr>
          <w:p w14:paraId="7308B9B0">
            <w:pPr>
              <w:jc w:val="center"/>
              <w:rPr>
                <w:rFonts w:ascii="仿宋" w:hAnsi="仿宋" w:eastAsia="仿宋" w:cs="Times New Roman"/>
                <w:kern w:val="0"/>
                <w:sz w:val="24"/>
                <w:szCs w:val="24"/>
              </w:rPr>
            </w:pPr>
          </w:p>
        </w:tc>
        <w:tc>
          <w:tcPr>
            <w:tcW w:w="1034" w:type="dxa"/>
            <w:tcBorders>
              <w:top w:val="single" w:color="auto" w:sz="4" w:space="0"/>
              <w:left w:val="single" w:color="auto" w:sz="4" w:space="0"/>
              <w:bottom w:val="single" w:color="auto" w:sz="4" w:space="0"/>
              <w:right w:val="single" w:color="auto" w:sz="4" w:space="0"/>
            </w:tcBorders>
            <w:vAlign w:val="center"/>
          </w:tcPr>
          <w:p w14:paraId="54B8C785">
            <w:pPr>
              <w:jc w:val="center"/>
              <w:rPr>
                <w:rFonts w:ascii="仿宋" w:hAnsi="仿宋" w:eastAsia="仿宋" w:cs="Times New Roman"/>
                <w:kern w:val="0"/>
                <w:sz w:val="24"/>
                <w:szCs w:val="24"/>
              </w:rPr>
            </w:pPr>
          </w:p>
        </w:tc>
        <w:tc>
          <w:tcPr>
            <w:tcW w:w="1139" w:type="dxa"/>
            <w:tcBorders>
              <w:top w:val="single" w:color="auto" w:sz="4" w:space="0"/>
              <w:left w:val="single" w:color="auto" w:sz="4" w:space="0"/>
              <w:bottom w:val="single" w:color="auto" w:sz="4" w:space="0"/>
              <w:right w:val="single" w:color="auto" w:sz="4" w:space="0"/>
            </w:tcBorders>
            <w:vAlign w:val="center"/>
          </w:tcPr>
          <w:p w14:paraId="28DE5F75">
            <w:pPr>
              <w:jc w:val="center"/>
              <w:rPr>
                <w:rFonts w:ascii="仿宋" w:hAnsi="仿宋" w:eastAsia="仿宋" w:cs="Times New Roman"/>
                <w:kern w:val="0"/>
                <w:sz w:val="24"/>
                <w:szCs w:val="24"/>
              </w:rPr>
            </w:pPr>
          </w:p>
        </w:tc>
        <w:tc>
          <w:tcPr>
            <w:tcW w:w="1139" w:type="dxa"/>
            <w:tcBorders>
              <w:top w:val="single" w:color="auto" w:sz="4" w:space="0"/>
              <w:left w:val="single" w:color="auto" w:sz="4" w:space="0"/>
              <w:bottom w:val="single" w:color="auto" w:sz="4" w:space="0"/>
              <w:right w:val="single" w:color="auto" w:sz="4" w:space="0"/>
            </w:tcBorders>
            <w:vAlign w:val="center"/>
          </w:tcPr>
          <w:p w14:paraId="7591DCE8">
            <w:pPr>
              <w:jc w:val="center"/>
              <w:rPr>
                <w:rFonts w:ascii="仿宋" w:hAnsi="仿宋" w:eastAsia="仿宋" w:cs="Times New Roman"/>
                <w:kern w:val="0"/>
                <w:sz w:val="24"/>
                <w:szCs w:val="24"/>
              </w:rPr>
            </w:pPr>
          </w:p>
        </w:tc>
      </w:tr>
    </w:tbl>
    <w:p w14:paraId="077DA307">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注：供应商应针对本项目的工作内容提供同类项目的</w:t>
      </w:r>
      <w:r>
        <w:rPr>
          <w:rFonts w:hint="eastAsia" w:ascii="仿宋" w:hAnsi="仿宋" w:eastAsia="仿宋" w:cs="宋体"/>
          <w:sz w:val="28"/>
          <w:szCs w:val="28"/>
        </w:rPr>
        <w:t>成交价格信息，如有应列表并附上相关</w:t>
      </w:r>
      <w:r>
        <w:rPr>
          <w:rFonts w:hint="eastAsia" w:ascii="仿宋" w:hAnsi="仿宋" w:eastAsia="仿宋" w:cs="宋体"/>
          <w:kern w:val="0"/>
          <w:sz w:val="28"/>
          <w:szCs w:val="28"/>
        </w:rPr>
        <w:t>合同等材料（如有）。</w:t>
      </w:r>
    </w:p>
    <w:p w14:paraId="348A7A44">
      <w:pPr>
        <w:pStyle w:val="4"/>
        <w:ind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4DB1A8C9">
      <w:pPr>
        <w:pStyle w:val="4"/>
        <w:ind w:firstLine="0" w:firstLineChars="0"/>
        <w:rPr>
          <w:rFonts w:ascii="仿宋" w:hAnsi="仿宋" w:eastAsia="仿宋" w:cs="宋体"/>
          <w:sz w:val="28"/>
          <w:szCs w:val="28"/>
        </w:rPr>
      </w:pPr>
      <w:r>
        <w:rPr>
          <w:rFonts w:hint="eastAsia" w:ascii="仿宋" w:hAnsi="仿宋" w:eastAsia="仿宋" w:cs="宋体"/>
          <w:sz w:val="28"/>
          <w:szCs w:val="28"/>
        </w:rPr>
        <w:t xml:space="preserve"> </w:t>
      </w:r>
    </w:p>
    <w:p w14:paraId="5BD0EFE4">
      <w:pPr>
        <w:widowControl/>
        <w:spacing w:after="150" w:line="360" w:lineRule="auto"/>
        <w:ind w:firstLine="420"/>
        <w:jc w:val="right"/>
        <w:rPr>
          <w:rFonts w:ascii="仿宋" w:hAnsi="仿宋" w:eastAsia="仿宋"/>
          <w:kern w:val="0"/>
          <w:sz w:val="28"/>
          <w:szCs w:val="28"/>
        </w:rPr>
      </w:pPr>
      <w:r>
        <w:rPr>
          <w:rFonts w:hint="eastAsia" w:ascii="仿宋" w:hAnsi="仿宋" w:eastAsia="仿宋" w:cs="宋体"/>
          <w:sz w:val="28"/>
          <w:szCs w:val="28"/>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560C42AD">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1361E131">
      <w:pPr>
        <w:pStyle w:val="4"/>
        <w:ind w:firstLine="0" w:firstLineChars="0"/>
        <w:rPr>
          <w:rFonts w:ascii="仿宋" w:hAnsi="仿宋" w:eastAsia="仿宋" w:cs="宋体"/>
          <w:sz w:val="28"/>
          <w:szCs w:val="28"/>
        </w:rPr>
      </w:pPr>
    </w:p>
    <w:p w14:paraId="016BF276">
      <w:pPr>
        <w:pStyle w:val="4"/>
        <w:ind w:firstLine="0" w:firstLineChars="0"/>
        <w:rPr>
          <w:rFonts w:ascii="仿宋" w:hAnsi="仿宋" w:eastAsia="仿宋" w:cs="宋体"/>
          <w:kern w:val="0"/>
          <w:sz w:val="28"/>
          <w:szCs w:val="28"/>
        </w:rPr>
      </w:pPr>
      <w:r>
        <w:rPr>
          <w:rFonts w:hint="eastAsia" w:ascii="仿宋" w:hAnsi="仿宋" w:eastAsia="仿宋" w:cs="宋体"/>
          <w:kern w:val="0"/>
          <w:sz w:val="28"/>
          <w:szCs w:val="28"/>
        </w:rPr>
        <w:t xml:space="preserve"> </w:t>
      </w:r>
    </w:p>
    <w:p w14:paraId="006FD9F8">
      <w:pPr>
        <w:pStyle w:val="4"/>
        <w:ind w:firstLine="0" w:firstLineChars="0"/>
        <w:rPr>
          <w:rFonts w:ascii="仿宋" w:hAnsi="仿宋" w:eastAsia="仿宋" w:cs="宋体"/>
          <w:kern w:val="0"/>
          <w:sz w:val="28"/>
          <w:szCs w:val="28"/>
        </w:rPr>
      </w:pPr>
    </w:p>
    <w:p w14:paraId="28812B0A">
      <w:pPr>
        <w:pStyle w:val="4"/>
        <w:ind w:firstLine="0" w:firstLineChars="0"/>
        <w:rPr>
          <w:rFonts w:ascii="仿宋" w:hAnsi="仿宋" w:eastAsia="仿宋" w:cs="宋体"/>
          <w:b/>
          <w:bCs/>
          <w:kern w:val="0"/>
          <w:sz w:val="28"/>
          <w:szCs w:val="28"/>
        </w:rPr>
      </w:pPr>
      <w:r>
        <w:rPr>
          <w:rFonts w:hint="eastAsia" w:ascii="仿宋" w:hAnsi="仿宋" w:eastAsia="仿宋" w:cs="宋体"/>
          <w:kern w:val="0"/>
          <w:sz w:val="28"/>
          <w:szCs w:val="28"/>
        </w:rPr>
        <w:t xml:space="preserve"> </w:t>
      </w:r>
      <w:r>
        <w:rPr>
          <w:rFonts w:hint="eastAsia" w:ascii="仿宋" w:hAnsi="仿宋" w:eastAsia="仿宋" w:cs="宋体"/>
          <w:b/>
          <w:bCs/>
          <w:kern w:val="0"/>
          <w:sz w:val="28"/>
          <w:szCs w:val="28"/>
        </w:rPr>
        <w:t>表5</w:t>
      </w:r>
    </w:p>
    <w:p w14:paraId="387219A4">
      <w:pPr>
        <w:pStyle w:val="4"/>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 xml:space="preserve">后续采购情况 </w:t>
      </w:r>
    </w:p>
    <w:p w14:paraId="62B218FF">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致：广州医科大学附属第三医院白云分院/广东广招国际招标有限公司</w:t>
      </w:r>
    </w:p>
    <w:p w14:paraId="57AE4464">
      <w:pPr>
        <w:ind w:firstLine="280" w:firstLineChars="100"/>
        <w:rPr>
          <w:rFonts w:ascii="仿宋" w:hAnsi="仿宋" w:eastAsia="仿宋" w:cs="宋体"/>
          <w:kern w:val="0"/>
          <w:sz w:val="28"/>
          <w:szCs w:val="28"/>
        </w:rPr>
      </w:pPr>
      <w:r>
        <w:rPr>
          <w:rFonts w:hint="eastAsia" w:ascii="仿宋" w:hAnsi="仿宋" w:eastAsia="仿宋" w:cs="宋体"/>
          <w:kern w:val="0"/>
          <w:sz w:val="28"/>
          <w:szCs w:val="28"/>
        </w:rPr>
        <w:t>可能涉及的人员</w:t>
      </w:r>
      <w:r>
        <w:rPr>
          <w:rFonts w:ascii="仿宋" w:hAnsi="仿宋" w:eastAsia="仿宋" w:cs="宋体"/>
          <w:kern w:val="0"/>
          <w:sz w:val="28"/>
          <w:szCs w:val="28"/>
        </w:rPr>
        <w:t>、设备运行维护、</w:t>
      </w:r>
      <w:r>
        <w:rPr>
          <w:rFonts w:hint="eastAsia" w:ascii="仿宋" w:hAnsi="仿宋" w:eastAsia="仿宋" w:cs="宋体"/>
          <w:kern w:val="0"/>
          <w:sz w:val="28"/>
          <w:szCs w:val="28"/>
        </w:rPr>
        <w:t>升级更新、、易损件维修/更换等情况：</w:t>
      </w:r>
    </w:p>
    <w:p w14:paraId="33014A1E">
      <w:pPr>
        <w:pStyle w:val="4"/>
        <w:ind w:firstLine="0" w:firstLineChars="0"/>
        <w:rPr>
          <w:rFonts w:ascii="仿宋" w:hAnsi="仿宋" w:eastAsia="仿宋"/>
          <w:kern w:val="0"/>
          <w:sz w:val="24"/>
          <w:szCs w:val="24"/>
        </w:rPr>
      </w:pPr>
    </w:p>
    <w:p w14:paraId="721F0843">
      <w:pPr>
        <w:pStyle w:val="4"/>
        <w:ind w:firstLine="0" w:firstLineChars="0"/>
        <w:rPr>
          <w:rFonts w:ascii="仿宋" w:hAnsi="仿宋" w:eastAsia="仿宋"/>
          <w:kern w:val="0"/>
          <w:sz w:val="24"/>
          <w:szCs w:val="24"/>
        </w:rPr>
      </w:pPr>
    </w:p>
    <w:p w14:paraId="11DFF716">
      <w:pPr>
        <w:pStyle w:val="4"/>
        <w:ind w:firstLine="0" w:firstLineChars="0"/>
        <w:rPr>
          <w:rFonts w:ascii="仿宋" w:hAnsi="仿宋" w:eastAsia="仿宋"/>
          <w:kern w:val="0"/>
          <w:sz w:val="24"/>
          <w:szCs w:val="24"/>
        </w:rPr>
      </w:pPr>
      <w:r>
        <w:rPr>
          <w:rFonts w:hint="eastAsia" w:ascii="仿宋" w:hAnsi="仿宋" w:eastAsia="仿宋"/>
          <w:kern w:val="0"/>
          <w:sz w:val="24"/>
          <w:szCs w:val="24"/>
        </w:rPr>
        <w:t>注：供应商应针对本项目提供可能涉及的运行维护</w:t>
      </w:r>
      <w:r>
        <w:rPr>
          <w:rFonts w:ascii="仿宋" w:hAnsi="仿宋" w:eastAsia="仿宋"/>
          <w:kern w:val="0"/>
          <w:sz w:val="24"/>
          <w:szCs w:val="24"/>
        </w:rPr>
        <w:t>、</w:t>
      </w:r>
      <w:r>
        <w:rPr>
          <w:rFonts w:hint="eastAsia" w:ascii="仿宋" w:hAnsi="仿宋" w:eastAsia="仿宋"/>
          <w:kern w:val="0"/>
          <w:sz w:val="24"/>
          <w:szCs w:val="24"/>
        </w:rPr>
        <w:t>升级更新、备品备件、劳保用品等后续采购情况说明，可自行增加行数进行详细说明，附件相关佐证材料（如有）。</w:t>
      </w:r>
    </w:p>
    <w:p w14:paraId="5B37DD59">
      <w:pPr>
        <w:pStyle w:val="4"/>
        <w:ind w:firstLine="0" w:firstLineChars="0"/>
        <w:jc w:val="center"/>
        <w:rPr>
          <w:rFonts w:ascii="仿宋" w:hAnsi="仿宋" w:eastAsia="仿宋" w:cs="宋体"/>
          <w:b/>
          <w:bCs/>
          <w:sz w:val="36"/>
          <w:szCs w:val="36"/>
        </w:rPr>
      </w:pPr>
      <w:r>
        <w:rPr>
          <w:rFonts w:hint="eastAsia" w:ascii="仿宋" w:hAnsi="仿宋" w:eastAsia="仿宋" w:cs="宋体"/>
          <w:b/>
          <w:bCs/>
          <w:sz w:val="36"/>
          <w:szCs w:val="36"/>
        </w:rPr>
        <w:t xml:space="preserve"> </w:t>
      </w:r>
    </w:p>
    <w:p w14:paraId="4C61F05A">
      <w:pPr>
        <w:pStyle w:val="4"/>
        <w:ind w:firstLine="0" w:firstLineChars="0"/>
        <w:jc w:val="center"/>
        <w:rPr>
          <w:rFonts w:ascii="仿宋" w:hAnsi="仿宋" w:eastAsia="仿宋" w:cs="宋体"/>
          <w:b/>
          <w:bCs/>
          <w:sz w:val="36"/>
          <w:szCs w:val="36"/>
        </w:rPr>
      </w:pPr>
      <w:r>
        <w:rPr>
          <w:rFonts w:hint="eastAsia" w:ascii="仿宋" w:hAnsi="仿宋" w:eastAsia="仿宋" w:cs="宋体"/>
          <w:b/>
          <w:bCs/>
          <w:sz w:val="36"/>
          <w:szCs w:val="36"/>
        </w:rPr>
        <w:t xml:space="preserve"> </w:t>
      </w:r>
    </w:p>
    <w:p w14:paraId="073F516C">
      <w:pPr>
        <w:widowControl/>
        <w:spacing w:after="150" w:line="360" w:lineRule="auto"/>
        <w:ind w:firstLine="420"/>
        <w:jc w:val="right"/>
        <w:rPr>
          <w:rFonts w:ascii="仿宋" w:hAnsi="仿宋" w:eastAsia="仿宋"/>
          <w:kern w:val="0"/>
          <w:sz w:val="28"/>
          <w:szCs w:val="28"/>
        </w:rPr>
      </w:pPr>
      <w:r>
        <w:rPr>
          <w:rFonts w:hint="eastAsia" w:ascii="仿宋" w:hAnsi="仿宋" w:eastAsia="仿宋" w:cs="宋体"/>
          <w:b/>
          <w:bCs/>
          <w:sz w:val="36"/>
          <w:szCs w:val="36"/>
        </w:rPr>
        <w:t xml:space="preserve"> </w:t>
      </w: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62E6FD2D">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7DFE5970">
      <w:pPr>
        <w:pStyle w:val="4"/>
        <w:ind w:firstLine="0" w:firstLineChars="0"/>
        <w:jc w:val="center"/>
        <w:rPr>
          <w:rFonts w:ascii="仿宋" w:hAnsi="仿宋" w:eastAsia="仿宋" w:cs="宋体"/>
          <w:b/>
          <w:bCs/>
          <w:sz w:val="36"/>
          <w:szCs w:val="36"/>
        </w:rPr>
      </w:pPr>
    </w:p>
    <w:p w14:paraId="593C906D">
      <w:pPr>
        <w:widowControl/>
        <w:spacing w:after="150" w:line="360" w:lineRule="auto"/>
        <w:ind w:firstLine="420"/>
        <w:jc w:val="right"/>
      </w:pPr>
      <w:r>
        <w:rPr>
          <w:rFonts w:hint="eastAsia" w:ascii="仿宋" w:hAnsi="仿宋" w:eastAsia="仿宋" w:cs="宋体"/>
          <w:b/>
          <w:bCs/>
          <w:sz w:val="36"/>
          <w:szCs w:val="36"/>
        </w:rPr>
        <w:t xml:space="preserve"> </w:t>
      </w:r>
    </w:p>
    <w:p w14:paraId="1AF61FE3">
      <w:pPr>
        <w:rPr>
          <w:rFonts w:ascii="仿宋" w:hAnsi="仿宋" w:eastAsia="仿宋" w:cs="宋体"/>
          <w:kern w:val="0"/>
          <w:sz w:val="28"/>
          <w:szCs w:val="28"/>
        </w:rPr>
      </w:pPr>
      <w:r>
        <w:rPr>
          <w:rFonts w:hint="eastAsia" w:ascii="仿宋" w:hAnsi="仿宋" w:eastAsia="仿宋" w:cs="宋体"/>
          <w:kern w:val="0"/>
          <w:sz w:val="28"/>
          <w:szCs w:val="28"/>
        </w:rPr>
        <w:br w:type="page"/>
      </w:r>
    </w:p>
    <w:p w14:paraId="716B7236">
      <w:pPr>
        <w:pStyle w:val="4"/>
        <w:ind w:firstLine="0" w:firstLineChars="0"/>
        <w:rPr>
          <w:rFonts w:ascii="仿宋" w:hAnsi="仿宋" w:eastAsia="仿宋" w:cs="宋体"/>
          <w:b/>
          <w:bCs/>
          <w:kern w:val="0"/>
          <w:sz w:val="28"/>
          <w:szCs w:val="28"/>
        </w:rPr>
      </w:pPr>
      <w:r>
        <w:rPr>
          <w:rFonts w:hint="eastAsia" w:ascii="仿宋" w:hAnsi="仿宋" w:eastAsia="仿宋" w:cs="宋体"/>
          <w:kern w:val="0"/>
          <w:sz w:val="28"/>
          <w:szCs w:val="28"/>
        </w:rPr>
        <w:t>表6</w:t>
      </w:r>
      <w:r>
        <w:rPr>
          <w:rFonts w:hint="eastAsia" w:ascii="仿宋" w:hAnsi="仿宋" w:eastAsia="仿宋" w:cs="宋体"/>
          <w:b/>
          <w:bCs/>
          <w:kern w:val="0"/>
          <w:sz w:val="28"/>
          <w:szCs w:val="28"/>
        </w:rPr>
        <w:t xml:space="preserve"> </w:t>
      </w:r>
    </w:p>
    <w:p w14:paraId="26DED521">
      <w:pPr>
        <w:pStyle w:val="4"/>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需求响应反馈情况</w:t>
      </w:r>
      <w:r>
        <w:rPr>
          <w:rFonts w:hint="eastAsia" w:ascii="仿宋" w:hAnsi="仿宋" w:eastAsia="仿宋" w:cs="宋体"/>
          <w:b/>
          <w:bCs/>
          <w:color w:val="FF0000"/>
          <w:sz w:val="36"/>
          <w:szCs w:val="36"/>
        </w:rPr>
        <w:t>（必填）</w:t>
      </w:r>
    </w:p>
    <w:p w14:paraId="369F1F4D">
      <w:pPr>
        <w:pStyle w:val="4"/>
        <w:ind w:firstLine="0" w:firstLineChars="0"/>
        <w:jc w:val="left"/>
        <w:rPr>
          <w:rFonts w:asciiTheme="minorEastAsia" w:hAnsiTheme="minorEastAsia" w:cstheme="minorEastAsia"/>
          <w:sz w:val="28"/>
          <w:szCs w:val="28"/>
        </w:rPr>
      </w:pPr>
      <w:r>
        <w:rPr>
          <w:rFonts w:hint="eastAsia" w:asciiTheme="minorEastAsia" w:hAnsiTheme="minorEastAsia" w:cstheme="minorEastAsia"/>
          <w:sz w:val="28"/>
          <w:szCs w:val="28"/>
        </w:rPr>
        <w:t>致：广州医科大学附属第三医院白云分院/广东广招国际招标有限公司</w:t>
      </w:r>
    </w:p>
    <w:tbl>
      <w:tblPr>
        <w:tblStyle w:val="14"/>
        <w:tblW w:w="96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6"/>
        <w:gridCol w:w="5097"/>
        <w:gridCol w:w="2575"/>
        <w:gridCol w:w="1240"/>
      </w:tblGrid>
      <w:tr w14:paraId="61370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0" w:hRule="atLeast"/>
        </w:trPr>
        <w:tc>
          <w:tcPr>
            <w:tcW w:w="746" w:type="dxa"/>
            <w:vAlign w:val="center"/>
          </w:tcPr>
          <w:p w14:paraId="7E98962E">
            <w:pPr>
              <w:jc w:val="center"/>
              <w:rPr>
                <w:rFonts w:ascii="仿宋" w:hAnsi="仿宋" w:eastAsia="仿宋" w:cs="Times New Roman"/>
                <w:kern w:val="0"/>
                <w:sz w:val="24"/>
                <w:szCs w:val="24"/>
              </w:rPr>
            </w:pPr>
            <w:r>
              <w:rPr>
                <w:rFonts w:hint="eastAsia" w:ascii="仿宋" w:hAnsi="仿宋" w:eastAsia="仿宋" w:cs="Times New Roman"/>
                <w:kern w:val="0"/>
                <w:sz w:val="24"/>
                <w:szCs w:val="24"/>
              </w:rPr>
              <w:t>序号</w:t>
            </w:r>
          </w:p>
        </w:tc>
        <w:tc>
          <w:tcPr>
            <w:tcW w:w="5097" w:type="dxa"/>
            <w:vAlign w:val="center"/>
          </w:tcPr>
          <w:p w14:paraId="531D5123">
            <w:pPr>
              <w:jc w:val="center"/>
              <w:rPr>
                <w:rFonts w:ascii="仿宋" w:hAnsi="仿宋" w:eastAsia="仿宋" w:cs="Times New Roman"/>
                <w:kern w:val="0"/>
                <w:sz w:val="24"/>
                <w:szCs w:val="24"/>
              </w:rPr>
            </w:pPr>
            <w:r>
              <w:rPr>
                <w:rFonts w:hint="eastAsia" w:ascii="仿宋" w:hAnsi="仿宋" w:eastAsia="仿宋" w:cs="Times New Roman"/>
                <w:kern w:val="0"/>
                <w:sz w:val="24"/>
                <w:szCs w:val="24"/>
              </w:rPr>
              <w:t>内容</w:t>
            </w:r>
          </w:p>
        </w:tc>
        <w:tc>
          <w:tcPr>
            <w:tcW w:w="2575" w:type="dxa"/>
            <w:vAlign w:val="center"/>
          </w:tcPr>
          <w:p w14:paraId="5143498D">
            <w:pPr>
              <w:jc w:val="center"/>
              <w:rPr>
                <w:rFonts w:ascii="仿宋" w:hAnsi="仿宋" w:eastAsia="仿宋" w:cs="Times New Roman"/>
                <w:kern w:val="0"/>
                <w:sz w:val="24"/>
                <w:szCs w:val="24"/>
              </w:rPr>
            </w:pPr>
            <w:r>
              <w:rPr>
                <w:rFonts w:hint="eastAsia" w:ascii="仿宋" w:hAnsi="仿宋" w:eastAsia="仿宋" w:cs="Times New Roman"/>
                <w:kern w:val="0"/>
                <w:sz w:val="24"/>
                <w:szCs w:val="24"/>
              </w:rPr>
              <w:t>供应商响应情况</w:t>
            </w:r>
          </w:p>
        </w:tc>
        <w:tc>
          <w:tcPr>
            <w:tcW w:w="1240" w:type="dxa"/>
            <w:vAlign w:val="center"/>
          </w:tcPr>
          <w:p w14:paraId="3807A671">
            <w:pPr>
              <w:jc w:val="center"/>
              <w:rPr>
                <w:rFonts w:ascii="仿宋" w:hAnsi="仿宋" w:eastAsia="仿宋" w:cs="Times New Roman"/>
                <w:kern w:val="0"/>
                <w:sz w:val="24"/>
                <w:szCs w:val="24"/>
              </w:rPr>
            </w:pPr>
            <w:r>
              <w:rPr>
                <w:rFonts w:hint="eastAsia" w:ascii="仿宋" w:hAnsi="仿宋" w:eastAsia="仿宋" w:cs="Times New Roman"/>
                <w:kern w:val="0"/>
                <w:sz w:val="24"/>
                <w:szCs w:val="24"/>
              </w:rPr>
              <w:t>备注/说明</w:t>
            </w:r>
          </w:p>
        </w:tc>
      </w:tr>
      <w:tr w14:paraId="22B67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46" w:type="dxa"/>
            <w:vAlign w:val="center"/>
          </w:tcPr>
          <w:p w14:paraId="3081A3BF">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0CA3A3E0">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基本要求：提供病案数字化扫描服务，其中包含2024年-2026年纸质病案扫描以及3年的纸质病案免费托管、病案数码影像信息管理系统维护和升级；3年免费托管期结束后，后续托管费用在完成托管后的每年年底根据实际托管数量按照￥0.30元/本/年支付，每年托管费用包含病案数码影像信息管理系统维护和升级。</w:t>
            </w:r>
          </w:p>
        </w:tc>
        <w:tc>
          <w:tcPr>
            <w:tcW w:w="2575" w:type="dxa"/>
            <w:vAlign w:val="center"/>
          </w:tcPr>
          <w:p w14:paraId="267BD861">
            <w:pPr>
              <w:spacing w:line="288" w:lineRule="auto"/>
              <w:rPr>
                <w:rFonts w:ascii="Times New Roman" w:hAnsi="Times New Roman" w:eastAsia="宋体" w:cs="Times New Roman"/>
                <w:sz w:val="24"/>
                <w:szCs w:val="24"/>
              </w:rPr>
            </w:pPr>
          </w:p>
        </w:tc>
        <w:tc>
          <w:tcPr>
            <w:tcW w:w="1240" w:type="dxa"/>
            <w:vAlign w:val="center"/>
          </w:tcPr>
          <w:p w14:paraId="0D1DD195">
            <w:pPr>
              <w:spacing w:line="288" w:lineRule="auto"/>
              <w:rPr>
                <w:rFonts w:ascii="Times New Roman" w:hAnsi="Times New Roman" w:eastAsia="宋体" w:cs="Times New Roman"/>
                <w:sz w:val="24"/>
                <w:szCs w:val="24"/>
              </w:rPr>
            </w:pPr>
          </w:p>
        </w:tc>
      </w:tr>
      <w:tr w14:paraId="33028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60" w:hRule="atLeast"/>
        </w:trPr>
        <w:tc>
          <w:tcPr>
            <w:tcW w:w="746" w:type="dxa"/>
            <w:vAlign w:val="center"/>
          </w:tcPr>
          <w:p w14:paraId="71CEA3FC">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07068E61">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纸质病案进行高质量扫描，生成电子影像。保证生成的电子影像与病案原件一致。对生成的电子影像进行分段（具体见附件二《广州医科大学附属第三医院白云分院（广州市白云区妇幼保健院）病历分段约定》），构建基于扫描病案资料的病案数码影像信息管理系统，并进行数据备份；病案数码影像信息管理系统需要即时显示每份生成的电子影像。</w:t>
            </w:r>
          </w:p>
        </w:tc>
        <w:tc>
          <w:tcPr>
            <w:tcW w:w="2575" w:type="dxa"/>
            <w:vAlign w:val="center"/>
          </w:tcPr>
          <w:p w14:paraId="43E302E3">
            <w:pPr>
              <w:spacing w:line="288" w:lineRule="auto"/>
              <w:rPr>
                <w:rFonts w:ascii="Times New Roman" w:hAnsi="Times New Roman" w:eastAsia="宋体" w:cs="Times New Roman"/>
                <w:sz w:val="24"/>
                <w:szCs w:val="24"/>
              </w:rPr>
            </w:pPr>
          </w:p>
        </w:tc>
        <w:tc>
          <w:tcPr>
            <w:tcW w:w="1240" w:type="dxa"/>
            <w:vAlign w:val="center"/>
          </w:tcPr>
          <w:p w14:paraId="28D53A41">
            <w:pPr>
              <w:spacing w:line="288" w:lineRule="auto"/>
              <w:rPr>
                <w:rFonts w:ascii="Times New Roman" w:hAnsi="Times New Roman" w:eastAsia="宋体" w:cs="Times New Roman"/>
                <w:sz w:val="24"/>
                <w:szCs w:val="24"/>
              </w:rPr>
            </w:pPr>
          </w:p>
        </w:tc>
      </w:tr>
      <w:tr w14:paraId="6F606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7" w:hRule="atLeast"/>
        </w:trPr>
        <w:tc>
          <w:tcPr>
            <w:tcW w:w="746" w:type="dxa"/>
            <w:vAlign w:val="center"/>
          </w:tcPr>
          <w:p w14:paraId="2E987B95">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52033CD7">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纸质病案扫描工期：</w:t>
            </w:r>
          </w:p>
          <w:p w14:paraId="7974E976">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（1）第一批需要扫描的病历：2024年一整年病历，需要完成的时间为完成系统对接之后1个月内完成扫描并生成电子影像，每拖延1周，扣除结算金额1%的费用。</w:t>
            </w:r>
          </w:p>
          <w:p w14:paraId="59105641">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（2）第二批需要扫描的病历：2025年一整年的病历，需要在接到采购人通知之后1个月内完成扫描并生成电子影像，每拖延1周，扣除结算金额1%的费用。</w:t>
            </w:r>
          </w:p>
          <w:p w14:paraId="3B598084">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（3）2026年病历扫描且在系统上完成数据备份的时间，应在每月10日之前完成所交付的病历扫描并生成电子影像，每拖延1周，扣除结算金额1%的费用。</w:t>
            </w:r>
          </w:p>
        </w:tc>
        <w:tc>
          <w:tcPr>
            <w:tcW w:w="2575" w:type="dxa"/>
            <w:vAlign w:val="center"/>
          </w:tcPr>
          <w:p w14:paraId="67FF20B9">
            <w:pPr>
              <w:spacing w:line="288" w:lineRule="auto"/>
              <w:rPr>
                <w:rFonts w:ascii="Times New Roman" w:hAnsi="Times New Roman" w:eastAsia="宋体" w:cs="Times New Roman"/>
                <w:sz w:val="24"/>
                <w:szCs w:val="24"/>
              </w:rPr>
            </w:pPr>
          </w:p>
        </w:tc>
        <w:tc>
          <w:tcPr>
            <w:tcW w:w="1240" w:type="dxa"/>
            <w:vAlign w:val="center"/>
          </w:tcPr>
          <w:p w14:paraId="2A2A7329">
            <w:pPr>
              <w:spacing w:line="288" w:lineRule="auto"/>
              <w:rPr>
                <w:rFonts w:ascii="Times New Roman" w:hAnsi="Times New Roman" w:eastAsia="宋体" w:cs="Times New Roman"/>
                <w:sz w:val="24"/>
                <w:szCs w:val="24"/>
              </w:rPr>
            </w:pPr>
          </w:p>
        </w:tc>
      </w:tr>
      <w:tr w14:paraId="22EC6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9" w:hRule="atLeast"/>
        </w:trPr>
        <w:tc>
          <w:tcPr>
            <w:tcW w:w="746" w:type="dxa"/>
            <w:vAlign w:val="center"/>
          </w:tcPr>
          <w:p w14:paraId="1F1EC942">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15E6B0F7">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构建病案首页信息库，将所有病案进行ICD-10国际疾病分类编码和ICD－9-CM3操作分类编码（对于有病案首页数据的，由采购人提供；无首页数据的由服务商录入患者姓名、住院号、入院日期、出院日期、入院科别、出院科室、出院中医及西医诊断、操作及手术名称、住院次数、离院方式、身份证号。）</w:t>
            </w:r>
          </w:p>
        </w:tc>
        <w:tc>
          <w:tcPr>
            <w:tcW w:w="2575" w:type="dxa"/>
            <w:vAlign w:val="center"/>
          </w:tcPr>
          <w:p w14:paraId="6CDBEEF4">
            <w:pPr>
              <w:spacing w:line="288" w:lineRule="auto"/>
              <w:rPr>
                <w:rFonts w:ascii="Times New Roman" w:hAnsi="Times New Roman" w:eastAsia="宋体" w:cs="Times New Roman"/>
                <w:sz w:val="24"/>
                <w:szCs w:val="24"/>
              </w:rPr>
            </w:pPr>
          </w:p>
        </w:tc>
        <w:tc>
          <w:tcPr>
            <w:tcW w:w="1240" w:type="dxa"/>
            <w:vAlign w:val="center"/>
          </w:tcPr>
          <w:p w14:paraId="471E40B5">
            <w:pPr>
              <w:spacing w:line="288" w:lineRule="auto"/>
              <w:rPr>
                <w:rFonts w:ascii="Times New Roman" w:hAnsi="Times New Roman" w:eastAsia="宋体" w:cs="Times New Roman"/>
                <w:sz w:val="24"/>
                <w:szCs w:val="24"/>
              </w:rPr>
            </w:pPr>
          </w:p>
        </w:tc>
      </w:tr>
      <w:tr w14:paraId="4A9E9C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2" w:hRule="atLeast"/>
        </w:trPr>
        <w:tc>
          <w:tcPr>
            <w:tcW w:w="746" w:type="dxa"/>
            <w:vAlign w:val="center"/>
          </w:tcPr>
          <w:p w14:paraId="1672B123">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7A1A5945">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针对《病案数码影像信息管理系统》，开通数字病案保证在院内工作站的传输，实现数字化病案的共享、查阅、打印。</w:t>
            </w:r>
          </w:p>
        </w:tc>
        <w:tc>
          <w:tcPr>
            <w:tcW w:w="2575" w:type="dxa"/>
            <w:vAlign w:val="center"/>
          </w:tcPr>
          <w:p w14:paraId="21A7B42F">
            <w:pPr>
              <w:spacing w:line="288" w:lineRule="auto"/>
              <w:rPr>
                <w:rFonts w:ascii="Times New Roman" w:hAnsi="Times New Roman" w:eastAsia="宋体" w:cs="Times New Roman"/>
                <w:sz w:val="24"/>
                <w:szCs w:val="24"/>
              </w:rPr>
            </w:pPr>
          </w:p>
        </w:tc>
        <w:tc>
          <w:tcPr>
            <w:tcW w:w="1240" w:type="dxa"/>
            <w:vAlign w:val="center"/>
          </w:tcPr>
          <w:p w14:paraId="14EBE354">
            <w:pPr>
              <w:spacing w:line="288" w:lineRule="auto"/>
              <w:rPr>
                <w:rFonts w:ascii="Times New Roman" w:hAnsi="Times New Roman" w:eastAsia="宋体" w:cs="Times New Roman"/>
                <w:sz w:val="24"/>
                <w:szCs w:val="24"/>
              </w:rPr>
            </w:pPr>
          </w:p>
        </w:tc>
      </w:tr>
      <w:tr w14:paraId="7EFD0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3" w:hRule="atLeast"/>
        </w:trPr>
        <w:tc>
          <w:tcPr>
            <w:tcW w:w="746" w:type="dxa"/>
            <w:vAlign w:val="center"/>
          </w:tcPr>
          <w:p w14:paraId="18C6F4BA">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309E1109">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病案原件的丢失处理：病案原件若在运输、异地保存等过程出现丢失、损坏、泄密，每份病案罚款1500元，并承担相应法律责任。</w:t>
            </w:r>
          </w:p>
        </w:tc>
        <w:tc>
          <w:tcPr>
            <w:tcW w:w="2575" w:type="dxa"/>
            <w:vAlign w:val="center"/>
          </w:tcPr>
          <w:p w14:paraId="2885063F">
            <w:pPr>
              <w:spacing w:line="288" w:lineRule="auto"/>
              <w:rPr>
                <w:rFonts w:ascii="Times New Roman" w:hAnsi="Times New Roman" w:eastAsia="宋体" w:cs="Times New Roman"/>
                <w:sz w:val="24"/>
                <w:szCs w:val="24"/>
              </w:rPr>
            </w:pPr>
          </w:p>
        </w:tc>
        <w:tc>
          <w:tcPr>
            <w:tcW w:w="1240" w:type="dxa"/>
            <w:vAlign w:val="center"/>
          </w:tcPr>
          <w:p w14:paraId="6FC5AF1D">
            <w:pPr>
              <w:spacing w:line="288" w:lineRule="auto"/>
              <w:rPr>
                <w:rFonts w:ascii="Times New Roman" w:hAnsi="Times New Roman" w:eastAsia="宋体" w:cs="Times New Roman"/>
                <w:sz w:val="24"/>
                <w:szCs w:val="24"/>
              </w:rPr>
            </w:pPr>
          </w:p>
        </w:tc>
      </w:tr>
      <w:tr w14:paraId="54C82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63" w:hRule="atLeast"/>
        </w:trPr>
        <w:tc>
          <w:tcPr>
            <w:tcW w:w="746" w:type="dxa"/>
            <w:vAlign w:val="center"/>
          </w:tcPr>
          <w:p w14:paraId="17D41D29">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232978C3">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纸质病历保存条件需做到：装箱、上架保存，防火、防虫、防水、防盗、防潮。所保存的病案，如医院在特殊情况下需调取病案原件时，服务商负责在24小时内以国内安全性高的快递方式寄出，必要时采取专人送达，费用由服务商支付，采购人每月会定期寄回调取病案原件，费用由服务商支付。（以上费用包含在投标报价中，采购人不再另外支付）</w:t>
            </w:r>
          </w:p>
        </w:tc>
        <w:tc>
          <w:tcPr>
            <w:tcW w:w="2575" w:type="dxa"/>
            <w:vAlign w:val="center"/>
          </w:tcPr>
          <w:p w14:paraId="371156A1">
            <w:pPr>
              <w:spacing w:line="288" w:lineRule="auto"/>
              <w:rPr>
                <w:rFonts w:ascii="Times New Roman" w:hAnsi="Times New Roman" w:eastAsia="宋体" w:cs="Times New Roman"/>
                <w:sz w:val="24"/>
                <w:szCs w:val="24"/>
              </w:rPr>
            </w:pPr>
          </w:p>
        </w:tc>
        <w:tc>
          <w:tcPr>
            <w:tcW w:w="1240" w:type="dxa"/>
            <w:vAlign w:val="center"/>
          </w:tcPr>
          <w:p w14:paraId="24972B98">
            <w:pPr>
              <w:spacing w:line="288" w:lineRule="auto"/>
              <w:rPr>
                <w:rFonts w:ascii="Times New Roman" w:hAnsi="Times New Roman" w:eastAsia="宋体" w:cs="Times New Roman"/>
                <w:sz w:val="24"/>
                <w:szCs w:val="24"/>
              </w:rPr>
            </w:pPr>
          </w:p>
        </w:tc>
      </w:tr>
      <w:tr w14:paraId="661FC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trPr>
        <w:tc>
          <w:tcPr>
            <w:tcW w:w="746" w:type="dxa"/>
            <w:vAlign w:val="center"/>
          </w:tcPr>
          <w:p w14:paraId="6FA3EF3B">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7413856D">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纸质病案托管终止后，服务商负责将病历运回采购人指定地点，运输等相关费用由服务商支付。</w:t>
            </w:r>
          </w:p>
        </w:tc>
        <w:tc>
          <w:tcPr>
            <w:tcW w:w="2575" w:type="dxa"/>
            <w:vAlign w:val="center"/>
          </w:tcPr>
          <w:p w14:paraId="31B4D5C0">
            <w:pPr>
              <w:spacing w:line="288" w:lineRule="auto"/>
              <w:rPr>
                <w:rFonts w:ascii="Times New Roman" w:hAnsi="Times New Roman" w:eastAsia="宋体" w:cs="Times New Roman"/>
                <w:sz w:val="24"/>
                <w:szCs w:val="24"/>
              </w:rPr>
            </w:pPr>
          </w:p>
        </w:tc>
        <w:tc>
          <w:tcPr>
            <w:tcW w:w="1240" w:type="dxa"/>
            <w:vAlign w:val="center"/>
          </w:tcPr>
          <w:p w14:paraId="63465468">
            <w:pPr>
              <w:spacing w:line="288" w:lineRule="auto"/>
              <w:rPr>
                <w:rFonts w:ascii="Times New Roman" w:hAnsi="Times New Roman" w:eastAsia="宋体" w:cs="Times New Roman"/>
                <w:sz w:val="24"/>
                <w:szCs w:val="24"/>
              </w:rPr>
            </w:pPr>
          </w:p>
        </w:tc>
      </w:tr>
      <w:tr w14:paraId="1BB30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4" w:hRule="atLeast"/>
        </w:trPr>
        <w:tc>
          <w:tcPr>
            <w:tcW w:w="746" w:type="dxa"/>
            <w:vAlign w:val="center"/>
          </w:tcPr>
          <w:p w14:paraId="7802558B">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419F0F2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为保证采购人病案原件长期、稳定的保存，服务商需为本项目提供仓储基地、防雷证明、消防证明等。</w:t>
            </w:r>
          </w:p>
        </w:tc>
        <w:tc>
          <w:tcPr>
            <w:tcW w:w="2575" w:type="dxa"/>
            <w:vAlign w:val="center"/>
          </w:tcPr>
          <w:p w14:paraId="1B920F22">
            <w:pPr>
              <w:spacing w:line="288" w:lineRule="auto"/>
              <w:rPr>
                <w:rFonts w:ascii="Times New Roman" w:hAnsi="Times New Roman" w:eastAsia="宋体" w:cs="Times New Roman"/>
                <w:sz w:val="24"/>
                <w:szCs w:val="24"/>
              </w:rPr>
            </w:pPr>
          </w:p>
        </w:tc>
        <w:tc>
          <w:tcPr>
            <w:tcW w:w="1240" w:type="dxa"/>
            <w:vAlign w:val="center"/>
          </w:tcPr>
          <w:p w14:paraId="1B917E46">
            <w:pPr>
              <w:spacing w:line="288" w:lineRule="auto"/>
              <w:rPr>
                <w:rFonts w:ascii="Times New Roman" w:hAnsi="Times New Roman" w:eastAsia="宋体" w:cs="Times New Roman"/>
                <w:sz w:val="24"/>
                <w:szCs w:val="24"/>
              </w:rPr>
            </w:pPr>
          </w:p>
        </w:tc>
      </w:tr>
      <w:tr w14:paraId="08D9D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8" w:hRule="atLeast"/>
        </w:trPr>
        <w:tc>
          <w:tcPr>
            <w:tcW w:w="746" w:type="dxa"/>
            <w:vAlign w:val="center"/>
          </w:tcPr>
          <w:p w14:paraId="11E2FBA4">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3F9FA180">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《病案数码影像信息管理系统》</w:t>
            </w:r>
          </w:p>
          <w:p w14:paraId="35C7D242">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（1）提供《病案数码影像信息管理系统》维护管理服务，开通数字病案在院内各工作站的传输通道，实现数字化病案的院内共享、在线查阅、合规打印</w:t>
            </w:r>
          </w:p>
          <w:p w14:paraId="4A571E70">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（2）系统采用B/S架构模式，病案浏览功能基于B/S架构实现，无需安装客户端，降低使用门槛，方便医护人员进行病案的查询与浏览</w:t>
            </w:r>
          </w:p>
          <w:p w14:paraId="49273987">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（3）系统搭载SQL数据库，保障数据存储的稳定性、安全性与可扩展性</w:t>
            </w:r>
          </w:p>
          <w:p w14:paraId="72973CF6">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（4）病案申请浏览模块，支持逐份审核、批量审核、按科室定向审核三种审核模式</w:t>
            </w:r>
          </w:p>
          <w:p w14:paraId="6D0E98E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（5）审核权限控制支持精细化配置，可精准控制到科室、具体人员，同时支持按时间范围（永久、年、月、日、小时）进行权限授权</w:t>
            </w:r>
          </w:p>
          <w:p w14:paraId="53A7672C">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（6）病案图片支持通过鼠标滚轮进行放大缩小操作，同时支持图片拖放调整查看位置</w:t>
            </w:r>
          </w:p>
          <w:p w14:paraId="6DECED49">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（7）数字化病案支持一键打印功能，打印时可自主选择色彩模式，同时提供预设打印套餐选择，且打印套餐支持自主维护与调整</w:t>
            </w:r>
          </w:p>
          <w:p w14:paraId="1806F2A2">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（8）系统具备完整的打印记录功能，可全程记录病案打印过程的所有操作信息，包括所打印病案的病案号、患者姓名、打印时间、打印页码、操作人员等</w:t>
            </w:r>
          </w:p>
          <w:p w14:paraId="34E3D7E4">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（9）用户管理：负责管理数字化客户端用户信息及B/S浏览用户信息，支持对用户信息进行查询、添加、修改、删除操作；可配合病案的保密等级设置对应权限，同时能够限定用户的病案查看及申请的科室范围</w:t>
            </w:r>
          </w:p>
          <w:p w14:paraId="34F3C7FE">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（10）用户组管理：支持对系统用户进行分组管理，可对用户分组进行查询、添加、修改、删除操作</w:t>
            </w:r>
          </w:p>
          <w:p w14:paraId="66B4BB6C">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（11）权限组管理：对用户所拥有的系统功能进行设置，并可限制该权限组所能访问的病案数据范围、操作的时效，同时支持权限组的复制、批量分配，以及和用户组进行关联绑定对应的相关科室；</w:t>
            </w:r>
          </w:p>
          <w:p w14:paraId="352EF69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（12）该系统须满足信创要求，3年内迁移系统数据到信创服务器。（该费用已包含在项目报价中）</w:t>
            </w:r>
          </w:p>
          <w:p w14:paraId="21B709CF">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（13）系统接口：</w:t>
            </w:r>
          </w:p>
          <w:p w14:paraId="01C04F22">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a）本院目前所使用的系统为“HIS、EMR和电子病历归档系统”，服务商所提供的病案数码影像信息管理系统需对接本院系统，相关费用由服务商负责。</w:t>
            </w:r>
          </w:p>
          <w:p w14:paraId="17E96790">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b）服务商需提供满足医院使用系统正确对接的模块设计、接口标准，第三方可以根据接口标准采用基于Windows平台的任意开发工具开发出符合自己需求的模块，并与本系统实现无缝连接。软件要求能有与医院现有的HIS之间数据交换和流程衔接（服务商提供数字病案管理系统的数据，并开放接口，对接采购人所使用系统“HIS、EMR和电子病历归档系统”，的接口费用由服务商承担，供采购人读取）。</w:t>
            </w:r>
          </w:p>
          <w:p w14:paraId="2B0565AB">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c)保证各个子系统既能独立工作，也可以跟其它系统协同工作。在升级、扩充某个子系统时，不会影响其它子系统。在某个子系统出故障的情况下，其它子系统不受影响，而且能通过替代的方式迅速排除故障。当增加一个新的子系统时，不会对其他子系统产生任何影响。当某个子系统增加新功能模块时，数据库部分无需全部安装，只需根据需要选择几个子系统进行组合安装和应用。</w:t>
            </w:r>
          </w:p>
        </w:tc>
        <w:tc>
          <w:tcPr>
            <w:tcW w:w="2575" w:type="dxa"/>
            <w:vAlign w:val="center"/>
          </w:tcPr>
          <w:p w14:paraId="314B151B">
            <w:pPr>
              <w:spacing w:line="288" w:lineRule="auto"/>
              <w:rPr>
                <w:rFonts w:ascii="Times New Roman" w:hAnsi="Times New Roman" w:eastAsia="宋体" w:cs="Times New Roman"/>
                <w:sz w:val="24"/>
                <w:szCs w:val="24"/>
              </w:rPr>
            </w:pPr>
          </w:p>
        </w:tc>
        <w:tc>
          <w:tcPr>
            <w:tcW w:w="1240" w:type="dxa"/>
            <w:vAlign w:val="center"/>
          </w:tcPr>
          <w:p w14:paraId="68AA2A23">
            <w:pPr>
              <w:spacing w:line="288" w:lineRule="auto"/>
              <w:rPr>
                <w:rFonts w:ascii="Times New Roman" w:hAnsi="Times New Roman" w:eastAsia="宋体" w:cs="Times New Roman"/>
                <w:sz w:val="24"/>
                <w:szCs w:val="24"/>
              </w:rPr>
            </w:pPr>
          </w:p>
        </w:tc>
      </w:tr>
      <w:tr w14:paraId="6ECCE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8" w:hRule="atLeast"/>
        </w:trPr>
        <w:tc>
          <w:tcPr>
            <w:tcW w:w="746" w:type="dxa"/>
            <w:vAlign w:val="center"/>
          </w:tcPr>
          <w:p w14:paraId="235AD515">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1BF0BECC">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病案数字化要求</w:t>
            </w:r>
          </w:p>
          <w:p w14:paraId="414DDC70">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扫描执行标准：DA/T31-2017。</w:t>
            </w:r>
          </w:p>
          <w:p w14:paraId="28ED534D">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（1）对原始纸质病案应用数码技术分页数字化加工制作，形成数码图像。</w:t>
            </w:r>
          </w:p>
          <w:p w14:paraId="0B6F45A7">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2）服务商负责清点、搬运、制作、拆装、分类、编码、归档、归位等工作，不另收费，病案安全性的控制具体见《附件一：广州医科大学附属第三医院白云分院（广州市白云区妇幼保健院）《病案数码影像与信息管理系统》病案安全性的控制》。</w:t>
            </w:r>
          </w:p>
          <w:p w14:paraId="1F861681">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（3）扫描图像文件容量大小适中，在保证图像质量的前提下，容量尽可能小(最大图片每页不超过250K，平均图片大小不超过50K。</w:t>
            </w:r>
          </w:p>
          <w:p w14:paraId="070204F1">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支持常用的Windows图像阅读和处理软件，扫描图像的打印件与档案原稿清晰度一致。</w:t>
            </w:r>
          </w:p>
          <w:p w14:paraId="1000B0AE">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（4）使用黑底技术对图像进行包含但不限于打直、居中、模糊清晰度处理，使得图像更加整洁、美观。</w:t>
            </w:r>
          </w:p>
          <w:p w14:paraId="03F54B04">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（5）为了减小容量和减少打印成本，扫描图像彩色模式，原件模糊采用二值化TIF影像，即：提供二值化TIF和JPG格式的混合影像。</w:t>
            </w:r>
          </w:p>
          <w:p w14:paraId="4C00309E">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6）服务商需将扫描完成的纸质病案，同步转换为JPEG（或JPG）与OFD两种格式，并将此双格式文件作为完整数字病案单元，共同存储于系统数据库中。（须在投标文件中提供详细的格式转换操作说明，以及系统界面中同时管理JPEG（或JPG）与OFD格式的成功样式截图）</w:t>
            </w:r>
          </w:p>
          <w:p w14:paraId="37CFEAF5">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（7）病案数字化的人员要求：</w:t>
            </w:r>
          </w:p>
          <w:p w14:paraId="11B469F0">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a)项目人员要求品行端正、经验丰富、人员稳定、保密意识强，熟悉档案信息化加工系统的操作应用。</w:t>
            </w:r>
          </w:p>
          <w:p w14:paraId="3BA14002">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b)服务商所配备的技术人员持有国家级认证的助理档案管理师或以上资格证书。</w:t>
            </w:r>
          </w:p>
          <w:p w14:paraId="1BE32A8F">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8）病案扫描图像保持原有纸质病案的书面质量，文字、图像完整，细节不丢失，扫描分辨率≥300DPI，扫描比例100%，彩色图像颜色为24真彩色，倾斜度达到视觉上基本不感觉偏斜，即使少量倾斜的影像数量控制在5%以内，且倾斜角度不大于2度。扫描图像采用二值化TIFF影像，个别影像采用JPEG 格式的图像文件存储。</w:t>
            </w:r>
          </w:p>
        </w:tc>
        <w:tc>
          <w:tcPr>
            <w:tcW w:w="2575" w:type="dxa"/>
            <w:vAlign w:val="center"/>
          </w:tcPr>
          <w:p w14:paraId="35D0197A">
            <w:pPr>
              <w:spacing w:line="288" w:lineRule="auto"/>
              <w:rPr>
                <w:rFonts w:ascii="Times New Roman" w:hAnsi="Times New Roman" w:eastAsia="宋体" w:cs="Times New Roman"/>
                <w:sz w:val="24"/>
                <w:szCs w:val="24"/>
              </w:rPr>
            </w:pPr>
          </w:p>
        </w:tc>
        <w:tc>
          <w:tcPr>
            <w:tcW w:w="1240" w:type="dxa"/>
            <w:vAlign w:val="center"/>
          </w:tcPr>
          <w:p w14:paraId="32803C39">
            <w:pPr>
              <w:spacing w:line="288" w:lineRule="auto"/>
              <w:rPr>
                <w:rFonts w:ascii="Times New Roman" w:hAnsi="Times New Roman" w:eastAsia="宋体" w:cs="Times New Roman"/>
                <w:sz w:val="24"/>
                <w:szCs w:val="24"/>
              </w:rPr>
            </w:pPr>
          </w:p>
        </w:tc>
      </w:tr>
      <w:tr w14:paraId="5CE76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8" w:hRule="atLeast"/>
        </w:trPr>
        <w:tc>
          <w:tcPr>
            <w:tcW w:w="746" w:type="dxa"/>
            <w:vAlign w:val="center"/>
          </w:tcPr>
          <w:p w14:paraId="7A9CAAF9">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6626B583">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病案数字化扫描设备的要求</w:t>
            </w:r>
          </w:p>
          <w:p w14:paraId="3099809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（1）为了保障扫描图像的高质量、小容量，病案原件扫描时拒绝使用高拍仪和数码相机。</w:t>
            </w:r>
          </w:p>
          <w:p w14:paraId="02DEB5A6">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（2）扫描设备性能要求如下：</w:t>
            </w:r>
          </w:p>
          <w:p w14:paraId="3A0102E7">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a)基本参数</w:t>
            </w:r>
          </w:p>
          <w:p w14:paraId="13010D90">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产品用途：商业应用</w:t>
            </w:r>
          </w:p>
          <w:p w14:paraId="12A1835B">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产品类型：馈纸式</w:t>
            </w:r>
          </w:p>
          <w:p w14:paraId="72662290">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最大幅面：A4</w:t>
            </w:r>
          </w:p>
          <w:p w14:paraId="2F3ABB86">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扫描元件：CMOS/CIS</w:t>
            </w:r>
          </w:p>
          <w:p w14:paraId="3F3F652F">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光学分辨率：600dpi</w:t>
            </w:r>
          </w:p>
          <w:p w14:paraId="7F442955">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最大分辨率：1200dpi</w:t>
            </w:r>
          </w:p>
          <w:p w14:paraId="440DFAA4">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扫描范围：最大：215-914mm，最小：52-50mm</w:t>
            </w:r>
          </w:p>
          <w:p w14:paraId="41D702DC">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扫描介质：文件，票据，图片，照片，名片，卡片，证件</w:t>
            </w:r>
          </w:p>
          <w:p w14:paraId="72004C87">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扫描速度：≥200dpi/300dpi，彩色/灰度/黑白：≥65ppm/130ipm</w:t>
            </w:r>
          </w:p>
          <w:p w14:paraId="5BED6A97">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日扫描量：≥14000页</w:t>
            </w:r>
          </w:p>
          <w:p w14:paraId="324610B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接口类型：USB 2.0及以上</w:t>
            </w:r>
          </w:p>
          <w:p w14:paraId="2A5AEC47">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b)性能参数：</w:t>
            </w:r>
          </w:p>
          <w:p w14:paraId="55FFAEEF">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扫描光源：RGB三色发光二极管LED</w:t>
            </w:r>
          </w:p>
          <w:p w14:paraId="1D049E5C">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扫描模式：彩色、灰阶、黑白</w:t>
            </w:r>
          </w:p>
          <w:p w14:paraId="0C9B8E1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色彩位数：24位</w:t>
            </w:r>
          </w:p>
          <w:p w14:paraId="7536AF92">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送稿器容量；100页(40g/m2)，80页(80g/m2)，30页(210g/m2)；</w:t>
            </w:r>
          </w:p>
          <w:p w14:paraId="7F132EF2">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长纸(14.1-120 inch)：1页；</w:t>
            </w:r>
          </w:p>
          <w:p w14:paraId="21A94404">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文档保护页：1页；</w:t>
            </w:r>
          </w:p>
          <w:p w14:paraId="3103F750">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塑料卡片（没有浮雕/厚度0.76mm以下）：3页</w:t>
            </w:r>
          </w:p>
          <w:p w14:paraId="551C3C93">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塑料卡片（有浮雕/厚度1.24mm以下）：1页</w:t>
            </w:r>
          </w:p>
          <w:p w14:paraId="5FBA6F0E">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信封：1页（厚度0.27-0.38mm）</w:t>
            </w:r>
          </w:p>
          <w:p w14:paraId="2A544425">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名片：30页</w:t>
            </w:r>
          </w:p>
          <w:p w14:paraId="772FBD73">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明信片：30页</w:t>
            </w:r>
          </w:p>
          <w:p w14:paraId="25DCCF1B">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介质尺寸：最大：215×355mm，最小：52×50mm（长纸尺寸：宽215mm，长3048mm）</w:t>
            </w:r>
          </w:p>
        </w:tc>
        <w:tc>
          <w:tcPr>
            <w:tcW w:w="2575" w:type="dxa"/>
            <w:vAlign w:val="center"/>
          </w:tcPr>
          <w:p w14:paraId="60FBA5C9">
            <w:pPr>
              <w:spacing w:line="288" w:lineRule="auto"/>
              <w:rPr>
                <w:rFonts w:ascii="Times New Roman" w:hAnsi="Times New Roman" w:eastAsia="宋体" w:cs="Times New Roman"/>
                <w:sz w:val="24"/>
                <w:szCs w:val="24"/>
              </w:rPr>
            </w:pPr>
          </w:p>
        </w:tc>
        <w:tc>
          <w:tcPr>
            <w:tcW w:w="1240" w:type="dxa"/>
            <w:vAlign w:val="center"/>
          </w:tcPr>
          <w:p w14:paraId="1FEF532F">
            <w:pPr>
              <w:spacing w:line="288" w:lineRule="auto"/>
              <w:rPr>
                <w:rFonts w:ascii="Times New Roman" w:hAnsi="Times New Roman" w:eastAsia="宋体" w:cs="Times New Roman"/>
                <w:sz w:val="24"/>
                <w:szCs w:val="24"/>
              </w:rPr>
            </w:pPr>
          </w:p>
        </w:tc>
      </w:tr>
      <w:tr w14:paraId="2C72B4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7" w:hRule="atLeast"/>
        </w:trPr>
        <w:tc>
          <w:tcPr>
            <w:tcW w:w="746" w:type="dxa"/>
            <w:vAlign w:val="center"/>
          </w:tcPr>
          <w:p w14:paraId="58400C23">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6BEEE50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病案数字化处理所需要的场地由服务商提供，服务商开展服务前，需向医院提交完整的设计方案和实施方案。</w:t>
            </w:r>
          </w:p>
        </w:tc>
        <w:tc>
          <w:tcPr>
            <w:tcW w:w="2575" w:type="dxa"/>
            <w:vAlign w:val="center"/>
          </w:tcPr>
          <w:p w14:paraId="05B1F8C2">
            <w:pPr>
              <w:spacing w:line="288" w:lineRule="auto"/>
              <w:rPr>
                <w:rFonts w:ascii="Times New Roman" w:hAnsi="Times New Roman" w:eastAsia="宋体" w:cs="Times New Roman"/>
                <w:sz w:val="24"/>
                <w:szCs w:val="24"/>
              </w:rPr>
            </w:pPr>
          </w:p>
        </w:tc>
        <w:tc>
          <w:tcPr>
            <w:tcW w:w="1240" w:type="dxa"/>
            <w:vAlign w:val="center"/>
          </w:tcPr>
          <w:p w14:paraId="06945F27">
            <w:pPr>
              <w:spacing w:line="288" w:lineRule="auto"/>
              <w:rPr>
                <w:rFonts w:ascii="Times New Roman" w:hAnsi="Times New Roman" w:eastAsia="宋体" w:cs="Times New Roman"/>
                <w:sz w:val="24"/>
                <w:szCs w:val="24"/>
              </w:rPr>
            </w:pPr>
          </w:p>
        </w:tc>
      </w:tr>
      <w:tr w14:paraId="4B772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8" w:hRule="atLeast"/>
        </w:trPr>
        <w:tc>
          <w:tcPr>
            <w:tcW w:w="746" w:type="dxa"/>
            <w:vAlign w:val="center"/>
          </w:tcPr>
          <w:p w14:paraId="71CE8230">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3AE92188">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人员要求</w:t>
            </w:r>
          </w:p>
          <w:p w14:paraId="70983255">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（1）在项目实施期间，服务商委派开发工程师进驻实施现场，以保证系统运行正常(提供具体技术服务人员配置方案)。</w:t>
            </w:r>
          </w:p>
          <w:p w14:paraId="5786225B">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（2）在项目实施期间，服务商负责病案数字化所需的人员配备，按时完成病历扫描工作。</w:t>
            </w:r>
          </w:p>
          <w:p w14:paraId="61BAA868">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（3）项目实施期间，服务商对于有数据的部分但缺少少量首页数据的，必须派专业编码人员对历史病案进行首页ICD编码及信息录入，疾病分类编码人员应具有相关证明。</w:t>
            </w:r>
          </w:p>
        </w:tc>
        <w:tc>
          <w:tcPr>
            <w:tcW w:w="2575" w:type="dxa"/>
            <w:vAlign w:val="center"/>
          </w:tcPr>
          <w:p w14:paraId="1F1AB6B7">
            <w:pPr>
              <w:spacing w:line="288" w:lineRule="auto"/>
              <w:rPr>
                <w:rFonts w:ascii="Times New Roman" w:hAnsi="Times New Roman" w:eastAsia="宋体" w:cs="Times New Roman"/>
                <w:sz w:val="24"/>
                <w:szCs w:val="24"/>
              </w:rPr>
            </w:pPr>
          </w:p>
        </w:tc>
        <w:tc>
          <w:tcPr>
            <w:tcW w:w="1240" w:type="dxa"/>
            <w:vAlign w:val="center"/>
          </w:tcPr>
          <w:p w14:paraId="283D4FB3">
            <w:pPr>
              <w:spacing w:line="288" w:lineRule="auto"/>
              <w:rPr>
                <w:rFonts w:ascii="Times New Roman" w:hAnsi="Times New Roman" w:eastAsia="宋体" w:cs="Times New Roman"/>
                <w:sz w:val="24"/>
                <w:szCs w:val="24"/>
              </w:rPr>
            </w:pPr>
          </w:p>
        </w:tc>
      </w:tr>
      <w:tr w14:paraId="0F490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trPr>
        <w:tc>
          <w:tcPr>
            <w:tcW w:w="746" w:type="dxa"/>
            <w:vAlign w:val="center"/>
          </w:tcPr>
          <w:p w14:paraId="5577B9C0">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2272DFBF">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服务商需具备较完善的企业管理体系认证、相关信息安全及信息服务体系认证。</w:t>
            </w:r>
          </w:p>
        </w:tc>
        <w:tc>
          <w:tcPr>
            <w:tcW w:w="2575" w:type="dxa"/>
            <w:vAlign w:val="center"/>
          </w:tcPr>
          <w:p w14:paraId="51AA72DD">
            <w:pPr>
              <w:spacing w:line="288" w:lineRule="auto"/>
              <w:rPr>
                <w:rFonts w:ascii="Times New Roman" w:hAnsi="Times New Roman" w:eastAsia="宋体" w:cs="Times New Roman"/>
                <w:sz w:val="24"/>
                <w:szCs w:val="24"/>
              </w:rPr>
            </w:pPr>
          </w:p>
        </w:tc>
        <w:tc>
          <w:tcPr>
            <w:tcW w:w="1240" w:type="dxa"/>
            <w:vAlign w:val="center"/>
          </w:tcPr>
          <w:p w14:paraId="527DDD93">
            <w:pPr>
              <w:spacing w:line="288" w:lineRule="auto"/>
              <w:rPr>
                <w:rFonts w:ascii="Times New Roman" w:hAnsi="Times New Roman" w:eastAsia="宋体" w:cs="Times New Roman"/>
                <w:sz w:val="24"/>
                <w:szCs w:val="24"/>
              </w:rPr>
            </w:pPr>
          </w:p>
        </w:tc>
      </w:tr>
      <w:tr w14:paraId="67D54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420C32F9">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1F090E55">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服务商需具有病案数码影像信息管理相关系统、仓库管理相关系统、病案数字化相关系统的管理软件计算机著作权。</w:t>
            </w:r>
          </w:p>
        </w:tc>
        <w:tc>
          <w:tcPr>
            <w:tcW w:w="2575" w:type="dxa"/>
            <w:vAlign w:val="center"/>
          </w:tcPr>
          <w:p w14:paraId="2FC78DAC">
            <w:pPr>
              <w:spacing w:line="288" w:lineRule="auto"/>
              <w:rPr>
                <w:rFonts w:ascii="Times New Roman" w:hAnsi="Times New Roman" w:eastAsia="宋体" w:cs="Times New Roman"/>
                <w:sz w:val="24"/>
                <w:szCs w:val="24"/>
              </w:rPr>
            </w:pPr>
          </w:p>
        </w:tc>
        <w:tc>
          <w:tcPr>
            <w:tcW w:w="1240" w:type="dxa"/>
            <w:vAlign w:val="center"/>
          </w:tcPr>
          <w:p w14:paraId="71D5A175">
            <w:pPr>
              <w:spacing w:line="288" w:lineRule="auto"/>
              <w:rPr>
                <w:rFonts w:ascii="Times New Roman" w:hAnsi="Times New Roman" w:eastAsia="宋体" w:cs="Times New Roman"/>
                <w:sz w:val="24"/>
                <w:szCs w:val="24"/>
              </w:rPr>
            </w:pPr>
          </w:p>
        </w:tc>
      </w:tr>
      <w:tr w14:paraId="530DC8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0CAF383D">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6AABEC82">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病案数码影像信息管理系统必须保证每天24小时安全运行，并有冗余备份。</w:t>
            </w:r>
          </w:p>
        </w:tc>
        <w:tc>
          <w:tcPr>
            <w:tcW w:w="2575" w:type="dxa"/>
            <w:vAlign w:val="center"/>
          </w:tcPr>
          <w:p w14:paraId="1DEC592B">
            <w:pPr>
              <w:spacing w:line="288" w:lineRule="auto"/>
              <w:rPr>
                <w:rFonts w:ascii="Times New Roman" w:hAnsi="Times New Roman" w:eastAsia="宋体" w:cs="Times New Roman"/>
                <w:sz w:val="24"/>
                <w:szCs w:val="24"/>
              </w:rPr>
            </w:pPr>
          </w:p>
        </w:tc>
        <w:tc>
          <w:tcPr>
            <w:tcW w:w="1240" w:type="dxa"/>
            <w:vAlign w:val="center"/>
          </w:tcPr>
          <w:p w14:paraId="2C485984">
            <w:pPr>
              <w:spacing w:line="288" w:lineRule="auto"/>
              <w:rPr>
                <w:rFonts w:ascii="Times New Roman" w:hAnsi="Times New Roman" w:eastAsia="宋体" w:cs="Times New Roman"/>
                <w:sz w:val="24"/>
                <w:szCs w:val="24"/>
              </w:rPr>
            </w:pPr>
          </w:p>
        </w:tc>
      </w:tr>
      <w:tr w14:paraId="24222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56C1A146">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28D27983">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上门例行服务：售后服务中心每半年1次由服务商委派工程师到现场了解系统的运行状况，为系统定期维护保养，使系统处于最佳运行状态。</w:t>
            </w:r>
          </w:p>
        </w:tc>
        <w:tc>
          <w:tcPr>
            <w:tcW w:w="2575" w:type="dxa"/>
            <w:vAlign w:val="center"/>
          </w:tcPr>
          <w:p w14:paraId="2D2DF7E7">
            <w:pPr>
              <w:spacing w:line="288" w:lineRule="auto"/>
              <w:rPr>
                <w:rFonts w:ascii="Times New Roman" w:hAnsi="Times New Roman" w:eastAsia="宋体" w:cs="Times New Roman"/>
                <w:sz w:val="24"/>
                <w:szCs w:val="24"/>
              </w:rPr>
            </w:pPr>
          </w:p>
        </w:tc>
        <w:tc>
          <w:tcPr>
            <w:tcW w:w="1240" w:type="dxa"/>
            <w:vAlign w:val="center"/>
          </w:tcPr>
          <w:p w14:paraId="43B107E1">
            <w:pPr>
              <w:spacing w:line="288" w:lineRule="auto"/>
              <w:rPr>
                <w:rFonts w:ascii="Times New Roman" w:hAnsi="Times New Roman" w:eastAsia="宋体" w:cs="Times New Roman"/>
                <w:sz w:val="24"/>
                <w:szCs w:val="24"/>
              </w:rPr>
            </w:pPr>
          </w:p>
        </w:tc>
      </w:tr>
      <w:tr w14:paraId="588A2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2E0B7B81">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28DCF92B">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应急服务</w:t>
            </w:r>
          </w:p>
          <w:p w14:paraId="3C4D3A95">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当医院在运行过程中遇到技术问题时，由医院的联系人向售后服务中心反映问题，并通过电话提出应急服务的要求。公司售后服务中心在收到医院应急服务的要求后，在1小时（含）内做出应急服务响应。24小时（含）内完成采购人提出的应急服务要求。</w:t>
            </w:r>
          </w:p>
          <w:p w14:paraId="713F97D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（2）服务方式如下</w:t>
            </w:r>
          </w:p>
          <w:p w14:paraId="3BA6BBB4">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a)电话服务：售后服务中心提供给医院的电话服务，由数字化病案系统工程师指导医院的联系人在第一时间作出正确的应急处理。</w:t>
            </w:r>
          </w:p>
          <w:p w14:paraId="0919F643">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b)传真、电子邮件：当医院技术联系人通过传真、E-mail寻求电子病案系统工程师支持时，该工程师将在收到邮件后1小时（含）内做出响应，指导医院技术联系人解决问题。</w:t>
            </w:r>
          </w:p>
          <w:p w14:paraId="3CA5D51C">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c)远程维护：当医院允许公司通过远程解决时，服务商可通过远程连接方式在响应时间内提供服务。</w:t>
            </w:r>
          </w:p>
          <w:p w14:paraId="569B5649">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d)上门现场服务：医院在使用过程中遇到故障，而这些故障通过电话及远程维护都无法解决时，服务商需指定病案数码影像系统工程师及其他必要的技术力量在24小时（含）内解决故障。</w:t>
            </w:r>
          </w:p>
        </w:tc>
        <w:tc>
          <w:tcPr>
            <w:tcW w:w="2575" w:type="dxa"/>
            <w:vAlign w:val="center"/>
          </w:tcPr>
          <w:p w14:paraId="601BDC91">
            <w:pPr>
              <w:spacing w:line="288" w:lineRule="auto"/>
              <w:rPr>
                <w:rFonts w:ascii="Times New Roman" w:hAnsi="Times New Roman" w:eastAsia="宋体" w:cs="Times New Roman"/>
                <w:sz w:val="24"/>
                <w:szCs w:val="24"/>
              </w:rPr>
            </w:pPr>
          </w:p>
        </w:tc>
        <w:tc>
          <w:tcPr>
            <w:tcW w:w="1240" w:type="dxa"/>
            <w:vAlign w:val="center"/>
          </w:tcPr>
          <w:p w14:paraId="2DDCD6D0">
            <w:pPr>
              <w:spacing w:line="288" w:lineRule="auto"/>
              <w:rPr>
                <w:rFonts w:ascii="Times New Roman" w:hAnsi="Times New Roman" w:eastAsia="宋体" w:cs="Times New Roman"/>
                <w:sz w:val="24"/>
                <w:szCs w:val="24"/>
              </w:rPr>
            </w:pPr>
          </w:p>
        </w:tc>
      </w:tr>
      <w:tr w14:paraId="5AA77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248A6A79">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062923FB">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服务商以协议的方式约定保密责任，遵守相关保密制度。</w:t>
            </w:r>
          </w:p>
        </w:tc>
        <w:tc>
          <w:tcPr>
            <w:tcW w:w="2575" w:type="dxa"/>
            <w:vAlign w:val="center"/>
          </w:tcPr>
          <w:p w14:paraId="6B528407">
            <w:pPr>
              <w:spacing w:line="288" w:lineRule="auto"/>
              <w:rPr>
                <w:rFonts w:ascii="Times New Roman" w:hAnsi="Times New Roman" w:eastAsia="宋体" w:cs="Times New Roman"/>
                <w:sz w:val="24"/>
                <w:szCs w:val="24"/>
              </w:rPr>
            </w:pPr>
          </w:p>
        </w:tc>
        <w:tc>
          <w:tcPr>
            <w:tcW w:w="1240" w:type="dxa"/>
            <w:vAlign w:val="center"/>
          </w:tcPr>
          <w:p w14:paraId="34C7C466">
            <w:pPr>
              <w:spacing w:line="288" w:lineRule="auto"/>
              <w:rPr>
                <w:rFonts w:ascii="Times New Roman" w:hAnsi="Times New Roman" w:eastAsia="宋体" w:cs="Times New Roman"/>
                <w:sz w:val="24"/>
                <w:szCs w:val="24"/>
              </w:rPr>
            </w:pPr>
          </w:p>
        </w:tc>
      </w:tr>
      <w:tr w14:paraId="49D0AC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23C865C5">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251A825F">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参与项目实施的人员不得有违法犯罪的记录。</w:t>
            </w:r>
          </w:p>
        </w:tc>
        <w:tc>
          <w:tcPr>
            <w:tcW w:w="2575" w:type="dxa"/>
            <w:vAlign w:val="center"/>
          </w:tcPr>
          <w:p w14:paraId="483FED5B">
            <w:pPr>
              <w:spacing w:line="288" w:lineRule="auto"/>
              <w:rPr>
                <w:rFonts w:ascii="Times New Roman" w:hAnsi="Times New Roman" w:eastAsia="宋体" w:cs="Times New Roman"/>
                <w:sz w:val="24"/>
                <w:szCs w:val="24"/>
              </w:rPr>
            </w:pPr>
          </w:p>
        </w:tc>
        <w:tc>
          <w:tcPr>
            <w:tcW w:w="1240" w:type="dxa"/>
            <w:vAlign w:val="center"/>
          </w:tcPr>
          <w:p w14:paraId="631BCF33">
            <w:pPr>
              <w:spacing w:line="288" w:lineRule="auto"/>
              <w:rPr>
                <w:rFonts w:ascii="Times New Roman" w:hAnsi="Times New Roman" w:eastAsia="宋体" w:cs="Times New Roman"/>
                <w:sz w:val="24"/>
                <w:szCs w:val="24"/>
              </w:rPr>
            </w:pPr>
          </w:p>
        </w:tc>
      </w:tr>
      <w:tr w14:paraId="462C6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7AB9834C">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05F0EB52">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严格执行保密制度，服务商必须做好保密工作，服务商不得以任何形式（复印、扫描、照相、转抄等）向第三方泄密。</w:t>
            </w:r>
          </w:p>
        </w:tc>
        <w:tc>
          <w:tcPr>
            <w:tcW w:w="2575" w:type="dxa"/>
            <w:vAlign w:val="center"/>
          </w:tcPr>
          <w:p w14:paraId="54A3EAA2">
            <w:pPr>
              <w:spacing w:line="288" w:lineRule="auto"/>
              <w:rPr>
                <w:rFonts w:ascii="Times New Roman" w:hAnsi="Times New Roman" w:eastAsia="宋体" w:cs="Times New Roman"/>
                <w:sz w:val="24"/>
                <w:szCs w:val="24"/>
              </w:rPr>
            </w:pPr>
          </w:p>
        </w:tc>
        <w:tc>
          <w:tcPr>
            <w:tcW w:w="1240" w:type="dxa"/>
            <w:vAlign w:val="center"/>
          </w:tcPr>
          <w:p w14:paraId="3E80F7DD">
            <w:pPr>
              <w:spacing w:line="288" w:lineRule="auto"/>
              <w:rPr>
                <w:rFonts w:ascii="Times New Roman" w:hAnsi="Times New Roman" w:eastAsia="宋体" w:cs="Times New Roman"/>
                <w:sz w:val="24"/>
                <w:szCs w:val="24"/>
              </w:rPr>
            </w:pPr>
          </w:p>
        </w:tc>
      </w:tr>
      <w:tr w14:paraId="12375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6AD37470">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1AD2A4AE">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数字化病案资料的所有权归属采购人，在项目结束时都必须完整移交。</w:t>
            </w:r>
          </w:p>
        </w:tc>
        <w:tc>
          <w:tcPr>
            <w:tcW w:w="2575" w:type="dxa"/>
            <w:vAlign w:val="center"/>
          </w:tcPr>
          <w:p w14:paraId="43EF656F">
            <w:pPr>
              <w:spacing w:line="288" w:lineRule="auto"/>
              <w:rPr>
                <w:rFonts w:ascii="Times New Roman" w:hAnsi="Times New Roman" w:eastAsia="宋体" w:cs="Times New Roman"/>
                <w:sz w:val="24"/>
                <w:szCs w:val="24"/>
              </w:rPr>
            </w:pPr>
          </w:p>
        </w:tc>
        <w:tc>
          <w:tcPr>
            <w:tcW w:w="1240" w:type="dxa"/>
            <w:vAlign w:val="center"/>
          </w:tcPr>
          <w:p w14:paraId="464B29D3">
            <w:pPr>
              <w:spacing w:line="288" w:lineRule="auto"/>
              <w:rPr>
                <w:rFonts w:ascii="Times New Roman" w:hAnsi="Times New Roman" w:eastAsia="宋体" w:cs="Times New Roman"/>
                <w:sz w:val="24"/>
                <w:szCs w:val="24"/>
              </w:rPr>
            </w:pPr>
          </w:p>
        </w:tc>
      </w:tr>
      <w:tr w14:paraId="1B9C78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778E9EB4">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54934D24">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违约责任与赔偿损失：</w:t>
            </w:r>
          </w:p>
          <w:p w14:paraId="662ED724">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如服务商未履行保密义务，服务商应依法承担违约责任，如违约则须向采购人赔偿采购人认定损失额的十倍（至少10万元）并承担一切法律责任。具体的行为与事件以双方调查，并以司法机关与采购人的调查，相关证据为准。</w:t>
            </w:r>
          </w:p>
          <w:p w14:paraId="428BFCB8">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2）如服务商因未履行保密义务造成采购人损失的，服务商应依法承担损失赔偿责任，具体赔偿责任以实际行为与事件定责，并且包括名誉损失，名誉损失的，服务商将公关，消除相应负面影响，恢复采购人名誉，再进行经济赔偿。所有的责任定损如果双方不一致，可引入公平公正具有司法效应的第三方定损公司来介入调查定损，调查公司的费用由服务商承担。</w:t>
            </w:r>
          </w:p>
        </w:tc>
        <w:tc>
          <w:tcPr>
            <w:tcW w:w="2575" w:type="dxa"/>
            <w:vAlign w:val="center"/>
          </w:tcPr>
          <w:p w14:paraId="5295EF8A">
            <w:pPr>
              <w:spacing w:line="288" w:lineRule="auto"/>
              <w:rPr>
                <w:rFonts w:ascii="Times New Roman" w:hAnsi="Times New Roman" w:eastAsia="宋体" w:cs="Times New Roman"/>
                <w:sz w:val="24"/>
                <w:szCs w:val="24"/>
              </w:rPr>
            </w:pPr>
          </w:p>
        </w:tc>
        <w:tc>
          <w:tcPr>
            <w:tcW w:w="1240" w:type="dxa"/>
            <w:vAlign w:val="center"/>
          </w:tcPr>
          <w:p w14:paraId="2BA96A1F">
            <w:pPr>
              <w:spacing w:line="288" w:lineRule="auto"/>
              <w:rPr>
                <w:rFonts w:ascii="Times New Roman" w:hAnsi="Times New Roman" w:eastAsia="宋体" w:cs="Times New Roman"/>
                <w:sz w:val="24"/>
                <w:szCs w:val="24"/>
              </w:rPr>
            </w:pPr>
          </w:p>
        </w:tc>
      </w:tr>
      <w:tr w14:paraId="7D128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663425B6">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56488F87">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技术培训要求</w:t>
            </w:r>
          </w:p>
          <w:p w14:paraId="6283BE1B">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（1）服务商负责对采购人病案管理人员进行病案数字化相关方面的培训，保证项目终止前，采购人相关人员熟练掌握该项技能。</w:t>
            </w:r>
          </w:p>
          <w:p w14:paraId="7A16A45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（2）培训内容包括：纸质病案扫描，病案数据库建立和维护，病案数码影像信息管理系统使用和维护。</w:t>
            </w:r>
          </w:p>
        </w:tc>
        <w:tc>
          <w:tcPr>
            <w:tcW w:w="2575" w:type="dxa"/>
            <w:vAlign w:val="center"/>
          </w:tcPr>
          <w:p w14:paraId="52FB2155">
            <w:pPr>
              <w:spacing w:line="288" w:lineRule="auto"/>
              <w:rPr>
                <w:rFonts w:ascii="Times New Roman" w:hAnsi="Times New Roman" w:eastAsia="宋体" w:cs="Times New Roman"/>
                <w:sz w:val="24"/>
                <w:szCs w:val="24"/>
              </w:rPr>
            </w:pPr>
          </w:p>
        </w:tc>
        <w:tc>
          <w:tcPr>
            <w:tcW w:w="1240" w:type="dxa"/>
            <w:vAlign w:val="center"/>
          </w:tcPr>
          <w:p w14:paraId="399B2391">
            <w:pPr>
              <w:spacing w:line="288" w:lineRule="auto"/>
              <w:rPr>
                <w:rFonts w:ascii="Times New Roman" w:hAnsi="Times New Roman" w:eastAsia="宋体" w:cs="Times New Roman"/>
                <w:sz w:val="24"/>
                <w:szCs w:val="24"/>
              </w:rPr>
            </w:pPr>
          </w:p>
        </w:tc>
      </w:tr>
      <w:tr w14:paraId="23EF2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46" w:type="dxa"/>
            <w:vAlign w:val="center"/>
          </w:tcPr>
          <w:p w14:paraId="67EBB3CF">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338F788A">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供应商的业绩有那些？可填写表4</w:t>
            </w:r>
          </w:p>
        </w:tc>
        <w:tc>
          <w:tcPr>
            <w:tcW w:w="2575" w:type="dxa"/>
            <w:vAlign w:val="center"/>
          </w:tcPr>
          <w:p w14:paraId="1799E905">
            <w:pPr>
              <w:spacing w:line="288" w:lineRule="auto"/>
              <w:rPr>
                <w:rFonts w:ascii="Times New Roman" w:hAnsi="Times New Roman" w:eastAsia="宋体" w:cs="Times New Roman"/>
                <w:sz w:val="24"/>
                <w:szCs w:val="24"/>
              </w:rPr>
            </w:pPr>
          </w:p>
        </w:tc>
        <w:tc>
          <w:tcPr>
            <w:tcW w:w="1240" w:type="dxa"/>
            <w:vAlign w:val="center"/>
          </w:tcPr>
          <w:p w14:paraId="5AB9CCA2">
            <w:pPr>
              <w:spacing w:line="288" w:lineRule="auto"/>
              <w:rPr>
                <w:rFonts w:ascii="Times New Roman" w:hAnsi="Times New Roman" w:eastAsia="宋体" w:cs="Times New Roman"/>
                <w:sz w:val="24"/>
                <w:szCs w:val="24"/>
              </w:rPr>
            </w:pPr>
          </w:p>
        </w:tc>
      </w:tr>
      <w:tr w14:paraId="3911B3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746" w:type="dxa"/>
            <w:vAlign w:val="center"/>
          </w:tcPr>
          <w:p w14:paraId="72FDD33B">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651C47AD">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考核表内容是否合理？有没有更好建议。</w:t>
            </w:r>
          </w:p>
        </w:tc>
        <w:tc>
          <w:tcPr>
            <w:tcW w:w="2575" w:type="dxa"/>
            <w:vAlign w:val="center"/>
          </w:tcPr>
          <w:p w14:paraId="44EC54C6">
            <w:pPr>
              <w:spacing w:line="288" w:lineRule="auto"/>
              <w:rPr>
                <w:rFonts w:ascii="Times New Roman" w:hAnsi="Times New Roman" w:eastAsia="宋体" w:cs="Times New Roman"/>
                <w:sz w:val="24"/>
                <w:szCs w:val="24"/>
              </w:rPr>
            </w:pPr>
          </w:p>
        </w:tc>
        <w:tc>
          <w:tcPr>
            <w:tcW w:w="1240" w:type="dxa"/>
            <w:vAlign w:val="center"/>
          </w:tcPr>
          <w:p w14:paraId="09E3B8E9">
            <w:pPr>
              <w:spacing w:line="288" w:lineRule="auto"/>
              <w:rPr>
                <w:rFonts w:ascii="Times New Roman" w:hAnsi="Times New Roman" w:eastAsia="宋体" w:cs="Times New Roman"/>
                <w:sz w:val="24"/>
                <w:szCs w:val="24"/>
              </w:rPr>
            </w:pPr>
          </w:p>
        </w:tc>
      </w:tr>
      <w:tr w14:paraId="693F4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746" w:type="dxa"/>
            <w:vAlign w:val="center"/>
          </w:tcPr>
          <w:p w14:paraId="6B691469">
            <w:pPr>
              <w:numPr>
                <w:ilvl w:val="0"/>
                <w:numId w:val="4"/>
              </w:numPr>
              <w:ind w:left="0" w:firstLine="0"/>
              <w:jc w:val="center"/>
              <w:rPr>
                <w:rFonts w:ascii="Times New Roman" w:hAnsi="Times New Roman" w:eastAsia="宋体" w:cs="Times New Roman"/>
                <w:kern w:val="0"/>
                <w:sz w:val="24"/>
                <w:szCs w:val="24"/>
              </w:rPr>
            </w:pPr>
          </w:p>
        </w:tc>
        <w:tc>
          <w:tcPr>
            <w:tcW w:w="5097" w:type="dxa"/>
            <w:vAlign w:val="center"/>
          </w:tcPr>
          <w:p w14:paraId="711BFCF8">
            <w:pPr>
              <w:spacing w:line="288" w:lineRule="auto"/>
              <w:rPr>
                <w:rFonts w:ascii="Times New Roman" w:hAnsi="Times New Roman" w:eastAsia="宋体" w:cs="Times New Roman"/>
                <w:sz w:val="24"/>
                <w:szCs w:val="24"/>
              </w:rPr>
            </w:pPr>
            <w:r>
              <w:rPr>
                <w:rFonts w:ascii="Times New Roman" w:hAnsi="Times New Roman" w:eastAsia="宋体" w:cs="Times New Roman"/>
                <w:sz w:val="24"/>
                <w:szCs w:val="24"/>
              </w:rPr>
              <w:t>考核结果与支付金额对应的建议？</w:t>
            </w:r>
          </w:p>
        </w:tc>
        <w:tc>
          <w:tcPr>
            <w:tcW w:w="2575" w:type="dxa"/>
            <w:vAlign w:val="center"/>
          </w:tcPr>
          <w:p w14:paraId="5DCC9D0C">
            <w:pPr>
              <w:spacing w:line="288" w:lineRule="auto"/>
              <w:rPr>
                <w:rFonts w:ascii="Times New Roman" w:hAnsi="Times New Roman" w:eastAsia="宋体" w:cs="Times New Roman"/>
                <w:sz w:val="24"/>
                <w:szCs w:val="24"/>
              </w:rPr>
            </w:pPr>
          </w:p>
        </w:tc>
        <w:tc>
          <w:tcPr>
            <w:tcW w:w="1240" w:type="dxa"/>
            <w:vAlign w:val="center"/>
          </w:tcPr>
          <w:p w14:paraId="0D896E8C">
            <w:pPr>
              <w:spacing w:line="288" w:lineRule="auto"/>
              <w:rPr>
                <w:rFonts w:ascii="Times New Roman" w:hAnsi="Times New Roman" w:eastAsia="宋体" w:cs="Times New Roman"/>
                <w:sz w:val="24"/>
                <w:szCs w:val="24"/>
              </w:rPr>
            </w:pPr>
          </w:p>
        </w:tc>
      </w:tr>
    </w:tbl>
    <w:p w14:paraId="0BA8FCE5">
      <w:pPr>
        <w:pStyle w:val="4"/>
        <w:ind w:firstLine="0" w:firstLineChars="0"/>
        <w:rPr>
          <w:rFonts w:ascii="仿宋" w:hAnsi="仿宋" w:eastAsia="仿宋"/>
          <w:b/>
          <w:bCs/>
          <w:kern w:val="0"/>
          <w:sz w:val="24"/>
          <w:szCs w:val="24"/>
        </w:rPr>
      </w:pPr>
      <w:r>
        <w:rPr>
          <w:rFonts w:hint="eastAsia" w:ascii="仿宋" w:hAnsi="仿宋" w:eastAsia="仿宋"/>
          <w:b/>
          <w:bCs/>
          <w:kern w:val="0"/>
          <w:sz w:val="24"/>
          <w:szCs w:val="24"/>
        </w:rPr>
        <w:t>【备注】供应商可自行增加表格行数进行完整说明，宣传彩页或实体照片、第三方检测报告（如有）、人员证书等佐证资料附表后。</w:t>
      </w:r>
    </w:p>
    <w:p w14:paraId="1A1DB81F">
      <w:pPr>
        <w:widowControl/>
        <w:spacing w:after="150" w:line="360" w:lineRule="auto"/>
        <w:ind w:firstLine="420"/>
        <w:jc w:val="right"/>
        <w:rPr>
          <w:rFonts w:ascii="仿宋" w:hAnsi="仿宋" w:eastAsia="仿宋"/>
          <w:kern w:val="0"/>
          <w:sz w:val="28"/>
          <w:szCs w:val="28"/>
        </w:rPr>
      </w:pPr>
    </w:p>
    <w:p w14:paraId="5BD0265B">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477B2A53">
      <w:pPr>
        <w:widowControl/>
        <w:spacing w:after="150" w:line="360" w:lineRule="auto"/>
        <w:ind w:firstLine="420"/>
        <w:jc w:val="right"/>
        <w:rPr>
          <w:rFonts w:ascii="仿宋" w:hAnsi="仿宋" w:eastAsia="仿宋" w:cs="宋体"/>
          <w:b/>
          <w:bCs/>
          <w:kern w:val="0"/>
          <w:sz w:val="28"/>
          <w:szCs w:val="28"/>
        </w:rPr>
      </w:pPr>
      <w:r>
        <w:rPr>
          <w:rFonts w:hint="eastAsia" w:ascii="仿宋" w:hAnsi="仿宋" w:eastAsia="仿宋"/>
          <w:kern w:val="0"/>
          <w:sz w:val="28"/>
          <w:szCs w:val="28"/>
        </w:rPr>
        <w:t>日期：</w:t>
      </w:r>
      <w:r>
        <w:rPr>
          <w:rFonts w:hint="eastAsia" w:ascii="仿宋" w:hAnsi="仿宋" w:eastAsia="仿宋"/>
          <w:kern w:val="0"/>
          <w:sz w:val="28"/>
          <w:szCs w:val="28"/>
          <w:u w:val="single"/>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p w14:paraId="2170F5CE">
      <w:pPr>
        <w:pStyle w:val="4"/>
        <w:ind w:firstLine="0" w:firstLineChars="0"/>
        <w:rPr>
          <w:rFonts w:ascii="仿宋" w:hAnsi="仿宋" w:eastAsia="仿宋" w:cs="宋体"/>
          <w:b/>
          <w:bCs/>
          <w:kern w:val="0"/>
          <w:sz w:val="28"/>
          <w:szCs w:val="28"/>
        </w:rPr>
      </w:pPr>
    </w:p>
    <w:p w14:paraId="3E3BD65E">
      <w:pPr>
        <w:pStyle w:val="4"/>
        <w:ind w:firstLine="0" w:firstLineChars="0"/>
        <w:rPr>
          <w:rFonts w:ascii="仿宋" w:hAnsi="仿宋" w:eastAsia="仿宋" w:cs="宋体"/>
          <w:b/>
          <w:bCs/>
          <w:kern w:val="0"/>
          <w:sz w:val="28"/>
          <w:szCs w:val="28"/>
        </w:rPr>
      </w:pPr>
    </w:p>
    <w:p w14:paraId="76532E93">
      <w:pPr>
        <w:pStyle w:val="4"/>
        <w:ind w:firstLine="0" w:firstLineChars="0"/>
        <w:rPr>
          <w:rFonts w:ascii="仿宋" w:hAnsi="仿宋" w:eastAsia="仿宋" w:cs="宋体"/>
          <w:b/>
          <w:bCs/>
          <w:kern w:val="0"/>
          <w:sz w:val="28"/>
          <w:szCs w:val="28"/>
        </w:rPr>
      </w:pPr>
      <w:r>
        <w:rPr>
          <w:rFonts w:hint="eastAsia" w:ascii="仿宋" w:hAnsi="仿宋" w:eastAsia="仿宋" w:cs="宋体"/>
          <w:b/>
          <w:bCs/>
          <w:kern w:val="0"/>
          <w:sz w:val="28"/>
          <w:szCs w:val="28"/>
        </w:rPr>
        <w:t>表7</w:t>
      </w:r>
    </w:p>
    <w:p w14:paraId="42972DEC">
      <w:pPr>
        <w:pStyle w:val="4"/>
        <w:spacing w:line="360" w:lineRule="auto"/>
        <w:ind w:firstLine="0" w:firstLineChars="0"/>
        <w:jc w:val="center"/>
        <w:outlineLvl w:val="1"/>
        <w:rPr>
          <w:rFonts w:ascii="仿宋" w:hAnsi="仿宋" w:eastAsia="仿宋" w:cs="宋体"/>
          <w:b/>
          <w:bCs/>
          <w:sz w:val="36"/>
          <w:szCs w:val="36"/>
        </w:rPr>
      </w:pPr>
      <w:r>
        <w:rPr>
          <w:rFonts w:hint="eastAsia" w:ascii="仿宋" w:hAnsi="仿宋" w:eastAsia="仿宋" w:cs="宋体"/>
          <w:b/>
          <w:bCs/>
          <w:sz w:val="36"/>
          <w:szCs w:val="36"/>
        </w:rPr>
        <w:t>报价单</w:t>
      </w:r>
      <w:r>
        <w:rPr>
          <w:rFonts w:hint="eastAsia" w:ascii="仿宋" w:hAnsi="仿宋" w:eastAsia="仿宋" w:cs="宋体"/>
          <w:b/>
          <w:bCs/>
          <w:color w:val="FF0000"/>
          <w:sz w:val="36"/>
          <w:szCs w:val="36"/>
        </w:rPr>
        <w:t>（必填）</w:t>
      </w:r>
    </w:p>
    <w:p w14:paraId="6E94951B">
      <w:pPr>
        <w:pStyle w:val="4"/>
        <w:spacing w:line="360" w:lineRule="auto"/>
        <w:ind w:firstLine="0" w:firstLineChars="0"/>
        <w:rPr>
          <w:rFonts w:ascii="仿宋" w:hAnsi="仿宋" w:eastAsia="仿宋" w:cs="宋体"/>
          <w:kern w:val="0"/>
          <w:sz w:val="28"/>
          <w:szCs w:val="28"/>
        </w:rPr>
      </w:pPr>
      <w:r>
        <w:rPr>
          <w:rFonts w:hint="eastAsia" w:ascii="仿宋" w:hAnsi="仿宋" w:eastAsia="仿宋" w:cs="宋体"/>
          <w:kern w:val="0"/>
          <w:sz w:val="28"/>
          <w:szCs w:val="28"/>
        </w:rPr>
        <w:t>致：广州医科大学附属第三医院白云分院/广东广招国际招标有限公司</w:t>
      </w:r>
    </w:p>
    <w:tbl>
      <w:tblPr>
        <w:tblStyle w:val="13"/>
        <w:tblpPr w:leftFromText="180" w:rightFromText="180" w:vertAnchor="text" w:horzAnchor="page" w:tblpX="1334" w:tblpY="119"/>
        <w:tblOverlap w:val="never"/>
        <w:tblW w:w="9143" w:type="dxa"/>
        <w:tblInd w:w="0" w:type="dxa"/>
        <w:tblLayout w:type="autofit"/>
        <w:tblCellMar>
          <w:top w:w="0" w:type="dxa"/>
          <w:left w:w="108" w:type="dxa"/>
          <w:bottom w:w="0" w:type="dxa"/>
          <w:right w:w="108" w:type="dxa"/>
        </w:tblCellMar>
      </w:tblPr>
      <w:tblGrid>
        <w:gridCol w:w="779"/>
        <w:gridCol w:w="2712"/>
        <w:gridCol w:w="4612"/>
        <w:gridCol w:w="1040"/>
      </w:tblGrid>
      <w:tr w14:paraId="2E4DC889">
        <w:tblPrEx>
          <w:tblCellMar>
            <w:top w:w="0" w:type="dxa"/>
            <w:left w:w="108" w:type="dxa"/>
            <w:bottom w:w="0" w:type="dxa"/>
            <w:right w:w="108" w:type="dxa"/>
          </w:tblCellMar>
        </w:tblPrEx>
        <w:trPr>
          <w:trHeight w:val="1134" w:hRule="atLeast"/>
        </w:trPr>
        <w:tc>
          <w:tcPr>
            <w:tcW w:w="0" w:type="auto"/>
            <w:tcBorders>
              <w:top w:val="single" w:color="auto" w:sz="4" w:space="0"/>
              <w:left w:val="single" w:color="auto" w:sz="4" w:space="0"/>
              <w:bottom w:val="single" w:color="auto" w:sz="4" w:space="0"/>
              <w:right w:val="single" w:color="auto" w:sz="4" w:space="0"/>
            </w:tcBorders>
            <w:vAlign w:val="center"/>
          </w:tcPr>
          <w:p w14:paraId="75C4F536">
            <w:pPr>
              <w:rPr>
                <w:rFonts w:ascii="新宋体" w:hAnsi="新宋体" w:eastAsia="新宋体" w:cs="新宋体"/>
                <w:b/>
                <w:sz w:val="28"/>
                <w:szCs w:val="28"/>
              </w:rPr>
            </w:pPr>
            <w:r>
              <w:rPr>
                <w:rFonts w:hint="eastAsia" w:ascii="新宋体" w:hAnsi="新宋体" w:eastAsia="新宋体" w:cs="新宋体"/>
                <w:b/>
                <w:sz w:val="28"/>
                <w:szCs w:val="28"/>
              </w:rPr>
              <w:t>序号</w:t>
            </w:r>
          </w:p>
        </w:tc>
        <w:tc>
          <w:tcPr>
            <w:tcW w:w="2712" w:type="dxa"/>
            <w:tcBorders>
              <w:top w:val="single" w:color="auto" w:sz="4" w:space="0"/>
              <w:left w:val="single" w:color="auto" w:sz="4" w:space="0"/>
              <w:bottom w:val="single" w:color="auto" w:sz="4" w:space="0"/>
              <w:right w:val="single" w:color="auto" w:sz="4" w:space="0"/>
            </w:tcBorders>
            <w:vAlign w:val="center"/>
          </w:tcPr>
          <w:p w14:paraId="528770F1">
            <w:pPr>
              <w:jc w:val="center"/>
              <w:rPr>
                <w:rFonts w:ascii="新宋体" w:hAnsi="新宋体" w:eastAsia="新宋体" w:cs="新宋体"/>
                <w:b/>
                <w:sz w:val="28"/>
                <w:szCs w:val="28"/>
              </w:rPr>
            </w:pPr>
            <w:r>
              <w:rPr>
                <w:rFonts w:hint="eastAsia" w:ascii="新宋体" w:hAnsi="新宋体" w:eastAsia="新宋体" w:cs="新宋体"/>
                <w:b/>
                <w:sz w:val="28"/>
                <w:szCs w:val="28"/>
              </w:rPr>
              <w:t>项目名称</w:t>
            </w:r>
          </w:p>
        </w:tc>
        <w:tc>
          <w:tcPr>
            <w:tcW w:w="4612" w:type="dxa"/>
            <w:tcBorders>
              <w:top w:val="single" w:color="auto" w:sz="4" w:space="0"/>
              <w:left w:val="single" w:color="auto" w:sz="4" w:space="0"/>
              <w:bottom w:val="single" w:color="auto" w:sz="4" w:space="0"/>
              <w:right w:val="single" w:color="auto" w:sz="4" w:space="0"/>
            </w:tcBorders>
            <w:vAlign w:val="center"/>
          </w:tcPr>
          <w:p w14:paraId="0C039B47">
            <w:pPr>
              <w:jc w:val="center"/>
              <w:rPr>
                <w:rFonts w:ascii="新宋体" w:hAnsi="新宋体" w:eastAsia="新宋体" w:cs="新宋体"/>
                <w:b/>
                <w:color w:val="FF0000"/>
                <w:sz w:val="28"/>
                <w:szCs w:val="28"/>
              </w:rPr>
            </w:pPr>
            <w:r>
              <w:rPr>
                <w:rFonts w:hint="eastAsia" w:ascii="新宋体" w:hAnsi="新宋体" w:eastAsia="新宋体" w:cs="新宋体"/>
                <w:b/>
                <w:sz w:val="28"/>
                <w:szCs w:val="28"/>
              </w:rPr>
              <w:t>报价（人民币 元/单页面）</w:t>
            </w:r>
          </w:p>
        </w:tc>
        <w:tc>
          <w:tcPr>
            <w:tcW w:w="1040" w:type="dxa"/>
            <w:tcBorders>
              <w:top w:val="single" w:color="auto" w:sz="4" w:space="0"/>
              <w:left w:val="single" w:color="auto" w:sz="4" w:space="0"/>
              <w:bottom w:val="single" w:color="auto" w:sz="4" w:space="0"/>
              <w:right w:val="single" w:color="auto" w:sz="4" w:space="0"/>
            </w:tcBorders>
            <w:vAlign w:val="center"/>
          </w:tcPr>
          <w:p w14:paraId="2620DA14">
            <w:pPr>
              <w:jc w:val="center"/>
              <w:rPr>
                <w:rFonts w:ascii="新宋体" w:hAnsi="新宋体" w:eastAsia="新宋体" w:cs="新宋体"/>
                <w:b/>
                <w:sz w:val="28"/>
                <w:szCs w:val="28"/>
              </w:rPr>
            </w:pPr>
            <w:r>
              <w:rPr>
                <w:rFonts w:hint="eastAsia" w:ascii="新宋体" w:hAnsi="新宋体" w:eastAsia="新宋体" w:cs="新宋体"/>
                <w:b/>
                <w:sz w:val="28"/>
                <w:szCs w:val="28"/>
              </w:rPr>
              <w:t>备注</w:t>
            </w:r>
          </w:p>
        </w:tc>
      </w:tr>
      <w:tr w14:paraId="5A45A52E">
        <w:tblPrEx>
          <w:tblCellMar>
            <w:top w:w="0" w:type="dxa"/>
            <w:left w:w="108" w:type="dxa"/>
            <w:bottom w:w="0" w:type="dxa"/>
            <w:right w:w="108" w:type="dxa"/>
          </w:tblCellMar>
        </w:tblPrEx>
        <w:trPr>
          <w:trHeight w:val="1134" w:hRule="atLeast"/>
        </w:trPr>
        <w:tc>
          <w:tcPr>
            <w:tcW w:w="0" w:type="auto"/>
            <w:tcBorders>
              <w:top w:val="single" w:color="auto" w:sz="4" w:space="0"/>
              <w:left w:val="single" w:color="auto" w:sz="4" w:space="0"/>
              <w:bottom w:val="single" w:color="auto" w:sz="4" w:space="0"/>
              <w:right w:val="single" w:color="auto" w:sz="4" w:space="0"/>
            </w:tcBorders>
            <w:vAlign w:val="center"/>
          </w:tcPr>
          <w:p w14:paraId="503F1A93">
            <w:pPr>
              <w:jc w:val="center"/>
              <w:rPr>
                <w:rFonts w:ascii="新宋体" w:hAnsi="新宋体" w:eastAsia="新宋体" w:cs="新宋体"/>
                <w:b/>
                <w:sz w:val="28"/>
                <w:szCs w:val="28"/>
              </w:rPr>
            </w:pPr>
            <w:r>
              <w:rPr>
                <w:rFonts w:hint="eastAsia" w:ascii="新宋体" w:hAnsi="新宋体" w:eastAsia="新宋体" w:cs="新宋体"/>
                <w:bCs/>
                <w:sz w:val="28"/>
                <w:szCs w:val="28"/>
              </w:rPr>
              <w:t>1</w:t>
            </w:r>
          </w:p>
        </w:tc>
        <w:tc>
          <w:tcPr>
            <w:tcW w:w="2712" w:type="dxa"/>
            <w:tcBorders>
              <w:top w:val="single" w:color="auto" w:sz="4" w:space="0"/>
              <w:left w:val="single" w:color="auto" w:sz="4" w:space="0"/>
              <w:bottom w:val="single" w:color="auto" w:sz="4" w:space="0"/>
              <w:right w:val="single" w:color="auto" w:sz="4" w:space="0"/>
            </w:tcBorders>
            <w:vAlign w:val="center"/>
          </w:tcPr>
          <w:p w14:paraId="4FB468CF">
            <w:pPr>
              <w:jc w:val="center"/>
              <w:rPr>
                <w:rFonts w:ascii="新宋体" w:hAnsi="新宋体" w:eastAsia="新宋体" w:cs="新宋体"/>
                <w:b/>
                <w:sz w:val="28"/>
                <w:szCs w:val="28"/>
              </w:rPr>
            </w:pPr>
            <w:r>
              <w:rPr>
                <w:rFonts w:hint="eastAsia" w:asciiTheme="minorEastAsia" w:hAnsiTheme="minorEastAsia" w:cstheme="minorEastAsia"/>
                <w:sz w:val="28"/>
                <w:szCs w:val="28"/>
              </w:rPr>
              <w:t>广州医科大学附属第三医院白云分院（广州市白云区妇幼保健院）病案数字化扫描及托管采购</w:t>
            </w:r>
          </w:p>
        </w:tc>
        <w:tc>
          <w:tcPr>
            <w:tcW w:w="4612" w:type="dxa"/>
            <w:tcBorders>
              <w:top w:val="single" w:color="auto" w:sz="4" w:space="0"/>
              <w:left w:val="single" w:color="auto" w:sz="4" w:space="0"/>
              <w:bottom w:val="single" w:color="auto" w:sz="4" w:space="0"/>
              <w:right w:val="single" w:color="auto" w:sz="4" w:space="0"/>
            </w:tcBorders>
            <w:vAlign w:val="center"/>
          </w:tcPr>
          <w:p w14:paraId="4427B7B9">
            <w:pPr>
              <w:rPr>
                <w:rFonts w:ascii="新宋体" w:hAnsi="新宋体" w:eastAsia="新宋体" w:cs="新宋体"/>
                <w:bCs/>
                <w:sz w:val="28"/>
                <w:szCs w:val="28"/>
              </w:rPr>
            </w:pPr>
            <w:r>
              <w:rPr>
                <w:rFonts w:hint="eastAsia" w:ascii="新宋体" w:hAnsi="新宋体" w:eastAsia="新宋体" w:cs="新宋体"/>
                <w:bCs/>
                <w:sz w:val="28"/>
                <w:szCs w:val="28"/>
              </w:rPr>
              <w:t>大写：</w:t>
            </w:r>
            <w:r>
              <w:rPr>
                <w:rFonts w:hint="eastAsia" w:ascii="新宋体" w:hAnsi="新宋体" w:eastAsia="新宋体" w:cs="新宋体"/>
                <w:b/>
                <w:sz w:val="28"/>
                <w:szCs w:val="28"/>
              </w:rPr>
              <w:t>人民币</w:t>
            </w:r>
            <w:r>
              <w:rPr>
                <w:rFonts w:hint="eastAsia" w:ascii="新宋体" w:hAnsi="新宋体" w:eastAsia="新宋体" w:cs="新宋体"/>
                <w:bCs/>
                <w:sz w:val="28"/>
                <w:szCs w:val="28"/>
                <w:u w:val="single"/>
              </w:rPr>
              <w:t xml:space="preserve">         </w:t>
            </w:r>
            <w:r>
              <w:rPr>
                <w:rFonts w:hint="eastAsia" w:ascii="新宋体" w:hAnsi="新宋体" w:eastAsia="新宋体" w:cs="新宋体"/>
                <w:b/>
                <w:sz w:val="28"/>
                <w:szCs w:val="28"/>
              </w:rPr>
              <w:t>元/单页面</w:t>
            </w:r>
          </w:p>
          <w:p w14:paraId="564B557E">
            <w:pPr>
              <w:rPr>
                <w:rFonts w:ascii="新宋体" w:hAnsi="新宋体" w:eastAsia="新宋体" w:cs="新宋体"/>
                <w:b/>
                <w:sz w:val="28"/>
                <w:szCs w:val="28"/>
              </w:rPr>
            </w:pPr>
            <w:r>
              <w:rPr>
                <w:rFonts w:hint="eastAsia" w:ascii="新宋体" w:hAnsi="新宋体" w:eastAsia="新宋体" w:cs="新宋体"/>
                <w:bCs/>
                <w:sz w:val="28"/>
                <w:szCs w:val="28"/>
              </w:rPr>
              <w:t>小写：</w:t>
            </w:r>
            <w:r>
              <w:rPr>
                <w:rFonts w:hint="eastAsia" w:ascii="新宋体" w:hAnsi="新宋体" w:eastAsia="新宋体" w:cs="新宋体"/>
                <w:b/>
                <w:sz w:val="28"/>
                <w:szCs w:val="28"/>
              </w:rPr>
              <w:t>人民币</w:t>
            </w:r>
            <w:r>
              <w:rPr>
                <w:rFonts w:hint="eastAsia" w:ascii="新宋体" w:hAnsi="新宋体" w:eastAsia="新宋体" w:cs="新宋体"/>
                <w:bCs/>
                <w:sz w:val="28"/>
                <w:szCs w:val="28"/>
                <w:u w:val="single"/>
              </w:rPr>
              <w:t xml:space="preserve">         </w:t>
            </w:r>
            <w:r>
              <w:rPr>
                <w:rFonts w:hint="eastAsia" w:ascii="新宋体" w:hAnsi="新宋体" w:eastAsia="新宋体" w:cs="新宋体"/>
                <w:b/>
                <w:sz w:val="28"/>
                <w:szCs w:val="28"/>
              </w:rPr>
              <w:t>元/单页面</w:t>
            </w:r>
          </w:p>
        </w:tc>
        <w:tc>
          <w:tcPr>
            <w:tcW w:w="1040" w:type="dxa"/>
            <w:tcBorders>
              <w:top w:val="single" w:color="auto" w:sz="4" w:space="0"/>
              <w:left w:val="single" w:color="auto" w:sz="4" w:space="0"/>
              <w:bottom w:val="single" w:color="auto" w:sz="4" w:space="0"/>
              <w:right w:val="single" w:color="auto" w:sz="4" w:space="0"/>
            </w:tcBorders>
            <w:vAlign w:val="center"/>
          </w:tcPr>
          <w:p w14:paraId="152204F7">
            <w:pPr>
              <w:jc w:val="center"/>
              <w:rPr>
                <w:rFonts w:ascii="新宋体" w:hAnsi="新宋体" w:eastAsia="新宋体" w:cs="新宋体"/>
                <w:b/>
                <w:sz w:val="28"/>
                <w:szCs w:val="28"/>
              </w:rPr>
            </w:pPr>
          </w:p>
        </w:tc>
      </w:tr>
    </w:tbl>
    <w:p w14:paraId="65834B66">
      <w:pPr>
        <w:widowControl/>
        <w:spacing w:after="150" w:line="360" w:lineRule="auto"/>
        <w:ind w:firstLine="420"/>
        <w:jc w:val="right"/>
        <w:rPr>
          <w:rFonts w:ascii="仿宋" w:hAnsi="仿宋" w:eastAsia="仿宋"/>
          <w:kern w:val="0"/>
          <w:sz w:val="28"/>
          <w:szCs w:val="28"/>
        </w:rPr>
      </w:pPr>
    </w:p>
    <w:p w14:paraId="41B0B9DD">
      <w:pPr>
        <w:widowControl/>
        <w:spacing w:after="150" w:line="360" w:lineRule="auto"/>
        <w:ind w:firstLine="420"/>
        <w:jc w:val="right"/>
        <w:rPr>
          <w:rFonts w:ascii="仿宋" w:hAnsi="仿宋" w:eastAsia="仿宋"/>
          <w:kern w:val="0"/>
          <w:sz w:val="28"/>
          <w:szCs w:val="28"/>
        </w:rPr>
      </w:pPr>
    </w:p>
    <w:p w14:paraId="2FEB7E87">
      <w:pPr>
        <w:widowControl/>
        <w:spacing w:after="150" w:line="360" w:lineRule="auto"/>
        <w:ind w:firstLine="420"/>
        <w:jc w:val="right"/>
        <w:rPr>
          <w:rFonts w:ascii="仿宋" w:hAnsi="仿宋" w:eastAsia="仿宋"/>
          <w:kern w:val="0"/>
          <w:sz w:val="28"/>
          <w:szCs w:val="28"/>
        </w:rPr>
      </w:pPr>
      <w:r>
        <w:rPr>
          <w:rFonts w:hint="eastAsia" w:ascii="仿宋" w:hAnsi="仿宋" w:eastAsia="仿宋"/>
          <w:kern w:val="0"/>
          <w:sz w:val="28"/>
          <w:szCs w:val="28"/>
        </w:rPr>
        <w:t>公司名称：</w:t>
      </w:r>
      <w:r>
        <w:rPr>
          <w:rFonts w:hint="eastAsia" w:ascii="仿宋" w:hAnsi="仿宋" w:eastAsia="仿宋"/>
          <w:kern w:val="0"/>
          <w:sz w:val="28"/>
          <w:szCs w:val="28"/>
          <w:u w:val="single"/>
        </w:rPr>
        <w:t>（全称并加盖单位公章）</w:t>
      </w:r>
    </w:p>
    <w:p w14:paraId="7649EE12">
      <w:pPr>
        <w:widowControl/>
        <w:spacing w:after="150" w:line="360" w:lineRule="auto"/>
        <w:ind w:firstLine="420"/>
        <w:jc w:val="right"/>
      </w:pPr>
      <w:r>
        <w:rPr>
          <w:rFonts w:hint="eastAsia" w:ascii="仿宋" w:hAnsi="仿宋" w:eastAsia="仿宋"/>
          <w:kern w:val="0"/>
          <w:sz w:val="28"/>
          <w:szCs w:val="28"/>
        </w:rPr>
        <w:t>日期：</w:t>
      </w:r>
      <w:r>
        <w:rPr>
          <w:rFonts w:hint="eastAsia" w:ascii="仿宋" w:hAnsi="仿宋" w:eastAsia="仿宋"/>
          <w:kern w:val="0"/>
          <w:sz w:val="28"/>
          <w:szCs w:val="28"/>
          <w:u w:val="single"/>
        </w:rPr>
        <w:t>2026</w:t>
      </w:r>
      <w:r>
        <w:rPr>
          <w:rFonts w:hint="eastAsia" w:ascii="仿宋" w:hAnsi="仿宋" w:eastAsia="仿宋"/>
          <w:kern w:val="0"/>
          <w:sz w:val="28"/>
          <w:szCs w:val="28"/>
        </w:rPr>
        <w:t>年</w:t>
      </w:r>
      <w:r>
        <w:rPr>
          <w:rFonts w:hint="eastAsia" w:ascii="仿宋" w:hAnsi="仿宋" w:eastAsia="仿宋"/>
          <w:kern w:val="0"/>
          <w:sz w:val="28"/>
          <w:szCs w:val="28"/>
          <w:u w:val="single"/>
        </w:rPr>
        <w:t xml:space="preserve">    </w:t>
      </w:r>
      <w:r>
        <w:rPr>
          <w:rFonts w:hint="eastAsia" w:ascii="仿宋" w:hAnsi="仿宋" w:eastAsia="仿宋"/>
          <w:kern w:val="0"/>
          <w:sz w:val="28"/>
          <w:szCs w:val="28"/>
        </w:rPr>
        <w:t>月</w:t>
      </w:r>
      <w:r>
        <w:rPr>
          <w:rFonts w:hint="eastAsia" w:ascii="仿宋" w:hAnsi="仿宋" w:eastAsia="仿宋"/>
          <w:kern w:val="0"/>
          <w:sz w:val="28"/>
          <w:szCs w:val="28"/>
          <w:u w:val="single"/>
        </w:rPr>
        <w:t xml:space="preserve">   </w:t>
      </w:r>
      <w:r>
        <w:rPr>
          <w:rFonts w:hint="eastAsia" w:ascii="仿宋" w:hAnsi="仿宋" w:eastAsia="仿宋"/>
          <w:kern w:val="0"/>
          <w:sz w:val="28"/>
          <w:szCs w:val="28"/>
        </w:rPr>
        <w:t>日</w:t>
      </w:r>
    </w:p>
    <w:sectPr>
      <w:footerReference r:id="rId3" w:type="default"/>
      <w:footerReference r:id="rId4" w:type="even"/>
      <w:pgSz w:w="11906" w:h="16838"/>
      <w:pgMar w:top="2098" w:right="1474" w:bottom="1985" w:left="1588" w:header="851" w:footer="1474"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D092ACAE-B933-4EBA-9081-F984F516CB7E}"/>
  </w:font>
  <w:font w:name="Segoe UI">
    <w:panose1 w:val="020B0502040204020203"/>
    <w:charset w:val="00"/>
    <w:family w:val="swiss"/>
    <w:pitch w:val="default"/>
    <w:sig w:usb0="E4002EFF" w:usb1="C000E47F" w:usb2="00000009" w:usb3="00000000" w:csb0="200001FF" w:csb1="00000000"/>
  </w:font>
  <w:font w:name="PMingLiU">
    <w:altName w:val="Microsoft JhengHei UI"/>
    <w:panose1 w:val="02010601000101010101"/>
    <w:charset w:val="88"/>
    <w:family w:val="auto"/>
    <w:pitch w:val="default"/>
    <w:sig w:usb0="00000000" w:usb1="00000000" w:usb2="00000010" w:usb3="00000000" w:csb0="00100000" w:csb1="00000000"/>
  </w:font>
  <w:font w:name="Microsoft JhengHei UI">
    <w:panose1 w:val="020B0604030504040204"/>
    <w:charset w:val="88"/>
    <w:family w:val="auto"/>
    <w:pitch w:val="default"/>
    <w:sig w:usb0="000002A7" w:usb1="28CF4400" w:usb2="00000016" w:usb3="00000000" w:csb0="00100009" w:csb1="00000000"/>
  </w:font>
  <w:font w:name="仿宋">
    <w:panose1 w:val="02010609060101010101"/>
    <w:charset w:val="86"/>
    <w:family w:val="modern"/>
    <w:pitch w:val="default"/>
    <w:sig w:usb0="800002BF" w:usb1="38CF7CFA" w:usb2="00000016" w:usb3="00000000" w:csb0="00040001" w:csb1="00000000"/>
    <w:embedRegular r:id="rId2" w:fontKey="{330338EA-CBEE-4CDE-8BEA-5ED027574E35}"/>
  </w:font>
  <w:font w:name="Wingdings 2">
    <w:panose1 w:val="05020102010507070707"/>
    <w:charset w:val="02"/>
    <w:family w:val="roman"/>
    <w:pitch w:val="default"/>
    <w:sig w:usb0="00000000" w:usb1="00000000" w:usb2="00000000" w:usb3="00000000" w:csb0="80000000" w:csb1="00000000"/>
    <w:embedRegular r:id="rId3" w:fontKey="{733BFFFF-E9FB-4B87-8923-07FF881D012C}"/>
  </w:font>
  <w:font w:name="新宋体">
    <w:panose1 w:val="02010609030101010101"/>
    <w:charset w:val="86"/>
    <w:family w:val="modern"/>
    <w:pitch w:val="default"/>
    <w:sig w:usb0="00000203" w:usb1="288F0000" w:usb2="00000006" w:usb3="00000000" w:csb0="00040001" w:csb1="00000000"/>
    <w:embedRegular r:id="rId4" w:fontKey="{38A105BB-2133-49E0-BC77-11BC42073654}"/>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04683169"/>
    </w:sdtPr>
    <w:sdtEndPr>
      <w:rPr>
        <w:rFonts w:ascii="宋体" w:hAnsi="宋体" w:eastAsia="宋体"/>
        <w:sz w:val="28"/>
        <w:szCs w:val="28"/>
      </w:rPr>
    </w:sdtEndPr>
    <w:sdtContent>
      <w:p w14:paraId="5A0281B1">
        <w:pPr>
          <w:pStyle w:val="10"/>
          <w:wordWrap w:val="0"/>
          <w:ind w:right="180"/>
          <w:jc w:val="right"/>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9 -</w:t>
        </w:r>
        <w:r>
          <w:rPr>
            <w:rFonts w:ascii="宋体" w:hAnsi="宋体" w:eastAsia="宋体"/>
            <w:sz w:val="28"/>
            <w:szCs w:val="28"/>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28297848"/>
    </w:sdtPr>
    <w:sdtEndPr>
      <w:rPr>
        <w:rFonts w:ascii="宋体" w:hAnsi="宋体" w:eastAsia="宋体"/>
        <w:sz w:val="28"/>
        <w:szCs w:val="28"/>
      </w:rPr>
    </w:sdtEndPr>
    <w:sdtContent>
      <w:p w14:paraId="1CD7E50C">
        <w:pPr>
          <w:pStyle w:val="10"/>
          <w:ind w:firstLine="180" w:firstLineChars="100"/>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w:t>
        </w:r>
        <w:r>
          <w:rPr>
            <w:rFonts w:ascii="宋体" w:hAnsi="宋体" w:eastAsia="宋体"/>
            <w:sz w:val="28"/>
            <w:szCs w:val="28"/>
          </w:rPr>
          <w:t xml:space="preserve"> 8 -</w:t>
        </w:r>
        <w:r>
          <w:rPr>
            <w:rFonts w:ascii="宋体" w:hAnsi="宋体" w:eastAsia="宋体"/>
            <w:sz w:val="28"/>
            <w:szCs w:val="28"/>
          </w:rPr>
          <w:fldChar w:fldCharType="end"/>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1D85B5"/>
    <w:multiLevelType w:val="singleLevel"/>
    <w:tmpl w:val="BB1D85B5"/>
    <w:lvl w:ilvl="0" w:tentative="0">
      <w:start w:val="1"/>
      <w:numFmt w:val="chineseCounting"/>
      <w:suff w:val="space"/>
      <w:lvlText w:val="%1、"/>
      <w:lvlJc w:val="left"/>
      <w:rPr>
        <w:rFonts w:hint="eastAsia"/>
      </w:rPr>
    </w:lvl>
  </w:abstractNum>
  <w:abstractNum w:abstractNumId="1">
    <w:nsid w:val="13359743"/>
    <w:multiLevelType w:val="singleLevel"/>
    <w:tmpl w:val="13359743"/>
    <w:lvl w:ilvl="0" w:tentative="0">
      <w:start w:val="1"/>
      <w:numFmt w:val="chineseCounting"/>
      <w:suff w:val="space"/>
      <w:lvlText w:val="（%1）"/>
      <w:lvlJc w:val="left"/>
      <w:rPr>
        <w:rFonts w:hint="eastAsia"/>
      </w:rPr>
    </w:lvl>
  </w:abstractNum>
  <w:abstractNum w:abstractNumId="2">
    <w:nsid w:val="6E62555C"/>
    <w:multiLevelType w:val="singleLevel"/>
    <w:tmpl w:val="6E62555C"/>
    <w:lvl w:ilvl="0" w:tentative="0">
      <w:start w:val="4"/>
      <w:numFmt w:val="chineseCounting"/>
      <w:suff w:val="space"/>
      <w:lvlText w:val="%1、"/>
      <w:lvlJc w:val="left"/>
      <w:rPr>
        <w:rFonts w:hint="eastAsia"/>
      </w:rPr>
    </w:lvl>
  </w:abstractNum>
  <w:abstractNum w:abstractNumId="3">
    <w:nsid w:val="75B2625A"/>
    <w:multiLevelType w:val="singleLevel"/>
    <w:tmpl w:val="75B2625A"/>
    <w:lvl w:ilvl="0" w:tentative="0">
      <w:start w:val="1"/>
      <w:numFmt w:val="decimal"/>
      <w:suff w:val="nothing"/>
      <w:lvlText w:val="%1."/>
      <w:lvlJc w:val="left"/>
      <w:pPr>
        <w:ind w:left="425" w:hanging="425"/>
      </w:pPr>
      <w:rPr>
        <w:rFont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3B9"/>
    <w:rsid w:val="00001994"/>
    <w:rsid w:val="0001003D"/>
    <w:rsid w:val="00010318"/>
    <w:rsid w:val="00023D0D"/>
    <w:rsid w:val="00024C05"/>
    <w:rsid w:val="00037915"/>
    <w:rsid w:val="0004124C"/>
    <w:rsid w:val="00055360"/>
    <w:rsid w:val="00062AE9"/>
    <w:rsid w:val="000675CB"/>
    <w:rsid w:val="00071686"/>
    <w:rsid w:val="00073755"/>
    <w:rsid w:val="00080120"/>
    <w:rsid w:val="00083967"/>
    <w:rsid w:val="00090226"/>
    <w:rsid w:val="00090392"/>
    <w:rsid w:val="00091148"/>
    <w:rsid w:val="000921C4"/>
    <w:rsid w:val="0009744B"/>
    <w:rsid w:val="000979F1"/>
    <w:rsid w:val="000A08B7"/>
    <w:rsid w:val="000A5A02"/>
    <w:rsid w:val="000C1FF9"/>
    <w:rsid w:val="000C29F9"/>
    <w:rsid w:val="000C5E9D"/>
    <w:rsid w:val="000C6C30"/>
    <w:rsid w:val="000D0B9B"/>
    <w:rsid w:val="000D0E4A"/>
    <w:rsid w:val="000E16AD"/>
    <w:rsid w:val="000E7C7C"/>
    <w:rsid w:val="000F00F6"/>
    <w:rsid w:val="000F3A05"/>
    <w:rsid w:val="00102483"/>
    <w:rsid w:val="001232F2"/>
    <w:rsid w:val="001257C2"/>
    <w:rsid w:val="00125B68"/>
    <w:rsid w:val="00133E86"/>
    <w:rsid w:val="00140B31"/>
    <w:rsid w:val="00143E2F"/>
    <w:rsid w:val="00155931"/>
    <w:rsid w:val="00157463"/>
    <w:rsid w:val="00180E27"/>
    <w:rsid w:val="0019552E"/>
    <w:rsid w:val="00195875"/>
    <w:rsid w:val="001A13A5"/>
    <w:rsid w:val="001C26FA"/>
    <w:rsid w:val="001C3FA1"/>
    <w:rsid w:val="001D13BB"/>
    <w:rsid w:val="001D6A81"/>
    <w:rsid w:val="001D76E0"/>
    <w:rsid w:val="001F34FC"/>
    <w:rsid w:val="00217D70"/>
    <w:rsid w:val="002200E4"/>
    <w:rsid w:val="00230CC7"/>
    <w:rsid w:val="00234D7F"/>
    <w:rsid w:val="00235CA4"/>
    <w:rsid w:val="002566A9"/>
    <w:rsid w:val="002616F8"/>
    <w:rsid w:val="002664A0"/>
    <w:rsid w:val="00275847"/>
    <w:rsid w:val="00281256"/>
    <w:rsid w:val="0028513A"/>
    <w:rsid w:val="00287C3F"/>
    <w:rsid w:val="00292461"/>
    <w:rsid w:val="002935EF"/>
    <w:rsid w:val="00297491"/>
    <w:rsid w:val="002B0323"/>
    <w:rsid w:val="002B49B7"/>
    <w:rsid w:val="002B76F8"/>
    <w:rsid w:val="002C1461"/>
    <w:rsid w:val="002C7D71"/>
    <w:rsid w:val="002D7836"/>
    <w:rsid w:val="002D793C"/>
    <w:rsid w:val="002F4F8E"/>
    <w:rsid w:val="003006A1"/>
    <w:rsid w:val="00307807"/>
    <w:rsid w:val="00322C88"/>
    <w:rsid w:val="00326420"/>
    <w:rsid w:val="00327924"/>
    <w:rsid w:val="00327FA7"/>
    <w:rsid w:val="0033346B"/>
    <w:rsid w:val="00343621"/>
    <w:rsid w:val="00346C55"/>
    <w:rsid w:val="0034714D"/>
    <w:rsid w:val="00347A03"/>
    <w:rsid w:val="00347DB0"/>
    <w:rsid w:val="00361813"/>
    <w:rsid w:val="00362F32"/>
    <w:rsid w:val="00367978"/>
    <w:rsid w:val="00383C75"/>
    <w:rsid w:val="00392A88"/>
    <w:rsid w:val="003A2091"/>
    <w:rsid w:val="003A4137"/>
    <w:rsid w:val="003B4843"/>
    <w:rsid w:val="003C46D2"/>
    <w:rsid w:val="003F0335"/>
    <w:rsid w:val="003F6ED6"/>
    <w:rsid w:val="0040676F"/>
    <w:rsid w:val="00411522"/>
    <w:rsid w:val="00414211"/>
    <w:rsid w:val="00414EAA"/>
    <w:rsid w:val="00416639"/>
    <w:rsid w:val="00420230"/>
    <w:rsid w:val="004237E7"/>
    <w:rsid w:val="00427C42"/>
    <w:rsid w:val="004343CC"/>
    <w:rsid w:val="00435FC2"/>
    <w:rsid w:val="00442C0D"/>
    <w:rsid w:val="00447F12"/>
    <w:rsid w:val="00464B7F"/>
    <w:rsid w:val="00475690"/>
    <w:rsid w:val="00481E4A"/>
    <w:rsid w:val="004A13CC"/>
    <w:rsid w:val="004A1477"/>
    <w:rsid w:val="004A2956"/>
    <w:rsid w:val="004A5342"/>
    <w:rsid w:val="004B1DC1"/>
    <w:rsid w:val="004C0B6B"/>
    <w:rsid w:val="004C18D4"/>
    <w:rsid w:val="004C3EE7"/>
    <w:rsid w:val="004C43E6"/>
    <w:rsid w:val="004D0385"/>
    <w:rsid w:val="004E7400"/>
    <w:rsid w:val="00511DB1"/>
    <w:rsid w:val="00517F59"/>
    <w:rsid w:val="00536906"/>
    <w:rsid w:val="00556D53"/>
    <w:rsid w:val="00560E2C"/>
    <w:rsid w:val="00561244"/>
    <w:rsid w:val="005636A5"/>
    <w:rsid w:val="00565301"/>
    <w:rsid w:val="00583873"/>
    <w:rsid w:val="005849EE"/>
    <w:rsid w:val="00586540"/>
    <w:rsid w:val="00587150"/>
    <w:rsid w:val="00591C35"/>
    <w:rsid w:val="00596AC5"/>
    <w:rsid w:val="005A2484"/>
    <w:rsid w:val="005B3045"/>
    <w:rsid w:val="005C3703"/>
    <w:rsid w:val="005C37C3"/>
    <w:rsid w:val="005D05B5"/>
    <w:rsid w:val="005D51C5"/>
    <w:rsid w:val="005E5E5C"/>
    <w:rsid w:val="005F21B1"/>
    <w:rsid w:val="00601BA3"/>
    <w:rsid w:val="0060280A"/>
    <w:rsid w:val="00606ADB"/>
    <w:rsid w:val="00625173"/>
    <w:rsid w:val="00625D05"/>
    <w:rsid w:val="00626DB7"/>
    <w:rsid w:val="006452CB"/>
    <w:rsid w:val="0064734A"/>
    <w:rsid w:val="00651007"/>
    <w:rsid w:val="006535F1"/>
    <w:rsid w:val="00660AF1"/>
    <w:rsid w:val="00666A3E"/>
    <w:rsid w:val="006706B0"/>
    <w:rsid w:val="0068330B"/>
    <w:rsid w:val="006915D6"/>
    <w:rsid w:val="006953AE"/>
    <w:rsid w:val="00696423"/>
    <w:rsid w:val="006A7D8F"/>
    <w:rsid w:val="006B79C1"/>
    <w:rsid w:val="006C1C73"/>
    <w:rsid w:val="006C6F6C"/>
    <w:rsid w:val="006D2FB9"/>
    <w:rsid w:val="006D725D"/>
    <w:rsid w:val="006F6326"/>
    <w:rsid w:val="007145C1"/>
    <w:rsid w:val="0073705F"/>
    <w:rsid w:val="00744CDB"/>
    <w:rsid w:val="00750737"/>
    <w:rsid w:val="00750E41"/>
    <w:rsid w:val="00752F08"/>
    <w:rsid w:val="007536A6"/>
    <w:rsid w:val="007632FE"/>
    <w:rsid w:val="0076442B"/>
    <w:rsid w:val="0078043E"/>
    <w:rsid w:val="007815EC"/>
    <w:rsid w:val="00791FB2"/>
    <w:rsid w:val="007C280F"/>
    <w:rsid w:val="007C52AF"/>
    <w:rsid w:val="007C6093"/>
    <w:rsid w:val="007D385C"/>
    <w:rsid w:val="007D5C3E"/>
    <w:rsid w:val="007F4CED"/>
    <w:rsid w:val="007F72FD"/>
    <w:rsid w:val="00803726"/>
    <w:rsid w:val="008110F4"/>
    <w:rsid w:val="0081129F"/>
    <w:rsid w:val="00813418"/>
    <w:rsid w:val="00826F2F"/>
    <w:rsid w:val="0083544B"/>
    <w:rsid w:val="0084308F"/>
    <w:rsid w:val="008559CD"/>
    <w:rsid w:val="008663B9"/>
    <w:rsid w:val="00871539"/>
    <w:rsid w:val="00874ABC"/>
    <w:rsid w:val="00876C4A"/>
    <w:rsid w:val="008859B0"/>
    <w:rsid w:val="008A4814"/>
    <w:rsid w:val="008B6B54"/>
    <w:rsid w:val="008C21D6"/>
    <w:rsid w:val="008D16E4"/>
    <w:rsid w:val="008F5955"/>
    <w:rsid w:val="00911A32"/>
    <w:rsid w:val="00911F1D"/>
    <w:rsid w:val="00913A19"/>
    <w:rsid w:val="00920219"/>
    <w:rsid w:val="00935D36"/>
    <w:rsid w:val="00942DB9"/>
    <w:rsid w:val="00947121"/>
    <w:rsid w:val="00960CD6"/>
    <w:rsid w:val="00961F22"/>
    <w:rsid w:val="00963736"/>
    <w:rsid w:val="00980ED3"/>
    <w:rsid w:val="009812D9"/>
    <w:rsid w:val="00981F40"/>
    <w:rsid w:val="009829FE"/>
    <w:rsid w:val="009864A3"/>
    <w:rsid w:val="00986935"/>
    <w:rsid w:val="009933A1"/>
    <w:rsid w:val="009A1A15"/>
    <w:rsid w:val="009B4975"/>
    <w:rsid w:val="009C06A8"/>
    <w:rsid w:val="009C708F"/>
    <w:rsid w:val="009D1CC9"/>
    <w:rsid w:val="009D25DC"/>
    <w:rsid w:val="009D6CDB"/>
    <w:rsid w:val="009E071E"/>
    <w:rsid w:val="009F2162"/>
    <w:rsid w:val="00A05F6F"/>
    <w:rsid w:val="00A06EFB"/>
    <w:rsid w:val="00A1608C"/>
    <w:rsid w:val="00A168A2"/>
    <w:rsid w:val="00A23584"/>
    <w:rsid w:val="00A305A3"/>
    <w:rsid w:val="00A32110"/>
    <w:rsid w:val="00A346B2"/>
    <w:rsid w:val="00A4723A"/>
    <w:rsid w:val="00A54A17"/>
    <w:rsid w:val="00A54CA4"/>
    <w:rsid w:val="00A6246D"/>
    <w:rsid w:val="00A6262F"/>
    <w:rsid w:val="00A647BB"/>
    <w:rsid w:val="00A8459B"/>
    <w:rsid w:val="00A93C28"/>
    <w:rsid w:val="00A9524E"/>
    <w:rsid w:val="00A970B2"/>
    <w:rsid w:val="00AA00DE"/>
    <w:rsid w:val="00AA4403"/>
    <w:rsid w:val="00AB0126"/>
    <w:rsid w:val="00AB3D1D"/>
    <w:rsid w:val="00AD126E"/>
    <w:rsid w:val="00AE4F2F"/>
    <w:rsid w:val="00AF2353"/>
    <w:rsid w:val="00AF5335"/>
    <w:rsid w:val="00AF6FF1"/>
    <w:rsid w:val="00B01C86"/>
    <w:rsid w:val="00B020D3"/>
    <w:rsid w:val="00B027CB"/>
    <w:rsid w:val="00B1247E"/>
    <w:rsid w:val="00B31262"/>
    <w:rsid w:val="00B31F8F"/>
    <w:rsid w:val="00B40720"/>
    <w:rsid w:val="00B40B54"/>
    <w:rsid w:val="00B47F16"/>
    <w:rsid w:val="00B53284"/>
    <w:rsid w:val="00B5648E"/>
    <w:rsid w:val="00B6200D"/>
    <w:rsid w:val="00B70A93"/>
    <w:rsid w:val="00B734AF"/>
    <w:rsid w:val="00B7579B"/>
    <w:rsid w:val="00B85E01"/>
    <w:rsid w:val="00B97DEF"/>
    <w:rsid w:val="00BA0DB1"/>
    <w:rsid w:val="00BA28A0"/>
    <w:rsid w:val="00BA5EBF"/>
    <w:rsid w:val="00BB52DC"/>
    <w:rsid w:val="00BB5BF5"/>
    <w:rsid w:val="00BC6EDB"/>
    <w:rsid w:val="00BD02FD"/>
    <w:rsid w:val="00BD4CCC"/>
    <w:rsid w:val="00BE7F5A"/>
    <w:rsid w:val="00BF5FFA"/>
    <w:rsid w:val="00C03C5E"/>
    <w:rsid w:val="00C14D94"/>
    <w:rsid w:val="00C23B91"/>
    <w:rsid w:val="00C26F0F"/>
    <w:rsid w:val="00C27B3D"/>
    <w:rsid w:val="00C32297"/>
    <w:rsid w:val="00C331D5"/>
    <w:rsid w:val="00C34DAA"/>
    <w:rsid w:val="00C35370"/>
    <w:rsid w:val="00C426D1"/>
    <w:rsid w:val="00C4271C"/>
    <w:rsid w:val="00C44283"/>
    <w:rsid w:val="00C54D11"/>
    <w:rsid w:val="00C55206"/>
    <w:rsid w:val="00C563E9"/>
    <w:rsid w:val="00C6240F"/>
    <w:rsid w:val="00C674AE"/>
    <w:rsid w:val="00C767CD"/>
    <w:rsid w:val="00C76D61"/>
    <w:rsid w:val="00C77F7A"/>
    <w:rsid w:val="00C82809"/>
    <w:rsid w:val="00C929C8"/>
    <w:rsid w:val="00CA2D23"/>
    <w:rsid w:val="00CB14CA"/>
    <w:rsid w:val="00CC2C25"/>
    <w:rsid w:val="00CD0E12"/>
    <w:rsid w:val="00CD649D"/>
    <w:rsid w:val="00CD6D7D"/>
    <w:rsid w:val="00CE1182"/>
    <w:rsid w:val="00CF2980"/>
    <w:rsid w:val="00D01A76"/>
    <w:rsid w:val="00D20999"/>
    <w:rsid w:val="00D27387"/>
    <w:rsid w:val="00D334CA"/>
    <w:rsid w:val="00D454FA"/>
    <w:rsid w:val="00D46FBA"/>
    <w:rsid w:val="00D523B6"/>
    <w:rsid w:val="00D70ACE"/>
    <w:rsid w:val="00D727D6"/>
    <w:rsid w:val="00D82E23"/>
    <w:rsid w:val="00D8645B"/>
    <w:rsid w:val="00D873B4"/>
    <w:rsid w:val="00D92A5A"/>
    <w:rsid w:val="00D971B3"/>
    <w:rsid w:val="00DA7FC8"/>
    <w:rsid w:val="00DB2595"/>
    <w:rsid w:val="00DC2E76"/>
    <w:rsid w:val="00DD04CF"/>
    <w:rsid w:val="00DD3EBE"/>
    <w:rsid w:val="00DD62CC"/>
    <w:rsid w:val="00DE5ABF"/>
    <w:rsid w:val="00DF1AA0"/>
    <w:rsid w:val="00DF3C42"/>
    <w:rsid w:val="00E17A8E"/>
    <w:rsid w:val="00E24306"/>
    <w:rsid w:val="00E32BAD"/>
    <w:rsid w:val="00E4067B"/>
    <w:rsid w:val="00E43AB8"/>
    <w:rsid w:val="00E4501D"/>
    <w:rsid w:val="00E45B63"/>
    <w:rsid w:val="00E558DB"/>
    <w:rsid w:val="00E645BF"/>
    <w:rsid w:val="00E66246"/>
    <w:rsid w:val="00E828D6"/>
    <w:rsid w:val="00E8314A"/>
    <w:rsid w:val="00E86C52"/>
    <w:rsid w:val="00EA0416"/>
    <w:rsid w:val="00EB10C4"/>
    <w:rsid w:val="00EB7108"/>
    <w:rsid w:val="00EB72E3"/>
    <w:rsid w:val="00EC1D3A"/>
    <w:rsid w:val="00EC33CE"/>
    <w:rsid w:val="00EC77A0"/>
    <w:rsid w:val="00ED0AF8"/>
    <w:rsid w:val="00ED3F1C"/>
    <w:rsid w:val="00EE15C5"/>
    <w:rsid w:val="00EE3B58"/>
    <w:rsid w:val="00EE431C"/>
    <w:rsid w:val="00EE555B"/>
    <w:rsid w:val="00F05F1E"/>
    <w:rsid w:val="00F06E9F"/>
    <w:rsid w:val="00F13847"/>
    <w:rsid w:val="00F1621C"/>
    <w:rsid w:val="00F17DBC"/>
    <w:rsid w:val="00F2038D"/>
    <w:rsid w:val="00F266A2"/>
    <w:rsid w:val="00F30C5F"/>
    <w:rsid w:val="00F32345"/>
    <w:rsid w:val="00F35236"/>
    <w:rsid w:val="00F372FF"/>
    <w:rsid w:val="00F37F8F"/>
    <w:rsid w:val="00F5034E"/>
    <w:rsid w:val="00F50D8D"/>
    <w:rsid w:val="00F55D6E"/>
    <w:rsid w:val="00F5730D"/>
    <w:rsid w:val="00F60945"/>
    <w:rsid w:val="00F60C41"/>
    <w:rsid w:val="00F6683C"/>
    <w:rsid w:val="00F67DDF"/>
    <w:rsid w:val="00F735BF"/>
    <w:rsid w:val="00F826CE"/>
    <w:rsid w:val="00F83769"/>
    <w:rsid w:val="00F83ACA"/>
    <w:rsid w:val="00F86474"/>
    <w:rsid w:val="00F910D4"/>
    <w:rsid w:val="00F93863"/>
    <w:rsid w:val="00F9749C"/>
    <w:rsid w:val="00F97E2A"/>
    <w:rsid w:val="00FA074C"/>
    <w:rsid w:val="00FA3BE0"/>
    <w:rsid w:val="00FB29AB"/>
    <w:rsid w:val="00FC05A6"/>
    <w:rsid w:val="00FD32E9"/>
    <w:rsid w:val="00FD3BA2"/>
    <w:rsid w:val="00FD4ADD"/>
    <w:rsid w:val="00FE3B50"/>
    <w:rsid w:val="00FE4E82"/>
    <w:rsid w:val="00FE6011"/>
    <w:rsid w:val="00FE76D3"/>
    <w:rsid w:val="00FF1631"/>
    <w:rsid w:val="00FF1C5C"/>
    <w:rsid w:val="034D095E"/>
    <w:rsid w:val="03993BA4"/>
    <w:rsid w:val="05BE1FE7"/>
    <w:rsid w:val="07CA4C73"/>
    <w:rsid w:val="09DC6BBE"/>
    <w:rsid w:val="0ADA341F"/>
    <w:rsid w:val="0D1150F2"/>
    <w:rsid w:val="11A622AD"/>
    <w:rsid w:val="11CA71C2"/>
    <w:rsid w:val="162E0AC3"/>
    <w:rsid w:val="16BF3DF0"/>
    <w:rsid w:val="1702033E"/>
    <w:rsid w:val="17E6613A"/>
    <w:rsid w:val="19831126"/>
    <w:rsid w:val="1B611BFD"/>
    <w:rsid w:val="1C835321"/>
    <w:rsid w:val="1D073C65"/>
    <w:rsid w:val="20401B1F"/>
    <w:rsid w:val="254863E9"/>
    <w:rsid w:val="27FF5E1C"/>
    <w:rsid w:val="2B89376C"/>
    <w:rsid w:val="2BD355F5"/>
    <w:rsid w:val="2C4B7F30"/>
    <w:rsid w:val="2C8815DF"/>
    <w:rsid w:val="2FAC4ADB"/>
    <w:rsid w:val="31307046"/>
    <w:rsid w:val="32173A91"/>
    <w:rsid w:val="33596C45"/>
    <w:rsid w:val="340F2EB2"/>
    <w:rsid w:val="34D32B0A"/>
    <w:rsid w:val="35742B28"/>
    <w:rsid w:val="365F40C1"/>
    <w:rsid w:val="3A3D7D18"/>
    <w:rsid w:val="3CD37DAF"/>
    <w:rsid w:val="3F3D5750"/>
    <w:rsid w:val="404508BC"/>
    <w:rsid w:val="42121327"/>
    <w:rsid w:val="45A57BAB"/>
    <w:rsid w:val="48B94188"/>
    <w:rsid w:val="4901159C"/>
    <w:rsid w:val="496E6BE8"/>
    <w:rsid w:val="49A62A79"/>
    <w:rsid w:val="4B025EF0"/>
    <w:rsid w:val="4B380496"/>
    <w:rsid w:val="4E074BBF"/>
    <w:rsid w:val="4E8A3DE2"/>
    <w:rsid w:val="4F427340"/>
    <w:rsid w:val="4F674123"/>
    <w:rsid w:val="56916FEC"/>
    <w:rsid w:val="56CD6F61"/>
    <w:rsid w:val="574C0B47"/>
    <w:rsid w:val="57E855F4"/>
    <w:rsid w:val="5BCE2588"/>
    <w:rsid w:val="5D2C71CC"/>
    <w:rsid w:val="5E005E6E"/>
    <w:rsid w:val="5E702CCD"/>
    <w:rsid w:val="614F54B5"/>
    <w:rsid w:val="629D0130"/>
    <w:rsid w:val="63900568"/>
    <w:rsid w:val="65BB120D"/>
    <w:rsid w:val="6611410D"/>
    <w:rsid w:val="6D9E4D5C"/>
    <w:rsid w:val="6FBE7937"/>
    <w:rsid w:val="70947DE3"/>
    <w:rsid w:val="7115629A"/>
    <w:rsid w:val="714D23F4"/>
    <w:rsid w:val="74143FCA"/>
    <w:rsid w:val="74E55C06"/>
    <w:rsid w:val="78162870"/>
    <w:rsid w:val="79140878"/>
    <w:rsid w:val="7EAA7A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qFormat="1" w:unhideWhenUsed="0"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9"/>
    <w:pPr>
      <w:keepNext/>
      <w:keepLines/>
      <w:spacing w:before="340" w:after="330" w:line="578" w:lineRule="auto"/>
      <w:outlineLvl w:val="0"/>
    </w:pPr>
    <w:rPr>
      <w:b/>
      <w:bCs/>
      <w:kern w:val="44"/>
      <w:sz w:val="44"/>
      <w:szCs w:val="44"/>
    </w:rPr>
  </w:style>
  <w:style w:type="paragraph" w:styleId="3">
    <w:name w:val="heading 3"/>
    <w:basedOn w:val="1"/>
    <w:next w:val="1"/>
    <w:semiHidden/>
    <w:unhideWhenUsed/>
    <w:qFormat/>
    <w:uiPriority w:val="0"/>
    <w:pPr>
      <w:spacing w:beforeAutospacing="1" w:afterAutospacing="1"/>
      <w:jc w:val="left"/>
      <w:outlineLvl w:val="2"/>
    </w:pPr>
    <w:rPr>
      <w:rFonts w:hint="eastAsia" w:ascii="宋体" w:hAnsi="宋体" w:eastAsia="宋体" w:cs="Times New Roman"/>
      <w:b/>
      <w:bCs/>
      <w:kern w:val="0"/>
      <w:sz w:val="27"/>
      <w:szCs w:val="27"/>
    </w:rPr>
  </w:style>
  <w:style w:type="character" w:default="1" w:styleId="15">
    <w:name w:val="Default Paragraph Font"/>
    <w:unhideWhenUsed/>
    <w:qFormat/>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4">
    <w:name w:val="Normal Indent"/>
    <w:basedOn w:val="1"/>
    <w:unhideWhenUsed/>
    <w:qFormat/>
    <w:uiPriority w:val="99"/>
    <w:pPr>
      <w:ind w:firstLine="420" w:firstLineChars="200"/>
    </w:pPr>
  </w:style>
  <w:style w:type="paragraph" w:styleId="5">
    <w:name w:val="annotation text"/>
    <w:basedOn w:val="1"/>
    <w:qFormat/>
    <w:uiPriority w:val="99"/>
    <w:pPr>
      <w:jc w:val="left"/>
    </w:pPr>
  </w:style>
  <w:style w:type="paragraph" w:styleId="6">
    <w:name w:val="Body Text Indent"/>
    <w:basedOn w:val="1"/>
    <w:qFormat/>
    <w:uiPriority w:val="0"/>
    <w:pPr>
      <w:ind w:left="720"/>
    </w:pPr>
  </w:style>
  <w:style w:type="paragraph" w:styleId="7">
    <w:name w:val="Plain Text"/>
    <w:basedOn w:val="1"/>
    <w:qFormat/>
    <w:uiPriority w:val="99"/>
    <w:pPr>
      <w:adjustRightInd w:val="0"/>
      <w:spacing w:line="360" w:lineRule="atLeast"/>
      <w:textAlignment w:val="baseline"/>
    </w:pPr>
    <w:rPr>
      <w:rFonts w:ascii="宋体" w:hAnsi="Courier New" w:eastAsia="宋体" w:cs="Courier New"/>
      <w:szCs w:val="21"/>
    </w:rPr>
  </w:style>
  <w:style w:type="paragraph" w:styleId="8">
    <w:name w:val="Date"/>
    <w:basedOn w:val="1"/>
    <w:next w:val="1"/>
    <w:link w:val="21"/>
    <w:semiHidden/>
    <w:unhideWhenUsed/>
    <w:qFormat/>
    <w:uiPriority w:val="99"/>
    <w:pPr>
      <w:ind w:left="100" w:leftChars="2500"/>
    </w:pPr>
  </w:style>
  <w:style w:type="paragraph" w:styleId="9">
    <w:name w:val="Balloon Text"/>
    <w:basedOn w:val="1"/>
    <w:link w:val="20"/>
    <w:semiHidden/>
    <w:unhideWhenUsed/>
    <w:qFormat/>
    <w:uiPriority w:val="99"/>
    <w:rPr>
      <w:sz w:val="18"/>
      <w:szCs w:val="18"/>
    </w:rPr>
  </w:style>
  <w:style w:type="paragraph" w:styleId="10">
    <w:name w:val="footer"/>
    <w:basedOn w:val="1"/>
    <w:link w:val="19"/>
    <w:unhideWhenUsed/>
    <w:qFormat/>
    <w:uiPriority w:val="99"/>
    <w:pPr>
      <w:tabs>
        <w:tab w:val="center" w:pos="4153"/>
        <w:tab w:val="right" w:pos="8306"/>
      </w:tabs>
      <w:snapToGrid w:val="0"/>
      <w:jc w:val="left"/>
    </w:pPr>
    <w:rPr>
      <w:sz w:val="18"/>
      <w:szCs w:val="18"/>
    </w:rPr>
  </w:style>
  <w:style w:type="paragraph" w:styleId="11">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2">
    <w:name w:val="Body Text First Indent 2"/>
    <w:basedOn w:val="6"/>
    <w:qFormat/>
    <w:uiPriority w:val="0"/>
    <w:pPr>
      <w:spacing w:after="120"/>
      <w:ind w:left="420" w:leftChars="200" w:firstLine="420" w:firstLineChars="200"/>
    </w:pPr>
    <w:rPr>
      <w:rFonts w:ascii="Times New Roman" w:hAnsi="Times New Roman"/>
      <w:szCs w:val="24"/>
    </w:rPr>
  </w:style>
  <w:style w:type="table" w:styleId="14">
    <w:name w:val="Table Grid"/>
    <w:basedOn w:val="13"/>
    <w:qFormat/>
    <w:uiPriority w:val="99"/>
    <w:pPr>
      <w:widowControl w:val="0"/>
      <w:jc w:val="both"/>
    </w:pPr>
    <w:rPr>
      <w:rFonts w:ascii="Times New Roman" w:hAnsi="Times New Roman"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qFormat/>
    <w:uiPriority w:val="22"/>
    <w:rPr>
      <w:b/>
      <w:bCs/>
    </w:rPr>
  </w:style>
  <w:style w:type="character" w:styleId="17">
    <w:name w:val="page number"/>
    <w:basedOn w:val="15"/>
    <w:qFormat/>
    <w:uiPriority w:val="99"/>
  </w:style>
  <w:style w:type="character" w:customStyle="1" w:styleId="18">
    <w:name w:val="页眉 Char"/>
    <w:basedOn w:val="15"/>
    <w:link w:val="11"/>
    <w:qFormat/>
    <w:uiPriority w:val="99"/>
    <w:rPr>
      <w:sz w:val="18"/>
      <w:szCs w:val="18"/>
    </w:rPr>
  </w:style>
  <w:style w:type="character" w:customStyle="1" w:styleId="19">
    <w:name w:val="页脚 Char"/>
    <w:basedOn w:val="15"/>
    <w:link w:val="10"/>
    <w:qFormat/>
    <w:uiPriority w:val="99"/>
    <w:rPr>
      <w:sz w:val="18"/>
      <w:szCs w:val="18"/>
    </w:rPr>
  </w:style>
  <w:style w:type="character" w:customStyle="1" w:styleId="20">
    <w:name w:val="批注框文本 Char"/>
    <w:basedOn w:val="15"/>
    <w:link w:val="9"/>
    <w:semiHidden/>
    <w:qFormat/>
    <w:uiPriority w:val="99"/>
    <w:rPr>
      <w:sz w:val="18"/>
      <w:szCs w:val="18"/>
    </w:rPr>
  </w:style>
  <w:style w:type="character" w:customStyle="1" w:styleId="21">
    <w:name w:val="日期 Char"/>
    <w:basedOn w:val="15"/>
    <w:link w:val="8"/>
    <w:semiHidden/>
    <w:qFormat/>
    <w:uiPriority w:val="99"/>
  </w:style>
  <w:style w:type="paragraph" w:customStyle="1" w:styleId="22">
    <w:name w:val="图"/>
    <w:qFormat/>
    <w:uiPriority w:val="0"/>
    <w:pPr>
      <w:keepNext/>
      <w:widowControl w:val="0"/>
      <w:adjustRightInd w:val="0"/>
      <w:spacing w:before="60" w:after="60" w:line="300" w:lineRule="auto"/>
      <w:jc w:val="center"/>
      <w:textAlignment w:val="center"/>
    </w:pPr>
    <w:rPr>
      <w:rFonts w:ascii="Times New Roman" w:hAnsi="Times New Roman" w:eastAsia="宋体" w:cs="Times New Roman"/>
      <w:snapToGrid w:val="0"/>
      <w:spacing w:val="20"/>
      <w:sz w:val="24"/>
      <w:lang w:val="en-US" w:eastAsia="zh-CN" w:bidi="ar-SA"/>
    </w:rPr>
  </w:style>
  <w:style w:type="table" w:customStyle="1" w:styleId="23">
    <w:name w:val="网格型1"/>
    <w:basedOn w:val="13"/>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4">
    <w:name w:val="List Paragraph"/>
    <w:basedOn w:val="1"/>
    <w:unhideWhenUsed/>
    <w:qFormat/>
    <w:uiPriority w:val="99"/>
    <w:pPr>
      <w:ind w:firstLine="420" w:firstLineChars="200"/>
    </w:pPr>
  </w:style>
  <w:style w:type="character" w:customStyle="1" w:styleId="25">
    <w:name w:val="font21"/>
    <w:basedOn w:val="15"/>
    <w:qFormat/>
    <w:uiPriority w:val="0"/>
    <w:rPr>
      <w:rFonts w:ascii="Segoe UI" w:hAnsi="Segoe UI" w:eastAsia="Segoe UI" w:cs="Segoe UI"/>
      <w:b/>
      <w:bCs/>
      <w:color w:val="0F1115"/>
      <w:sz w:val="24"/>
      <w:szCs w:val="24"/>
      <w:u w:val="none"/>
    </w:rPr>
  </w:style>
  <w:style w:type="character" w:customStyle="1" w:styleId="26">
    <w:name w:val="font11"/>
    <w:basedOn w:val="15"/>
    <w:qFormat/>
    <w:uiPriority w:val="0"/>
    <w:rPr>
      <w:rFonts w:hint="eastAsia" w:ascii="宋体" w:hAnsi="宋体" w:eastAsia="宋体" w:cs="宋体"/>
      <w:b/>
      <w:bCs/>
      <w:color w:val="0F1115"/>
      <w:sz w:val="24"/>
      <w:szCs w:val="24"/>
      <w:u w:val="none"/>
    </w:rPr>
  </w:style>
  <w:style w:type="character" w:customStyle="1" w:styleId="27">
    <w:name w:val="font41"/>
    <w:basedOn w:val="15"/>
    <w:qFormat/>
    <w:uiPriority w:val="0"/>
    <w:rPr>
      <w:rFonts w:hint="default" w:ascii="Segoe UI" w:hAnsi="Segoe UI" w:eastAsia="Segoe UI" w:cs="Segoe UI"/>
      <w:color w:val="0F1115"/>
      <w:sz w:val="24"/>
      <w:szCs w:val="24"/>
      <w:u w:val="none"/>
    </w:rPr>
  </w:style>
  <w:style w:type="paragraph" w:customStyle="1" w:styleId="28">
    <w:name w:val="List Paragraph1"/>
    <w:basedOn w:val="1"/>
    <w:qFormat/>
    <w:uiPriority w:val="0"/>
    <w:pPr>
      <w:ind w:firstLine="420" w:firstLineChars="200"/>
    </w:pPr>
    <w:rPr>
      <w:rFonts w:eastAsia="PMingLiU"/>
    </w:rPr>
  </w:style>
  <w:style w:type="paragraph" w:customStyle="1" w:styleId="29">
    <w:name w:val="null3"/>
    <w:hidden/>
    <w:qFormat/>
    <w:uiPriority w:val="0"/>
    <w:rPr>
      <w:rFonts w:hint="eastAsia" w:asciiTheme="minorHAnsi" w:hAnsiTheme="minorHAnsi" w:eastAsiaTheme="minorEastAsia" w:cstheme="minorBidi"/>
      <w:lang w:val="en-US" w:eastAsia="zh-Han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34</Pages>
  <Words>9781</Words>
  <Characters>10369</Characters>
  <Lines>114</Lines>
  <Paragraphs>32</Paragraphs>
  <TotalTime>0</TotalTime>
  <ScaleCrop>false</ScaleCrop>
  <LinksUpToDate>false</LinksUpToDate>
  <CharactersWithSpaces>10616</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2026-03-20T00:33:00Z</dcterms:created>
  <dc:creator>办公室</dc:creator>
  <cp:lastModifiedBy>廖</cp:lastModifiedBy>
  <cp:lastPrinted>2025-11-14T08:32:00Z</cp:lastPrinted>
  <dcterms:modified xsi:type="dcterms:W3CDTF">2026-03-25T03:26:41Z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54FE4CAA0AEE4BE19C8D1730800FAB9C_13</vt:lpwstr>
  </property>
  <property fmtid="{D5CDD505-2E9C-101B-9397-08002B2CF9AE}" pid="4" name="KSOTemplateDocerSaveRecord">
    <vt:lpwstr>eyJoZGlkIjoiNjA5ZWQ2ZjU0MWVmZjNjYTE3NzZkZjljMGJmYmI3ZTgiLCJ1c2VySWQiOiIyMjM5MTU3ODIifQ==</vt:lpwstr>
  </property>
</Properties>
</file>