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440001-2026-12585</w:t>
      </w:r>
    </w:p>
    <w:p>
      <w:pPr>
        <w:pStyle w:val="null3"/>
        <w:jc w:val="center"/>
        <w:outlineLvl w:val="3"/>
      </w:pPr>
      <w:r>
        <w:rPr>
          <w:sz w:val="24"/>
          <w:b/>
        </w:rPr>
        <w:t>采购项目编号：</w:t>
      </w:r>
      <w:r>
        <w:rPr>
          <w:sz w:val="24"/>
          <w:b/>
        </w:rPr>
        <w:t>0877-26GZTP4ZC0289</w:t>
      </w:r>
    </w:p>
    <w:p>
      <w:pPr>
        <w:pStyle w:val="null3"/>
        <w:jc w:val="center"/>
        <w:outlineLvl w:val="3"/>
      </w:pPr>
      <w:r>
        <w:rPr>
          <w:sz w:val="24"/>
          <w:b/>
        </w:rPr>
        <w:t>项目名称：</w:t>
      </w:r>
      <w:r>
        <w:rPr>
          <w:sz w:val="24"/>
          <w:b/>
        </w:rPr>
        <w:t>华南师范大学广州校区石牌校园往返大学城校园交通车租赁服务</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华南师范大学</w:t>
      </w:r>
      <w:r>
        <w:rPr/>
        <w:t>的委托，采用</w:t>
      </w:r>
      <w:r>
        <w:rPr/>
        <w:t>公开招标</w:t>
      </w:r>
      <w:r>
        <w:rPr/>
        <w:t>方式组织采购</w:t>
      </w:r>
      <w:r>
        <w:rPr/>
        <w:t>华南师范大学广州校区石牌校园往返大学城校园交通车租赁服务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华南师范大学广州校区石牌校园往返大学城校园交通车租赁服务</w:t>
      </w:r>
    </w:p>
    <w:p>
      <w:pPr>
        <w:pStyle w:val="null3"/>
        <w:ind w:firstLine="480"/>
      </w:pPr>
      <w:r>
        <w:rPr/>
        <w:t>采购计划编号：</w:t>
      </w:r>
      <w:r>
        <w:rPr/>
        <w:t>440001-2026-12585</w:t>
      </w:r>
    </w:p>
    <w:p>
      <w:pPr>
        <w:pStyle w:val="null3"/>
        <w:ind w:firstLine="480"/>
      </w:pPr>
      <w:r>
        <w:rPr/>
        <w:t>采购项目编号：</w:t>
      </w:r>
      <w:r>
        <w:rPr/>
        <w:t>0877-26GZTP4ZC0289</w:t>
      </w:r>
    </w:p>
    <w:p>
      <w:pPr>
        <w:pStyle w:val="null3"/>
        <w:ind w:firstLine="480"/>
      </w:pPr>
      <w:r>
        <w:rPr/>
        <w:t>采购方式：</w:t>
      </w:r>
      <w:r>
        <w:rPr/>
        <w:t>公开招标</w:t>
      </w:r>
    </w:p>
    <w:p>
      <w:pPr>
        <w:pStyle w:val="null3"/>
        <w:ind w:firstLine="480"/>
      </w:pPr>
      <w:r>
        <w:rPr/>
        <w:t>预算金额：</w:t>
      </w:r>
      <w:r>
        <w:rPr/>
        <w:t>5,168,640.00</w:t>
      </w:r>
      <w:r>
        <w:rPr/>
        <w:t>元</w:t>
      </w:r>
    </w:p>
    <w:p>
      <w:pPr>
        <w:pStyle w:val="null3"/>
        <w:outlineLvl w:val="3"/>
      </w:pPr>
      <w:r>
        <w:rPr>
          <w:sz w:val="24"/>
          <w:b/>
        </w:rPr>
        <w:t>2.项目内容及需求情况（采购项目技术规格、参数及要求）</w:t>
      </w:r>
    </w:p>
    <w:p>
      <w:pPr>
        <w:pStyle w:val="null3"/>
      </w:pPr>
      <w:r>
        <w:rPr/>
        <w:t>采购包1(华南师范大学广州校区石牌校园往返大学城校园交通车租赁服务):</w:t>
      </w:r>
    </w:p>
    <w:p>
      <w:pPr>
        <w:pStyle w:val="null3"/>
      </w:pPr>
      <w:r>
        <w:rPr/>
        <w:t>采购包预算金额：5,168,640.00元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交通运输管理服务</w:t>
            </w:r>
          </w:p>
        </w:tc>
        <w:tc>
          <w:tcPr>
            <w:tcW w:type="dxa" w:w="2052"/>
          </w:tcPr>
          <w:p>
            <w:pPr>
              <w:pStyle w:val="null3"/>
            </w:pPr>
            <w:r>
              <w:rPr/>
              <w:t>华南师范大学广州校区石牌校园往返大学城校园交通车租赁服务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5,168,640.00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合同履行期限：三年（2026年6月30日至2029年6月30日），至服务期满或采购金额达到项目预算时止，以先达到者为准。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采购包1（华南师范大学广州校区石牌校园往返大学城校园交通车租赁服务）：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采购包1（华南师范大学广州校区石牌校园往返大学城校园交通车租赁服务）：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3)投标人具有道路运输管理部门核发有效的《道路运输经营许可证》（提供证书复印件并加盖投标人公章）。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020-85210853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020-38931902-861</w:t>
      </w:r>
    </w:p>
    <w:p>
      <w:pPr>
        <w:pStyle w:val="null3"/>
        <w:outlineLvl w:val="3"/>
      </w:pPr>
      <w:r>
        <w:rPr>
          <w:sz w:val="24"/>
          <w:b/>
        </w:rPr>
        <w:t xml:space="preserve"> 3.项目联系方式</w:t>
      </w:r>
    </w:p>
    <w:p>
      <w:pPr>
        <w:pStyle w:val="null3"/>
        <w:ind w:firstLine="480"/>
      </w:pPr>
      <w:r>
        <w:rPr/>
        <w:t xml:space="preserve"> 项目联系人：</w:t>
      </w:r>
      <w:r>
        <w:rPr/>
        <w:t>李工（跟进人员）（电话无人接听请发邮件limengxue@gztpc.com咨询，我司会及时回复）</w:t>
      </w:r>
    </w:p>
    <w:p>
      <w:pPr>
        <w:pStyle w:val="null3"/>
        <w:ind w:firstLine="480"/>
      </w:pPr>
      <w:r>
        <w:rPr/>
        <w:t xml:space="preserve"> 电话：</w:t>
      </w:r>
      <w:r>
        <w:rPr/>
        <w:t>020-38931902-861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交通运输管理服务</w:t>
      </w:r>
    </w:p>
    <w:p>
      <w:pPr>
        <w:pStyle w:val="null3"/>
      </w:pPr>
      <w:r>
        <w:rPr>
          <w:sz w:val="21"/>
        </w:rPr>
        <w:t>本项目对应的中小企业划分标准所属行业为：</w:t>
      </w:r>
      <w:r>
        <w:rPr>
          <w:sz w:val="21"/>
        </w:rPr>
        <w:t>交通运输业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rPr>
        <w:t>（一）项目名称：华南师范大学广州校区石牌校园往返大学城校园交通车租赁服务</w:t>
      </w:r>
    </w:p>
    <w:p>
      <w:pPr>
        <w:pStyle w:val="null3"/>
        <w:jc w:val="left"/>
      </w:pPr>
      <w:r>
        <w:rPr>
          <w:sz w:val="21"/>
        </w:rPr>
        <w:t>（二）服务期限：</w:t>
      </w:r>
      <w:r>
        <w:rPr>
          <w:sz w:val="21"/>
        </w:rPr>
        <w:t>2026年6月30日至2029年6月30日</w:t>
      </w:r>
      <w:r>
        <w:rPr>
          <w:sz w:val="21"/>
        </w:rPr>
        <w:t>，至服务期满或采购金额达到项目预算时止，以先达到者为准</w:t>
      </w:r>
      <w:r>
        <w:rPr>
          <w:sz w:val="21"/>
        </w:rPr>
        <w:t>。</w:t>
      </w:r>
    </w:p>
    <w:p>
      <w:pPr>
        <w:pStyle w:val="null3"/>
        <w:jc w:val="left"/>
      </w:pPr>
      <w:r>
        <w:rPr>
          <w:sz w:val="21"/>
        </w:rPr>
        <w:t>（三）项目</w:t>
      </w:r>
      <w:r>
        <w:rPr>
          <w:sz w:val="21"/>
        </w:rPr>
        <w:t>预算：</w:t>
      </w:r>
      <w:r>
        <w:rPr>
          <w:sz w:val="21"/>
        </w:rPr>
        <w:t>5168640元/三年。</w:t>
      </w:r>
    </w:p>
    <w:p>
      <w:pPr>
        <w:pStyle w:val="null3"/>
        <w:jc w:val="left"/>
      </w:pPr>
      <w:r>
        <w:rPr>
          <w:sz w:val="21"/>
        </w:rPr>
        <w:t>（四）</w:t>
      </w:r>
      <w:r>
        <w:rPr>
          <w:sz w:val="21"/>
        </w:rPr>
        <w:t>供应商的报价应包含但不限于车辆相关保险、年审、轮胎、维修保养、路桥费、税费、事故赔偿费、租赁费、管理费、司机工资福利及餐费、燃油费、车辆购置费、利润、停车费、车上责任险及乘客意外事故险、第三者商业责任险等一切费用。如中标供应商在中标并签署合同后，在项目实施过程中出现任何遗漏，均由中标供应商负责，学校不再支付任何费用。</w:t>
      </w:r>
    </w:p>
    <w:p>
      <w:pPr>
        <w:pStyle w:val="null3"/>
        <w:jc w:val="left"/>
      </w:pPr>
      <w:r>
        <w:rPr>
          <w:sz w:val="21"/>
        </w:rPr>
        <w:t>（</w:t>
      </w:r>
      <w:r>
        <w:rPr>
          <w:sz w:val="21"/>
        </w:rPr>
        <w:t>五</w:t>
      </w:r>
      <w:r>
        <w:rPr>
          <w:sz w:val="21"/>
        </w:rPr>
        <w:t>）</w:t>
      </w:r>
      <w:r>
        <w:rPr>
          <w:sz w:val="21"/>
        </w:rPr>
        <w:t>特别说明</w:t>
      </w:r>
      <w:r>
        <w:rPr>
          <w:sz w:val="21"/>
        </w:rPr>
        <w:t>:本章中主要商务要求中的“标的提供的时间”、“标的提供的地点”、“付款方式”、“验收要求”、“履约保证金"内容均为实质性的条款，投标人必须对此响应并完全满足或优于这些条款，否则将按无效投标处理。</w:t>
      </w:r>
    </w:p>
    <w:p>
      <w:pPr>
        <w:pStyle w:val="null3"/>
      </w:pPr>
      <w:r>
        <w:rPr/>
        <w:t>采购包1（华南师范大学广州校区石牌校园往返大学城校园交通车租赁服务）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三年（2026年6月30日至2029年6月30日），至服务期满或采购金额达到项目预算时止，以先达到者为准。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租赁服务费按实际使用车辆的车次计算，每次每台车的租赁价格以中标报价（单价）为准，实际结算费用=中标报价*每月总车次。按月支付车辆租赁服务费，采购人每月收到供应商开具的合法发票后10个工作日内以转账方式支付上月租赁服务费。 如中标人为小微企业采用以下支付方式：1.合同签订后5个工作日内，采购人向中标人支付本年度合同金额的30%作为预付款。2.服务费用按照每月实际使用的天数计算，每天每辆车的租赁价格以合同附件所列的单价为准。其中，已结算的累计服务费用达到已经支付的预付款后，如预付款不够抵扣的，按实际结算。3.采购人按月支付租赁服务费用。采购人每月收到中标人开具的合法发票后十个工作日内，支付上月服务费用（服务期前期的费用从预付款中扣减，扣减完30%的预付款后再以转账方式支付余下金额）。具体支付时间以采购人财务部门办理的时间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采购人对中标人实行日常巡查、月度考核与年度考核相结合的验收周期。日常巡查：采购人对中标人所负责的服务工作进行巡检，并做好巡查记录，作为每月日常巡查评分的依据。月度考核每月开展一次，对当月租赁服务质量进行及时评估;年度考核每年终开展一次，对阶段性服务成效进行综合评定。2.验收方式:依据附件2《交通车租赁服务考核办法》执行，采用等级评估制，将考核结果划分为不同等级，其中"差"等级为关键风险触发点。3.验收流程:实行阶梯式递进管理:第一阶段一一警告整改:当月度考核评估结果为"差"等级时，采购人向中标人发出正式警告，要求限期整改，中标人须在规定期限内提交整改方案并落实改进措施。第二阶段一一经济处罚:一年内累计三个月出现考核结果为“差”等级，则采购人可没收履约保证金。第三阶段一一合同解除:如全年累计出现三个月评估结果为"差"等级，则触发合同终止条款，采购人有权随时解除与中标人的合同关系，同时停止划拨尚未支付的一切费用，中标人交纳的合同履约保证金不予退还，由此造成的一切不良后果及直接经济损失均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账号：3602008109000386071</w:t>
            </w:r>
          </w:p>
          <w:p>
            <w:pPr>
              <w:pStyle w:val="null3"/>
            </w:pPr>
            <w:r>
              <w:rPr/>
              <w:t>户名：华南师范大学</w:t>
            </w:r>
          </w:p>
          <w:p>
            <w:pPr>
              <w:pStyle w:val="null3"/>
            </w:pPr>
            <w:r>
              <w:rPr/>
              <w:t>开户行：工行广州高新技术开发区支行</w:t>
            </w:r>
          </w:p>
          <w:p>
            <w:pPr>
              <w:pStyle w:val="null3"/>
            </w:pPr>
            <w:r>
              <w:rPr/>
              <w:t>支票提交方式：中标人应以银行支票（或现金支票）形式提交应以银行支票（或现金支票）形式提交，且需为不可撤销、见票即付的即期支票，收款人注明为华南师范大学。</w:t>
            </w:r>
          </w:p>
          <w:p>
            <w:pPr>
              <w:pStyle w:val="null3"/>
            </w:pPr>
            <w:r>
              <w:rPr/>
              <w:t>汇票、本票提交方式：中标人应以银行承兑汇票或商业承兑汇票形式提交，且需为不可撤销、无条件付款的即期票据，收款人注明为华南师范大学。</w:t>
            </w:r>
          </w:p>
          <w:p>
            <w:pPr>
              <w:pStyle w:val="null3"/>
            </w:pPr>
            <w:r>
              <w:rPr/>
              <w:t>说明：1、中标公告结束之日起30日内签订服务合同、中标人在签订合同后5个工作日内向采购人缴纳本年度合同金额的5%作为履约保证金，否则视为中标人放弃中标资格。 2、合同期满（包括终止合同）后采购人于15日内无息退还给中标人。 3、履约保证金不予退还的情形： （1）未经采购人同意，中标人将本项目进行分包或转包给他人； （2）在履行合同期间，中标人出现重大服务质量问题和严重违约行为； （3）在履行合同期间，中标人因在经营活动中存在违法被吊销营业执照或相关许可，导致本项目合同无法继续履行的。（4）全年累计有三个月的评估结果为“差”等级。</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交通运输管理服务</w:t>
            </w:r>
          </w:p>
        </w:tc>
        <w:tc>
          <w:tcPr>
            <w:tcW w:type="dxa" w:w="933"/>
          </w:tcPr>
          <w:p>
            <w:pPr>
              <w:pStyle w:val="null3"/>
              <w:jc w:val="left"/>
            </w:pPr>
            <w:r>
              <w:rPr/>
              <w:t>华南师范大学广州校区石牌校园往返大学城校园交通车租赁服务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5,168,640.00</w:t>
            </w:r>
          </w:p>
        </w:tc>
        <w:tc>
          <w:tcPr>
            <w:tcW w:type="dxa" w:w="933"/>
          </w:tcPr>
          <w:p>
            <w:pPr>
              <w:pStyle w:val="null3"/>
              <w:jc w:val="right"/>
            </w:pPr>
            <w:r>
              <w:rPr/>
              <w:t>5,168,640.00</w:t>
            </w:r>
          </w:p>
        </w:tc>
        <w:tc>
          <w:tcPr>
            <w:tcW w:type="dxa" w:w="840"/>
          </w:tcPr>
          <w:p>
            <w:pPr>
              <w:pStyle w:val="null3"/>
            </w:pPr>
            <w:r>
              <w:rPr/>
              <w:t>交通运输业</w:t>
            </w:r>
          </w:p>
        </w:tc>
        <w:tc>
          <w:tcPr>
            <w:tcW w:type="dxa" w:w="933"/>
          </w:tcPr>
          <w:p>
            <w:pPr>
              <w:pStyle w:val="null3"/>
            </w:pPr>
            <w:r>
              <w:rPr/>
              <w:t>详见附表一</w:t>
            </w:r>
          </w:p>
        </w:tc>
      </w:tr>
    </w:tbl>
    <w:p>
      <w:pPr>
        <w:pStyle w:val="null3"/>
      </w:pPr>
      <w:r>
        <w:rPr>
          <w:b/>
        </w:rPr>
        <w:t>附表</w:t>
      </w:r>
      <w:r>
        <w:rPr>
          <w:b/>
        </w:rPr>
        <w:t>一</w:t>
      </w:r>
      <w:r>
        <w:rPr>
          <w:b/>
        </w:rPr>
        <w:t>：</w:t>
      </w:r>
      <w:r>
        <w:rPr>
          <w:b/>
        </w:rPr>
        <w:t>华南师范大学广州校区石牌校园往返大学城校园交通车租赁服务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一、采购内容及范围： 往返于广州校区石牌校园与大学城校园，为教职工等提供交通客运接送服务，供应商应提供空调大巴车（≥50座）不少于6台，全年365天中，除寒暑假的周六、日和春节法定节假日外，其余时间均需用车。</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二、采购项目服务要求 （一）对投入的服务车辆的要求： 1.车型：50座或以上空调大巴车。</w:t>
            </w:r>
          </w:p>
        </w:tc>
      </w:tr>
      <w:tr>
        <w:tc>
          <w:tcPr>
            <w:tcW w:type="dxa" w:w="2076"/>
          </w:tcPr>
          <w:p/>
        </w:tc>
        <w:tc>
          <w:tcPr>
            <w:tcW w:type="dxa" w:w="415"/>
          </w:tcPr>
          <w:p>
            <w:pPr>
              <w:pStyle w:val="null3"/>
            </w:pPr>
            <w:r>
              <w:rPr/>
              <w:t>3</w:t>
            </w:r>
          </w:p>
        </w:tc>
        <w:tc>
          <w:tcPr>
            <w:tcW w:type="dxa" w:w="5814"/>
          </w:tcPr>
          <w:p>
            <w:pPr>
              <w:pStyle w:val="null3"/>
            </w:pPr>
            <w:r>
              <w:rPr/>
              <w:t>2.用途：作为学校教职工等接送交通车使用。</w:t>
            </w:r>
          </w:p>
        </w:tc>
      </w:tr>
      <w:tr>
        <w:tc>
          <w:tcPr>
            <w:tcW w:type="dxa" w:w="2076"/>
          </w:tcPr>
          <w:p/>
        </w:tc>
        <w:tc>
          <w:tcPr>
            <w:tcW w:type="dxa" w:w="415"/>
          </w:tcPr>
          <w:p>
            <w:pPr>
              <w:pStyle w:val="null3"/>
            </w:pPr>
            <w:r>
              <w:rPr/>
              <w:t>4</w:t>
            </w:r>
          </w:p>
        </w:tc>
        <w:tc>
          <w:tcPr>
            <w:tcW w:type="dxa" w:w="5814"/>
          </w:tcPr>
          <w:p>
            <w:pPr>
              <w:pStyle w:val="null3"/>
            </w:pPr>
            <w:r>
              <w:rPr/>
              <w:t>3.供应商拟投入服务的车辆（不少于6台）铭牌制造年月应为2023年1月1日之后，投入前行驶里程不超15万公里（提供加盖供应商公章的承诺函）。签订合同前提供符合要求的机动车行驶证原件给采购人核查（提供加盖供应商公章的承诺函，格式自拟）。</w:t>
            </w:r>
          </w:p>
        </w:tc>
      </w:tr>
      <w:tr>
        <w:tc>
          <w:tcPr>
            <w:tcW w:type="dxa" w:w="2076"/>
          </w:tcPr>
          <w:p/>
        </w:tc>
        <w:tc>
          <w:tcPr>
            <w:tcW w:type="dxa" w:w="415"/>
          </w:tcPr>
          <w:p>
            <w:pPr>
              <w:pStyle w:val="null3"/>
            </w:pPr>
            <w:r>
              <w:rPr/>
              <w:t>5</w:t>
            </w:r>
          </w:p>
        </w:tc>
        <w:tc>
          <w:tcPr>
            <w:tcW w:type="dxa" w:w="5814"/>
          </w:tcPr>
          <w:p>
            <w:pPr>
              <w:pStyle w:val="null3"/>
            </w:pPr>
            <w:r>
              <w:rPr/>
              <w:t>4.拟投入服务的车辆应符合国家规定的安全环保、年审、营运要求，车辆性能状况良好。严禁车辆带故障上路，供应商须严格遵守学校规定的时间、地点、路线行驶，并提供良好的服务；每日须保证服务车辆车内卫生整洁、蚊虫消杀、外表明净，做好车辆的通风、清洁要求，至少必须在规定发车时间前十五分钟到发车位置，打开空调或通风设施。</w:t>
            </w:r>
          </w:p>
        </w:tc>
      </w:tr>
      <w:tr>
        <w:tc>
          <w:tcPr>
            <w:tcW w:type="dxa" w:w="2076"/>
          </w:tcPr>
          <w:p/>
        </w:tc>
        <w:tc>
          <w:tcPr>
            <w:tcW w:type="dxa" w:w="415"/>
          </w:tcPr>
          <w:p>
            <w:pPr>
              <w:pStyle w:val="null3"/>
            </w:pPr>
            <w:r>
              <w:rPr/>
              <w:t>6</w:t>
            </w:r>
          </w:p>
        </w:tc>
        <w:tc>
          <w:tcPr>
            <w:tcW w:type="dxa" w:w="5814"/>
          </w:tcPr>
          <w:p>
            <w:pPr>
              <w:pStyle w:val="null3"/>
            </w:pPr>
            <w:r>
              <w:rPr/>
              <w:t>5.车辆性能要求、车型 5.1.车型与品牌要求： 车型：大型普通客车（或其他指定车型，如中型客车）。 品牌与型号：供应商需提供具体品牌及型号，例如宇通牌ZK6116HT61大型普通客车。车辆必须从国家工业和信息化部公布的《车辆生产企业及产品公告》名录中选购，以确保车辆合规性与安全性。</w:t>
            </w:r>
          </w:p>
        </w:tc>
      </w:tr>
      <w:tr>
        <w:tc>
          <w:tcPr>
            <w:tcW w:type="dxa" w:w="2076"/>
          </w:tcPr>
          <w:p/>
        </w:tc>
        <w:tc>
          <w:tcPr>
            <w:tcW w:type="dxa" w:w="415"/>
          </w:tcPr>
          <w:p>
            <w:pPr>
              <w:pStyle w:val="null3"/>
            </w:pPr>
            <w:r>
              <w:rPr/>
              <w:t>7</w:t>
            </w:r>
          </w:p>
        </w:tc>
        <w:tc>
          <w:tcPr>
            <w:tcW w:type="dxa" w:w="5814"/>
          </w:tcPr>
          <w:p>
            <w:pPr>
              <w:pStyle w:val="null3"/>
            </w:pPr>
            <w:r>
              <w:rPr/>
              <w:t>5.2.核心性能要求： 安全标准：车辆必须通过国家强制性安全认证及碰撞测试。建议优先考虑配备高级安全配置的车型，如每个座位配备安全带、车辆配备防撞气囊系统等。 排放标准：车辆需符合国家最新的机动车排放标准（例如：国六标准）。 基本参数：供应商需明确提供车辆的最大载客人数、整车尺寸、发动机型号与排量、百公里油耗等关键性能参数。</w:t>
            </w:r>
          </w:p>
        </w:tc>
      </w:tr>
      <w:tr>
        <w:tc>
          <w:tcPr>
            <w:tcW w:type="dxa" w:w="2076"/>
          </w:tcPr>
          <w:p/>
        </w:tc>
        <w:tc>
          <w:tcPr>
            <w:tcW w:type="dxa" w:w="415"/>
          </w:tcPr>
          <w:p>
            <w:pPr>
              <w:pStyle w:val="null3"/>
            </w:pPr>
            <w:r>
              <w:rPr/>
              <w:t>8</w:t>
            </w:r>
          </w:p>
        </w:tc>
        <w:tc>
          <w:tcPr>
            <w:tcW w:type="dxa" w:w="5814"/>
          </w:tcPr>
          <w:p>
            <w:pPr>
              <w:pStyle w:val="null3"/>
            </w:pPr>
            <w:r>
              <w:rPr/>
              <w:t>5.3.具体配置要求： 外观：车辆颜色需符合采购方指定要求（例如：学校标识色或统一涂装方案）。 内饰与设施：座椅需舒适、牢固；车内应配备有效的空调系统、音响系统；应配备必要的安全设施，如安全锤、灭火器等。 随车文件与工具：交付时必须提供齐全的随车文件，包括但不限于：购车发票、车辆合格证、车辆一致性证书、环保信息随车清单、三包凭证、保养手册、车辆使用说明书等。随车工具（如备胎、千斤顶、三角警示牌、反光背心等）必须齐全。</w:t>
            </w:r>
          </w:p>
        </w:tc>
      </w:tr>
      <w:tr>
        <w:tc>
          <w:tcPr>
            <w:tcW w:type="dxa" w:w="2076"/>
          </w:tcPr>
          <w:p/>
        </w:tc>
        <w:tc>
          <w:tcPr>
            <w:tcW w:type="dxa" w:w="415"/>
          </w:tcPr>
          <w:p>
            <w:pPr>
              <w:pStyle w:val="null3"/>
            </w:pPr>
            <w:r>
              <w:rPr/>
              <w:t>9</w:t>
            </w:r>
          </w:p>
        </w:tc>
        <w:tc>
          <w:tcPr>
            <w:tcW w:type="dxa" w:w="5814"/>
          </w:tcPr>
          <w:p>
            <w:pPr>
              <w:pStyle w:val="null3"/>
            </w:pPr>
            <w:r>
              <w:rPr/>
              <w:t>6.供应商需承诺拟投入服务的车辆（不少于6台）需依法购置满足租赁服务所需的保险、税费等（包括但不限于车船税、交强险、意外险50万/台、第三者商业责任险不低于300万/台、道路客运承运人责任险：大巴专属核心险种，保障司机和乘客的人身安全，保额至少80万元/座（可根据实际调整），应对大事故时的高额赔偿。且无重大交通责任事故记录（提供加盖公章的承诺函，承诺在车辆投入使用前买好保险），签订合同前提供符合要求的保险单原件和出险记录复印件给采购人核查（提供加盖供应商公章的承诺函，格式自拟）。</w:t>
            </w:r>
          </w:p>
        </w:tc>
      </w:tr>
      <w:tr>
        <w:tc>
          <w:tcPr>
            <w:tcW w:type="dxa" w:w="2076"/>
          </w:tcPr>
          <w:p/>
        </w:tc>
        <w:tc>
          <w:tcPr>
            <w:tcW w:type="dxa" w:w="415"/>
          </w:tcPr>
          <w:p>
            <w:pPr>
              <w:pStyle w:val="null3"/>
            </w:pPr>
            <w:r>
              <w:rPr/>
              <w:t>10</w:t>
            </w:r>
          </w:p>
        </w:tc>
        <w:tc>
          <w:tcPr>
            <w:tcW w:type="dxa" w:w="5814"/>
          </w:tcPr>
          <w:p>
            <w:pPr>
              <w:pStyle w:val="null3"/>
            </w:pPr>
            <w:r>
              <w:rPr/>
              <w:t>7.合同执行期间，供应商行车载客必须遵守交通规则，如造成交通事故或乘客损伤，由供应商承担所有责任；如发生事故需由供应商先行垫付有关费用；如事故造成采购人经济损失，采购人有权向供应商索赔，（须提供承诺函并加盖供应商公章，格式自拟）。</w:t>
            </w:r>
          </w:p>
        </w:tc>
      </w:tr>
      <w:tr>
        <w:tc>
          <w:tcPr>
            <w:tcW w:type="dxa" w:w="2076"/>
          </w:tcPr>
          <w:p/>
        </w:tc>
        <w:tc>
          <w:tcPr>
            <w:tcW w:type="dxa" w:w="415"/>
          </w:tcPr>
          <w:p>
            <w:pPr>
              <w:pStyle w:val="null3"/>
            </w:pPr>
            <w:r>
              <w:rPr/>
              <w:t>11</w:t>
            </w:r>
          </w:p>
        </w:tc>
        <w:tc>
          <w:tcPr>
            <w:tcW w:type="dxa" w:w="5814"/>
          </w:tcPr>
          <w:p>
            <w:pPr>
              <w:pStyle w:val="null3"/>
            </w:pPr>
            <w:r>
              <w:rPr/>
              <w:t>8.供应商车辆必须在规定发车时间前到达起点站，若因故未能及时到达起点站，应立即做好应对措施，且必须保证所有乘客的安全，期间所发生费用由供应商负责；如车辆途中故障排除需时超过20分钟的，应马上采用其他交通工具送乘客到达目的地，所发生的车费由供应商负责（须提供承诺函并加盖供应商公章，格式自拟）。</w:t>
            </w:r>
          </w:p>
        </w:tc>
      </w:tr>
      <w:tr>
        <w:tc>
          <w:tcPr>
            <w:tcW w:type="dxa" w:w="2076"/>
          </w:tcPr>
          <w:p/>
        </w:tc>
        <w:tc>
          <w:tcPr>
            <w:tcW w:type="dxa" w:w="415"/>
          </w:tcPr>
          <w:p>
            <w:pPr>
              <w:pStyle w:val="null3"/>
            </w:pPr>
            <w:r>
              <w:rPr/>
              <w:t>12</w:t>
            </w:r>
          </w:p>
        </w:tc>
        <w:tc>
          <w:tcPr>
            <w:tcW w:type="dxa" w:w="5814"/>
          </w:tcPr>
          <w:p>
            <w:pPr>
              <w:pStyle w:val="null3"/>
            </w:pPr>
            <w:r>
              <w:rPr/>
              <w:t>9.如学校需要在车辆上安置乘车收费刷卡机，供应商应予以无条件配合（所需费用（包括购机费用）已包含在本次报价中，采购人不再另行支付）。</w:t>
            </w:r>
          </w:p>
        </w:tc>
      </w:tr>
      <w:tr>
        <w:tc>
          <w:tcPr>
            <w:tcW w:type="dxa" w:w="2076"/>
          </w:tcPr>
          <w:p/>
        </w:tc>
        <w:tc>
          <w:tcPr>
            <w:tcW w:type="dxa" w:w="415"/>
          </w:tcPr>
          <w:p>
            <w:pPr>
              <w:pStyle w:val="null3"/>
            </w:pPr>
            <w:r>
              <w:rPr/>
              <w:t>13</w:t>
            </w:r>
          </w:p>
        </w:tc>
        <w:tc>
          <w:tcPr>
            <w:tcW w:type="dxa" w:w="5814"/>
          </w:tcPr>
          <w:p>
            <w:pPr>
              <w:pStyle w:val="null3"/>
            </w:pPr>
            <w:r>
              <w:rPr/>
              <w:t>10.卫生管理预防要求：应当确保车辆符合卫生规范，定时消毒；落实传染病预防要求，配备小药箱，并加强司机的健康管理。</w:t>
            </w:r>
          </w:p>
        </w:tc>
      </w:tr>
      <w:tr>
        <w:tc>
          <w:tcPr>
            <w:tcW w:type="dxa" w:w="2076"/>
          </w:tcPr>
          <w:p/>
        </w:tc>
        <w:tc>
          <w:tcPr>
            <w:tcW w:type="dxa" w:w="415"/>
          </w:tcPr>
          <w:p>
            <w:pPr>
              <w:pStyle w:val="null3"/>
            </w:pPr>
            <w:r>
              <w:rPr/>
              <w:t>14</w:t>
            </w:r>
          </w:p>
        </w:tc>
        <w:tc>
          <w:tcPr>
            <w:tcW w:type="dxa" w:w="5814"/>
          </w:tcPr>
          <w:p>
            <w:pPr>
              <w:pStyle w:val="null3"/>
            </w:pPr>
            <w:r>
              <w:rPr/>
              <w:t>11.车辆及驾驶人各项安全信息化设施情况齐全要求涵盖了装有车载GPS、安全带提醒装置、车载对讲麦、驾驶员状态监管系统、视频监控等内容。</w:t>
            </w:r>
          </w:p>
        </w:tc>
      </w:tr>
      <w:tr>
        <w:tc>
          <w:tcPr>
            <w:tcW w:type="dxa" w:w="2076"/>
          </w:tcPr>
          <w:p/>
        </w:tc>
        <w:tc>
          <w:tcPr>
            <w:tcW w:type="dxa" w:w="415"/>
          </w:tcPr>
          <w:p>
            <w:pPr>
              <w:pStyle w:val="null3"/>
            </w:pPr>
            <w:r>
              <w:rPr/>
              <w:t>15</w:t>
            </w:r>
          </w:p>
        </w:tc>
        <w:tc>
          <w:tcPr>
            <w:tcW w:type="dxa" w:w="5814"/>
          </w:tcPr>
          <w:p>
            <w:pPr>
              <w:pStyle w:val="null3"/>
            </w:pPr>
            <w:r>
              <w:rPr/>
              <w:t>（二）对供应商与服务司机的要求： 1.供应商需承诺拟派出为本项目服务的司机（不少于6名）必须是责任心强、身心健康，年龄在55岁以下（含55岁），具有五年以上（含五年）准驾车型（A1证）的驾驶资格及驾驶经验（驾驶经验以驾驶证领证时间起至投标截止日止），并无重大交通安全责任事故记录及刑事犯罪记录。 签订合同前提供符合要求的身份证、道路旅客运输驾驶员从业资格证件、驾驶证、中标后在三甲或以上医院的体检合格证明资料给采购人核查（提供加盖公章的承诺函），体检合同证明资料须无影响安全驾驶的疾病史，列举的精神病：包括精神病（如精神分裂症）、癫狂、癔病、癫痫、痴呆及严重抑郁/焦虑等；神经系统疾病：如震颤麻痹、影响肢体活动的神经系统疾病等；药物依赖：包括吸食、注射毒品，或长期服用依赖性精神药品且未戒除；包括且不限于如癫痛、精神病、心脏病等。体检频率：入职必查，在岗驾驶员通常每年至少1次。驾驶员应精神饱满、状态良好，服务态度友善和蔼，具备较强责任意识，言行文明得体，服务热情有礼，严守安全驾驶规范，做到行车安全、接送准点。</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2.司机要遵章守法，文明驾驶，严禁行驶时接打电话，严禁超速、疲劳驾驶。（须提供承诺函并加盖供应商公章，格式自拟）</w:t>
            </w:r>
          </w:p>
        </w:tc>
      </w:tr>
      <w:tr>
        <w:tc>
          <w:tcPr>
            <w:tcW w:type="dxa" w:w="2076"/>
          </w:tcPr>
          <w:p/>
        </w:tc>
        <w:tc>
          <w:tcPr>
            <w:tcW w:type="dxa" w:w="415"/>
          </w:tcPr>
          <w:p>
            <w:pPr>
              <w:pStyle w:val="null3"/>
            </w:pPr>
            <w:r>
              <w:rPr/>
              <w:t>17</w:t>
            </w:r>
          </w:p>
        </w:tc>
        <w:tc>
          <w:tcPr>
            <w:tcW w:type="dxa" w:w="5814"/>
          </w:tcPr>
          <w:p>
            <w:pPr>
              <w:pStyle w:val="null3"/>
            </w:pPr>
            <w:r>
              <w:rPr/>
              <w:t>3.在服务过程中，如采购人发现供应商服务司机不符合要求，采购人有权要求供应商立即更换人员，如没及时更换人员，采购人有权终止合同，并追究供应商违约责任。</w:t>
            </w:r>
          </w:p>
        </w:tc>
      </w:tr>
      <w:tr>
        <w:tc>
          <w:tcPr>
            <w:tcW w:type="dxa" w:w="2076"/>
          </w:tcPr>
          <w:p/>
        </w:tc>
        <w:tc>
          <w:tcPr>
            <w:tcW w:type="dxa" w:w="415"/>
          </w:tcPr>
          <w:p>
            <w:pPr>
              <w:pStyle w:val="null3"/>
            </w:pPr>
            <w:r>
              <w:rPr/>
              <w:t>18</w:t>
            </w:r>
          </w:p>
        </w:tc>
        <w:tc>
          <w:tcPr>
            <w:tcW w:type="dxa" w:w="5814"/>
          </w:tcPr>
          <w:p>
            <w:pPr>
              <w:pStyle w:val="null3"/>
            </w:pPr>
            <w:r>
              <w:rPr/>
              <w:t>4.劳务合同要求：供应商派出人员的福利、工资、医疗、保险等一切费用均由供应商与员工商定。供应商应按照国家法律法规为派出员工购买缴纳社保部门规定应缴的养老、医疗、失业等社会保障项目的费项，以及法律法规要求企业必须为员工办理的其他费用。如发生劳资纠纷，由供应商负责，采购人不承担任何责任。</w:t>
            </w:r>
          </w:p>
        </w:tc>
      </w:tr>
      <w:tr>
        <w:tc>
          <w:tcPr>
            <w:tcW w:type="dxa" w:w="2076"/>
          </w:tcPr>
          <w:p/>
        </w:tc>
        <w:tc>
          <w:tcPr>
            <w:tcW w:type="dxa" w:w="415"/>
          </w:tcPr>
          <w:p>
            <w:pPr>
              <w:pStyle w:val="null3"/>
            </w:pPr>
            <w:r>
              <w:rPr/>
              <w:t>19</w:t>
            </w:r>
          </w:p>
        </w:tc>
        <w:tc>
          <w:tcPr>
            <w:tcW w:type="dxa" w:w="5814"/>
          </w:tcPr>
          <w:p>
            <w:pPr>
              <w:pStyle w:val="null3"/>
            </w:pPr>
            <w:r>
              <w:rPr/>
              <w:t>5.供应商人员管理要求：由供应商派出的人员，其管理工作由供应商负责，如有违反国家的法律、法规或出现交通事故或乘客损伤的均由供应商承担全部责任，采购人不承担任何责任。</w:t>
            </w:r>
          </w:p>
        </w:tc>
      </w:tr>
      <w:tr>
        <w:tc>
          <w:tcPr>
            <w:tcW w:type="dxa" w:w="2076"/>
          </w:tcPr>
          <w:p/>
        </w:tc>
        <w:tc>
          <w:tcPr>
            <w:tcW w:type="dxa" w:w="415"/>
          </w:tcPr>
          <w:p>
            <w:pPr>
              <w:pStyle w:val="null3"/>
            </w:pPr>
            <w:r>
              <w:rPr/>
              <w:t>20</w:t>
            </w:r>
          </w:p>
        </w:tc>
        <w:tc>
          <w:tcPr>
            <w:tcW w:type="dxa" w:w="5814"/>
          </w:tcPr>
          <w:p>
            <w:pPr>
              <w:pStyle w:val="null3"/>
            </w:pPr>
            <w:r>
              <w:rPr/>
              <w:t>6.由供应商负责安排人员根据采购人提供的要求查验乘车人员是否有乘车卡，如行车过程中出现突发事件须第一时间向学校主管部门报告。</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（三）其他要求： 1.所有供给车辆按照国家规定进行年检，保证供给车辆车况优良，满足用车需求。供应商应保证服务车辆和服务司机，因故需要变更的，不得低于投标书所报的标准；车辆在使用期间如确需维修或保养，或需要接受定期检审或其他经采购人认可的合理因素、确实需要调整车辆的，供应商必须调派同等条件或以上的车辆，并提前向采购人申请，经采购人书面同意后方可调整。中标后不得分包、转包，不得部分或全部转让其履行的合同义务。在服务过程中，如采购人发现供应商有分包、转包情况，或提供服务的车辆与投标承诺的车辆不相符，或委派司机与投标承诺的人员不相符，采购人有权终止合同，并追究供应商违约责任（须提供承诺函并加盖供应商公章，格式自拟）。</w:t>
            </w:r>
          </w:p>
        </w:tc>
      </w:tr>
      <w:tr>
        <w:tc>
          <w:tcPr>
            <w:tcW w:type="dxa" w:w="2076"/>
          </w:tcPr>
          <w:p/>
        </w:tc>
        <w:tc>
          <w:tcPr>
            <w:tcW w:type="dxa" w:w="415"/>
          </w:tcPr>
          <w:p>
            <w:pPr>
              <w:pStyle w:val="null3"/>
            </w:pPr>
            <w:r>
              <w:rPr/>
              <w:t>22</w:t>
            </w:r>
          </w:p>
        </w:tc>
        <w:tc>
          <w:tcPr>
            <w:tcW w:type="dxa" w:w="5814"/>
          </w:tcPr>
          <w:p>
            <w:pPr>
              <w:pStyle w:val="null3"/>
            </w:pPr>
            <w:r>
              <w:rPr>
                <w:sz w:val="21"/>
              </w:rPr>
              <w:t>2.</w:t>
            </w:r>
            <w:r>
              <w:rPr>
                <w:sz w:val="21"/>
              </w:rPr>
              <w:t>采购人石牌校园往返大学城校园的行车时间路线详见附件</w:t>
            </w:r>
            <w:r>
              <w:rPr>
                <w:sz w:val="21"/>
              </w:rPr>
              <w:t>1</w:t>
            </w:r>
            <w:r>
              <w:rPr>
                <w:sz w:val="21"/>
              </w:rPr>
              <w:t>。</w:t>
            </w:r>
          </w:p>
          <w:p>
            <w:pPr>
              <w:pStyle w:val="null3"/>
            </w:pPr>
            <w:r>
              <w:rPr/>
              <w:t xml:space="preserve"> </w:t>
            </w:r>
          </w:p>
          <w:p>
            <w:pPr>
              <w:pStyle w:val="null3"/>
            </w:pPr>
          </w:p>
        </w:tc>
      </w:tr>
      <w:tr>
        <w:tc>
          <w:tcPr>
            <w:tcW w:type="dxa" w:w="2076"/>
          </w:tcPr>
          <w:p>
            <w:pPr>
              <w:pStyle w:val="null3"/>
            </w:pPr>
            <w:r>
              <w:rPr/>
              <w:t>★</w:t>
            </w:r>
          </w:p>
        </w:tc>
        <w:tc>
          <w:tcPr>
            <w:tcW w:type="dxa" w:w="415"/>
          </w:tcPr>
          <w:p>
            <w:pPr>
              <w:pStyle w:val="null3"/>
            </w:pPr>
            <w:r>
              <w:rPr/>
              <w:t>23</w:t>
            </w:r>
          </w:p>
        </w:tc>
        <w:tc>
          <w:tcPr>
            <w:tcW w:type="dxa" w:w="5814"/>
          </w:tcPr>
          <w:p>
            <w:pPr>
              <w:pStyle w:val="null3"/>
            </w:pPr>
            <w:r>
              <w:rPr>
                <w:sz w:val="21"/>
              </w:rPr>
              <w:t>3.</w:t>
            </w:r>
            <w:r>
              <w:rPr>
                <w:sz w:val="21"/>
              </w:rPr>
              <w:t>合同执行期间，</w:t>
            </w:r>
            <w:r>
              <w:rPr>
                <w:sz w:val="21"/>
              </w:rPr>
              <w:t>采购人</w:t>
            </w:r>
            <w:r>
              <w:rPr>
                <w:sz w:val="21"/>
              </w:rPr>
              <w:t>有权根据实际情况对每日的用车时间及班次进行调整；</w:t>
            </w:r>
            <w:r>
              <w:rPr>
                <w:sz w:val="21"/>
              </w:rPr>
              <w:t>服务</w:t>
            </w:r>
            <w:r>
              <w:rPr>
                <w:sz w:val="21"/>
              </w:rPr>
              <w:t>车辆</w:t>
            </w:r>
            <w:r>
              <w:rPr>
                <w:sz w:val="21"/>
              </w:rPr>
              <w:t>须无条件服从</w:t>
            </w:r>
            <w:r>
              <w:rPr>
                <w:sz w:val="21"/>
              </w:rPr>
              <w:t>采购人</w:t>
            </w:r>
            <w:r>
              <w:rPr>
                <w:sz w:val="21"/>
              </w:rPr>
              <w:t>的调度，</w:t>
            </w:r>
            <w:r>
              <w:rPr>
                <w:sz w:val="21"/>
              </w:rPr>
              <w:t>否则按当日车次租金的</w:t>
            </w:r>
            <w:r>
              <w:rPr>
                <w:sz w:val="21"/>
              </w:rPr>
              <w:t>30%</w:t>
            </w:r>
            <w:r>
              <w:rPr>
                <w:sz w:val="21"/>
              </w:rPr>
              <w:t>支付违约金</w:t>
            </w:r>
            <w:r>
              <w:rPr>
                <w:sz w:val="21"/>
              </w:rPr>
              <w:t>。</w:t>
            </w:r>
            <w:r>
              <w:rPr>
                <w:sz w:val="21"/>
              </w:rPr>
              <w:t>供应商在响应文件中承诺：如采购人需要临时增加用车的，采购人可决定由中标人提供服务，核增费用按照供应商中标的单次用车报价价格执行，据实结算</w:t>
            </w:r>
            <w:r>
              <w:rPr>
                <w:sz w:val="21"/>
              </w:rPr>
              <w:t>（须提供承诺函并加盖供应商公章，</w:t>
            </w:r>
            <w:r>
              <w:rPr>
                <w:sz w:val="21"/>
              </w:rPr>
              <w:t>格式自拟</w:t>
            </w:r>
            <w:r>
              <w:rPr>
                <w:sz w:val="21"/>
              </w:rPr>
              <w:t>）。</w:t>
            </w:r>
          </w:p>
        </w:tc>
      </w:tr>
      <w:tr>
        <w:tc>
          <w:tcPr>
            <w:tcW w:type="dxa" w:w="2076"/>
          </w:tcPr>
          <w:p/>
        </w:tc>
        <w:tc>
          <w:tcPr>
            <w:tcW w:type="dxa" w:w="415"/>
          </w:tcPr>
          <w:p>
            <w:pPr>
              <w:pStyle w:val="null3"/>
            </w:pPr>
            <w:r>
              <w:rPr/>
              <w:t>24</w:t>
            </w:r>
          </w:p>
        </w:tc>
        <w:tc>
          <w:tcPr>
            <w:tcW w:type="dxa" w:w="5814"/>
          </w:tcPr>
          <w:p>
            <w:pPr>
              <w:pStyle w:val="null3"/>
            </w:pPr>
            <w:r>
              <w:rPr>
                <w:sz w:val="21"/>
              </w:rPr>
              <w:t>4.</w:t>
            </w:r>
            <w:r>
              <w:rPr>
                <w:sz w:val="21"/>
              </w:rPr>
              <w:t>强化考核与管理。实行日常巡查、月度考核和年度考核（详见附件</w:t>
            </w:r>
            <w:r>
              <w:rPr>
                <w:sz w:val="21"/>
              </w:rPr>
              <w:t>2</w:t>
            </w:r>
            <w:r>
              <w:rPr>
                <w:sz w:val="21"/>
              </w:rPr>
              <w:t>），若当月评估结果为</w:t>
            </w:r>
            <w:r>
              <w:rPr>
                <w:sz w:val="21"/>
              </w:rPr>
              <w:t>“</w:t>
            </w:r>
            <w:r>
              <w:rPr>
                <w:sz w:val="21"/>
              </w:rPr>
              <w:t>差</w:t>
            </w:r>
            <w:r>
              <w:rPr>
                <w:sz w:val="21"/>
              </w:rPr>
              <w:t>”</w:t>
            </w:r>
            <w:r>
              <w:rPr>
                <w:sz w:val="21"/>
              </w:rPr>
              <w:t>等级的，采购人将提出警告并要求限期整改，将扣除当月服务费的</w:t>
            </w:r>
            <w:r>
              <w:rPr>
                <w:sz w:val="21"/>
              </w:rPr>
              <w:t>5%</w:t>
            </w:r>
            <w:r>
              <w:rPr>
                <w:sz w:val="21"/>
              </w:rPr>
              <w:t>作为违约金；如全年累计有三个月的评估结果为</w:t>
            </w:r>
            <w:r>
              <w:rPr>
                <w:sz w:val="21"/>
              </w:rPr>
              <w:t>“</w:t>
            </w:r>
            <w:r>
              <w:rPr>
                <w:sz w:val="21"/>
              </w:rPr>
              <w:t>差</w:t>
            </w:r>
            <w:r>
              <w:rPr>
                <w:sz w:val="21"/>
              </w:rPr>
              <w:t>”</w:t>
            </w:r>
            <w:r>
              <w:rPr>
                <w:sz w:val="21"/>
              </w:rPr>
              <w:t>等级，则采购人可随时解除与中标人的合同关系，同时，采购人不再向供应商划拨尚未支付的一切费用，供应商交纳的履行合同保证金不退，由此造成的一切不良后果及直接经济损失由供应商负责。</w:t>
            </w:r>
          </w:p>
        </w:tc>
      </w:tr>
      <w:tr>
        <w:tc>
          <w:tcPr>
            <w:tcW w:type="dxa" w:w="2076"/>
          </w:tcPr>
          <w:p/>
        </w:tc>
        <w:tc>
          <w:tcPr>
            <w:tcW w:type="dxa" w:w="415"/>
          </w:tcPr>
          <w:p>
            <w:pPr>
              <w:pStyle w:val="null3"/>
            </w:pPr>
            <w:r>
              <w:rPr/>
              <w:t>25</w:t>
            </w:r>
          </w:p>
        </w:tc>
        <w:tc>
          <w:tcPr>
            <w:tcW w:type="dxa" w:w="5814"/>
          </w:tcPr>
          <w:p>
            <w:pPr>
              <w:pStyle w:val="null3"/>
            </w:pPr>
            <w:r>
              <w:rPr>
                <w:sz w:val="21"/>
              </w:rPr>
              <w:t>5.</w:t>
            </w:r>
            <w:r>
              <w:rPr>
                <w:sz w:val="21"/>
              </w:rPr>
              <w:t>采购人不提供专门的司机休息房间，不免费提供司机餐饮等。</w:t>
            </w:r>
          </w:p>
        </w:tc>
      </w:tr>
      <w:tr>
        <w:tc>
          <w:tcPr>
            <w:tcW w:type="dxa" w:w="2076"/>
          </w:tcPr>
          <w:p/>
        </w:tc>
        <w:tc>
          <w:tcPr>
            <w:tcW w:type="dxa" w:w="415"/>
          </w:tcPr>
          <w:p>
            <w:pPr>
              <w:pStyle w:val="null3"/>
            </w:pPr>
            <w:r>
              <w:rPr/>
              <w:t>26</w:t>
            </w:r>
          </w:p>
        </w:tc>
        <w:tc>
          <w:tcPr>
            <w:tcW w:type="dxa" w:w="5814"/>
          </w:tcPr>
          <w:p>
            <w:pPr>
              <w:pStyle w:val="null3"/>
            </w:pPr>
            <w:r>
              <w:rPr>
                <w:sz w:val="21"/>
              </w:rPr>
              <w:t>6.</w:t>
            </w:r>
            <w:r>
              <w:rPr>
                <w:sz w:val="21"/>
              </w:rPr>
              <w:t>根据《道路运输旅客安全管理规范》相关规定，投标人应满足相关规定并有相关的安全管理制度以及车辆管理安全员配备至少</w:t>
            </w:r>
            <w:r>
              <w:rPr>
                <w:sz w:val="21"/>
              </w:rPr>
              <w:t>1</w:t>
            </w:r>
            <w:r>
              <w:rPr>
                <w:sz w:val="21"/>
              </w:rPr>
              <w:t>名（具备有效的《道路运输企业主要负责人和生产管理人员安全考核合格证明》）。该证明须在有效期内，若证明临近到期（到期前</w:t>
            </w:r>
            <w:r>
              <w:rPr>
                <w:sz w:val="21"/>
              </w:rPr>
              <w:t>3</w:t>
            </w:r>
            <w:r>
              <w:rPr>
                <w:sz w:val="21"/>
              </w:rPr>
              <w:t>个月内），投标人须提供有效期延期申请的受理凭证，确保项目实施期间资质持续有效；严禁提供通过隐瞒情况、虚假材料或非法手段获取的考核合格证明，不得转让、涂改、倒卖、出租、出借该证明，否则视为资格无效。供应商如获中标资格，须在签订中标合同的同时与采购人签订租赁交通车辆安全管理责任书。</w:t>
            </w:r>
            <w:r>
              <w:rPr>
                <w:sz w:val="21"/>
              </w:rPr>
              <w:t>（投标时提供证明扫描件并加盖供应商公章）</w:t>
            </w:r>
          </w:p>
        </w:tc>
      </w:tr>
      <w:tr>
        <w:tc>
          <w:tcPr>
            <w:tcW w:type="dxa" w:w="2076"/>
          </w:tcPr>
          <w:p/>
        </w:tc>
        <w:tc>
          <w:tcPr>
            <w:tcW w:type="dxa" w:w="415"/>
          </w:tcPr>
          <w:p>
            <w:pPr>
              <w:pStyle w:val="null3"/>
            </w:pPr>
            <w:r>
              <w:rPr/>
              <w:t>27</w:t>
            </w:r>
          </w:p>
        </w:tc>
        <w:tc>
          <w:tcPr>
            <w:tcW w:type="dxa" w:w="5814"/>
          </w:tcPr>
          <w:p>
            <w:pPr>
              <w:pStyle w:val="null3"/>
            </w:pPr>
            <w:r>
              <w:rPr/>
              <w:t>7.安排至少1名项目负责人（不含驾驶员）负责本项目调度管理车辆及驾驶员，确保综合协调落实采购人包括但不限于行驶路线、停靠站点、接送车型、接送时间、接送次数调整等需求，并按照采购人工作需要提供车辆及驾驶人员的信息情况。</w:t>
            </w:r>
          </w:p>
        </w:tc>
      </w:tr>
      <w:tr>
        <w:tc>
          <w:tcPr>
            <w:tcW w:type="dxa" w:w="2076"/>
          </w:tcPr>
          <w:p/>
        </w:tc>
        <w:tc>
          <w:tcPr>
            <w:tcW w:type="dxa" w:w="415"/>
          </w:tcPr>
          <w:p>
            <w:pPr>
              <w:pStyle w:val="null3"/>
            </w:pPr>
            <w:r>
              <w:rPr/>
              <w:t>28</w:t>
            </w:r>
          </w:p>
        </w:tc>
        <w:tc>
          <w:tcPr>
            <w:tcW w:type="dxa" w:w="5814"/>
          </w:tcPr>
          <w:p>
            <w:pPr>
              <w:pStyle w:val="null3"/>
            </w:pPr>
            <w:r>
              <w:rPr>
                <w:sz w:val="21"/>
              </w:rPr>
              <w:t>8.</w:t>
            </w:r>
            <w:r>
              <w:rPr>
                <w:sz w:val="21"/>
              </w:rPr>
              <w:t>临时用车需求：采购人有可能按照前述的车辆、司机和服务标准等各项条款，要求供应商提供临时性交通车客运服务，相关费用另行结算。</w:t>
            </w:r>
          </w:p>
        </w:tc>
      </w:tr>
      <w:tr>
        <w:tc>
          <w:tcPr>
            <w:tcW w:type="dxa" w:w="2076"/>
          </w:tcPr>
          <w:p/>
        </w:tc>
        <w:tc>
          <w:tcPr>
            <w:tcW w:type="dxa" w:w="415"/>
          </w:tcPr>
          <w:p>
            <w:pPr>
              <w:pStyle w:val="null3"/>
            </w:pPr>
            <w:r>
              <w:rPr/>
              <w:t>29</w:t>
            </w:r>
          </w:p>
        </w:tc>
        <w:tc>
          <w:tcPr>
            <w:tcW w:type="dxa" w:w="5814"/>
          </w:tcPr>
          <w:p>
            <w:pPr>
              <w:pStyle w:val="null3"/>
            </w:pPr>
            <w:r>
              <w:rPr>
                <w:sz w:val="21"/>
              </w:rPr>
              <w:t>9.</w:t>
            </w:r>
            <w:r>
              <w:rPr>
                <w:sz w:val="21"/>
              </w:rPr>
              <w:t>根据学校实际需要，车辆需不定时随车配送部分物资，主要包括</w:t>
            </w:r>
            <w:r>
              <w:rPr>
                <w:sz w:val="21"/>
              </w:rPr>
              <w:t>图书、办公文件、生活物资等，费用包含在本次报价中。</w:t>
            </w:r>
          </w:p>
        </w:tc>
      </w:tr>
      <w:tr>
        <w:tc>
          <w:tcPr>
            <w:tcW w:type="dxa" w:w="2076"/>
          </w:tcPr>
          <w:p/>
        </w:tc>
        <w:tc>
          <w:tcPr>
            <w:tcW w:type="dxa" w:w="415"/>
          </w:tcPr>
          <w:p>
            <w:pPr>
              <w:pStyle w:val="null3"/>
            </w:pPr>
            <w:r>
              <w:rPr/>
              <w:t>30</w:t>
            </w:r>
          </w:p>
        </w:tc>
        <w:tc>
          <w:tcPr>
            <w:tcW w:type="dxa" w:w="5814"/>
          </w:tcPr>
          <w:p>
            <w:pPr>
              <w:pStyle w:val="null3"/>
            </w:pPr>
            <w:r>
              <w:rPr/>
              <w:t>10.</w:t>
            </w:r>
            <w:r>
              <w:rPr/>
              <w:t>投标人须提供以下方案：</w:t>
            </w:r>
          </w:p>
          <w:p>
            <w:pPr>
              <w:pStyle w:val="null3"/>
            </w:pPr>
            <w:r>
              <w:rPr>
                <w:sz w:val="21"/>
              </w:rPr>
              <w:t>10.1</w:t>
            </w:r>
            <w:r>
              <w:rPr>
                <w:sz w:val="21"/>
              </w:rPr>
              <w:t>.</w:t>
            </w:r>
            <w:r>
              <w:rPr>
                <w:sz w:val="21"/>
              </w:rPr>
              <w:t>服务总体方案及运作流程要求：内容需包括但不限于</w:t>
            </w:r>
            <w:r>
              <w:rPr>
                <w:sz w:val="21"/>
              </w:rPr>
              <w:t>①</w:t>
            </w:r>
            <w:r>
              <w:rPr>
                <w:sz w:val="21"/>
              </w:rPr>
              <w:t>具体实施方案，涵盖从项目启动到日常运营的完整计划与资源配置；</w:t>
            </w:r>
            <w:r>
              <w:rPr>
                <w:sz w:val="21"/>
              </w:rPr>
              <w:t>②</w:t>
            </w:r>
            <w:r>
              <w:rPr>
                <w:sz w:val="21"/>
              </w:rPr>
              <w:t>运作流程，详细描述服务从接收需求、任务分配、执行过程到完成反馈的各个环节及衔接机制；</w:t>
            </w:r>
            <w:r>
              <w:rPr>
                <w:sz w:val="21"/>
              </w:rPr>
              <w:t>③</w:t>
            </w:r>
            <w:r>
              <w:rPr>
                <w:sz w:val="21"/>
              </w:rPr>
              <w:t>车辆日常管理方案，具体涉及车辆的调度、维护、检查、清洁及使用记录等规范化管理措施。</w:t>
            </w:r>
          </w:p>
        </w:tc>
      </w:tr>
      <w:tr>
        <w:tc>
          <w:tcPr>
            <w:tcW w:type="dxa" w:w="2076"/>
          </w:tcPr>
          <w:p/>
        </w:tc>
        <w:tc>
          <w:tcPr>
            <w:tcW w:type="dxa" w:w="415"/>
          </w:tcPr>
          <w:p>
            <w:pPr>
              <w:pStyle w:val="null3"/>
            </w:pPr>
            <w:r>
              <w:rPr/>
              <w:t>31</w:t>
            </w:r>
          </w:p>
        </w:tc>
        <w:tc>
          <w:tcPr>
            <w:tcW w:type="dxa" w:w="5814"/>
          </w:tcPr>
          <w:p>
            <w:pPr>
              <w:pStyle w:val="null3"/>
            </w:pPr>
            <w:r>
              <w:rPr>
                <w:sz w:val="21"/>
              </w:rPr>
              <w:t>10.2</w:t>
            </w:r>
            <w:r>
              <w:rPr>
                <w:sz w:val="21"/>
              </w:rPr>
              <w:t>.</w:t>
            </w:r>
            <w:r>
              <w:rPr>
                <w:sz w:val="21"/>
              </w:rPr>
              <w:t>突发事件处理预案要求：内容需包括但不限于</w:t>
            </w:r>
            <w:r>
              <w:rPr>
                <w:sz w:val="21"/>
              </w:rPr>
              <w:t>①</w:t>
            </w:r>
            <w:r>
              <w:rPr>
                <w:sz w:val="21"/>
              </w:rPr>
              <w:t>组织指挥体系，明确应急领导小组、现场指挥及各岗位人员的职责与协调机制；</w:t>
            </w:r>
            <w:r>
              <w:rPr>
                <w:sz w:val="21"/>
              </w:rPr>
              <w:t>②</w:t>
            </w:r>
            <w:r>
              <w:rPr>
                <w:sz w:val="21"/>
              </w:rPr>
              <w:t>应急响应及应急保障，详细说明不同级别事件的启动条件、响应程序，并包含人员备勤、车辆及车牌应急调配等保障安排；</w:t>
            </w:r>
            <w:r>
              <w:rPr>
                <w:sz w:val="21"/>
              </w:rPr>
              <w:t>③</w:t>
            </w:r>
            <w:r>
              <w:rPr>
                <w:sz w:val="21"/>
              </w:rPr>
              <w:t>突发情况应对措施，针对各类可能发生的紧急事件，如交通事故、车辆故障、恶劣天气等，制定具体的处理步骤与解决方案。</w:t>
            </w:r>
          </w:p>
        </w:tc>
      </w:tr>
      <w:tr>
        <w:tc>
          <w:tcPr>
            <w:tcW w:type="dxa" w:w="2076"/>
          </w:tcPr>
          <w:p/>
        </w:tc>
        <w:tc>
          <w:tcPr>
            <w:tcW w:type="dxa" w:w="415"/>
          </w:tcPr>
          <w:p>
            <w:pPr>
              <w:pStyle w:val="null3"/>
            </w:pPr>
            <w:r>
              <w:rPr/>
              <w:t>32</w:t>
            </w:r>
          </w:p>
        </w:tc>
        <w:tc>
          <w:tcPr>
            <w:tcW w:type="dxa" w:w="5814"/>
          </w:tcPr>
          <w:p>
            <w:pPr>
              <w:pStyle w:val="null3"/>
            </w:pPr>
            <w:r>
              <w:rPr>
                <w:sz w:val="21"/>
              </w:rPr>
              <w:t>10.3</w:t>
            </w:r>
            <w:r>
              <w:rPr>
                <w:sz w:val="21"/>
              </w:rPr>
              <w:t>.</w:t>
            </w:r>
            <w:r>
              <w:rPr>
                <w:sz w:val="21"/>
              </w:rPr>
              <w:t>车辆及驾驶人各项安全信息化设施需配备齐全，具体应涵盖车载</w:t>
            </w:r>
            <w:r>
              <w:rPr>
                <w:sz w:val="21"/>
              </w:rPr>
              <w:t>GPS</w:t>
            </w:r>
            <w:r>
              <w:rPr>
                <w:sz w:val="21"/>
              </w:rPr>
              <w:t>定位系统用于实时追踪与路线管理、安全带提醒装置以确保驾乘人员规范使用、车载对讲麦便于即时通讯与调度、驾驶员状态监管系统以监测疲劳驾驶等行为，以及视频监控设备对车内外部环境进行全程记录与监督等内容。</w:t>
            </w:r>
          </w:p>
          <w:p>
            <w:pPr>
              <w:pStyle w:val="null3"/>
            </w:pPr>
            <w:r>
              <w:rPr/>
              <w:t xml:space="preserve"> </w:t>
            </w:r>
          </w:p>
          <w:p>
            <w:pPr>
              <w:pStyle w:val="null3"/>
            </w:pPr>
          </w:p>
        </w:tc>
      </w:tr>
      <w:tr>
        <w:tc>
          <w:tcPr>
            <w:tcW w:type="dxa" w:w="2076"/>
          </w:tcPr>
          <w:p>
            <w:pPr>
              <w:pStyle w:val="null3"/>
            </w:pPr>
            <w:r>
              <w:rPr/>
              <w:t>★</w:t>
            </w:r>
          </w:p>
        </w:tc>
        <w:tc>
          <w:tcPr>
            <w:tcW w:type="dxa" w:w="415"/>
          </w:tcPr>
          <w:p>
            <w:pPr>
              <w:pStyle w:val="null3"/>
            </w:pPr>
            <w:r>
              <w:rPr/>
              <w:t>33</w:t>
            </w:r>
          </w:p>
        </w:tc>
        <w:tc>
          <w:tcPr>
            <w:tcW w:type="dxa" w:w="5814"/>
          </w:tcPr>
          <w:p>
            <w:pPr>
              <w:pStyle w:val="null3"/>
            </w:pPr>
            <w:r>
              <w:rPr/>
              <w:t>（</w:t>
            </w:r>
            <w:r>
              <w:rPr/>
              <w:t>四</w:t>
            </w:r>
            <w:r>
              <w:rPr/>
              <w:t>）</w:t>
            </w:r>
            <w:r>
              <w:rPr/>
              <w:t>报价要求</w:t>
            </w:r>
          </w:p>
          <w:p>
            <w:pPr>
              <w:pStyle w:val="null3"/>
            </w:pPr>
            <w:r>
              <w:rPr>
                <w:sz w:val="21"/>
              </w:rPr>
              <w:t>1.</w:t>
            </w:r>
            <w:r>
              <w:rPr>
                <w:sz w:val="21"/>
              </w:rPr>
              <w:t>本项目须进行单价报价，不得超出本项目单次用车最高限价，最终结算总价不得超过本项目预算金额（人民币</w:t>
            </w:r>
            <w:r>
              <w:rPr>
                <w:sz w:val="21"/>
              </w:rPr>
              <w:t>5,168,640.00</w:t>
            </w:r>
            <w:r>
              <w:rPr>
                <w:sz w:val="21"/>
              </w:rPr>
              <w:t>元）。 单次用车最高限价：不高于</w:t>
            </w:r>
            <w:r>
              <w:rPr>
                <w:sz w:val="21"/>
              </w:rPr>
              <w:t>320</w:t>
            </w:r>
            <w:r>
              <w:rPr>
                <w:sz w:val="21"/>
              </w:rPr>
              <w:t>元</w:t>
            </w:r>
            <w:r>
              <w:rPr>
                <w:sz w:val="21"/>
              </w:rPr>
              <w:t>/</w:t>
            </w:r>
            <w:r>
              <w:rPr>
                <w:sz w:val="21"/>
              </w:rPr>
              <w:t>次</w:t>
            </w:r>
            <w:r>
              <w:rPr>
                <w:sz w:val="21"/>
              </w:rPr>
              <w:t>•</w:t>
            </w:r>
            <w:r>
              <w:rPr>
                <w:sz w:val="21"/>
              </w:rPr>
              <w:t>台车。</w:t>
            </w:r>
          </w:p>
        </w:tc>
      </w:tr>
      <w:tr>
        <w:tc>
          <w:tcPr>
            <w:tcW w:type="dxa" w:w="2076"/>
          </w:tcPr>
          <w:p>
            <w:pPr>
              <w:pStyle w:val="null3"/>
            </w:pPr>
            <w:r>
              <w:rPr/>
              <w:t>★</w:t>
            </w:r>
          </w:p>
        </w:tc>
        <w:tc>
          <w:tcPr>
            <w:tcW w:type="dxa" w:w="415"/>
          </w:tcPr>
          <w:p>
            <w:pPr>
              <w:pStyle w:val="null3"/>
            </w:pPr>
            <w:r>
              <w:rPr/>
              <w:t>34</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2.单次用车报价格式如下：</w:t>
                  </w:r>
                </w:p>
                <w:tbl>
                  <w:tblPr>
                    <w:tblBorders>
                      <w:top w:val="none" w:color="000000" w:sz="4"/>
                      <w:left w:val="none" w:color="000000" w:sz="4"/>
                      <w:bottom w:val="none" w:color="000000" w:sz="4"/>
                      <w:right w:val="none" w:color="000000" w:sz="4"/>
                      <w:insideH w:val="none"/>
                      <w:insideV w:val="none"/>
                    </w:tblBorders>
                  </w:tblPr>
                  <w:tblGrid>
                    <w:gridCol w:w="505"/>
                    <w:gridCol w:w="3370"/>
                    <w:gridCol w:w="1506"/>
                  </w:tblGrid>
                  <w:tr>
                    <w:tc>
                      <w:tcPr>
                        <w:tcW w:type="dxa" w:w="538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华南师范大学广州校区石牌校园往返大学城校园交通车租赁服务投标报价一览表</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报价项目</w:t>
                        </w:r>
                      </w:p>
                    </w:tc>
                    <w:tc>
                      <w:tcPr>
                        <w:tcW w:type="dxa" w:w="1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投标报价</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单次用车费用</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 xml:space="preserve">     </w:t>
                        </w:r>
                        <w:r>
                          <w:rPr>
                            <w:sz w:val="20"/>
                          </w:rPr>
                          <w:t>元</w:t>
                        </w:r>
                        <w:r>
                          <w:rPr>
                            <w:sz w:val="20"/>
                          </w:rPr>
                          <w:t>/次•台车</w:t>
                        </w:r>
                      </w:p>
                    </w:tc>
                  </w:tr>
                  <w:tr>
                    <w:tc>
                      <w:tcPr>
                        <w:tcW w:type="dxa" w:w="53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备注：</w:t>
                        </w:r>
                        <w:r>
                          <w:rPr>
                            <w:sz w:val="20"/>
                          </w:rPr>
                          <w:t>对</w:t>
                        </w:r>
                        <w:r>
                          <w:rPr>
                            <w:sz w:val="20"/>
                          </w:rPr>
                          <w:t>车次</w:t>
                        </w:r>
                        <w:r>
                          <w:rPr>
                            <w:sz w:val="20"/>
                          </w:rPr>
                          <w:t>的界定，送师生从采购人的</w:t>
                        </w:r>
                        <w:r>
                          <w:rPr>
                            <w:sz w:val="20"/>
                          </w:rPr>
                          <w:t>石牌校园</w:t>
                        </w:r>
                        <w:r>
                          <w:rPr>
                            <w:sz w:val="20"/>
                          </w:rPr>
                          <w:t>到</w:t>
                        </w:r>
                        <w:r>
                          <w:rPr>
                            <w:sz w:val="20"/>
                          </w:rPr>
                          <w:t>大学城校园</w:t>
                        </w:r>
                        <w:r>
                          <w:rPr>
                            <w:sz w:val="20"/>
                          </w:rPr>
                          <w:t>为</w:t>
                        </w:r>
                        <w:r>
                          <w:rPr>
                            <w:sz w:val="20"/>
                          </w:rPr>
                          <w:t>1趟次，从</w:t>
                        </w:r>
                        <w:r>
                          <w:rPr>
                            <w:sz w:val="20"/>
                          </w:rPr>
                          <w:t>大学城校园</w:t>
                        </w:r>
                        <w:r>
                          <w:rPr>
                            <w:sz w:val="20"/>
                          </w:rPr>
                          <w:t>接师生到</w:t>
                        </w:r>
                        <w:r>
                          <w:rPr>
                            <w:sz w:val="20"/>
                          </w:rPr>
                          <w:t>石牌校园</w:t>
                        </w:r>
                        <w:r>
                          <w:rPr>
                            <w:sz w:val="20"/>
                          </w:rPr>
                          <w:t>也为</w:t>
                        </w:r>
                        <w:r>
                          <w:rPr>
                            <w:sz w:val="20"/>
                          </w:rPr>
                          <w:t>1趟次，如因接送需要形成的空车往返不计算次数。</w:t>
                        </w:r>
                      </w:p>
                      <w:p>
                        <w:pPr>
                          <w:pStyle w:val="null3"/>
                          <w:jc w:val="right"/>
                        </w:pPr>
                        <w:r>
                          <w:rPr>
                            <w:sz w:val="20"/>
                          </w:rPr>
                          <w:t>投标人签章：</w:t>
                        </w:r>
                        <w:r>
                          <w:rPr>
                            <w:sz w:val="20"/>
                          </w:rPr>
                          <w:t>__________________</w:t>
                        </w:r>
                      </w:p>
                      <w:p>
                        <w:pPr>
                          <w:pStyle w:val="null3"/>
                          <w:jc w:val="right"/>
                        </w:pPr>
                        <w:r>
                          <w:rPr>
                            <w:sz w:val="20"/>
                          </w:rPr>
                          <w:t>日期：</w:t>
                        </w:r>
                        <w:r>
                          <w:rPr>
                            <w:sz w:val="20"/>
                          </w:rPr>
                          <w:t>年</w:t>
                        </w:r>
                        <w:r>
                          <w:rPr>
                            <w:sz w:val="20"/>
                          </w:rPr>
                          <w:t>月</w:t>
                        </w:r>
                        <w:r>
                          <w:rPr>
                            <w:sz w:val="20"/>
                          </w:rPr>
                          <w:t>日</w:t>
                        </w:r>
                      </w:p>
                    </w:tc>
                  </w:tr>
                </w:tbl>
                <w:p>
                  <w:pPr>
                    <w:pStyle w:val="null3"/>
                  </w:pPr>
                  <w:r>
                    <w:rPr>
                      <w:sz w:val="19"/>
                    </w:rPr>
                    <w:t>投标人须对上述提供的《投标报价一览表》中的内容逐一填写，《投标报价一览表》为投标文件不可缺少的格式，且将上述的单次用车费用作为价格计算的依据，未在投标文件中提供将视为无效投标。</w:t>
                  </w:r>
                </w:p>
              </w:tc>
            </w:tr>
          </w:tbl>
          <w:p/>
        </w:tc>
      </w:tr>
      <w:tr>
        <w:tc>
          <w:tcPr>
            <w:tcW w:type="dxa" w:w="2076"/>
          </w:tcPr>
          <w:p>
            <w:pPr>
              <w:pStyle w:val="null3"/>
            </w:pPr>
            <w:r>
              <w:rPr/>
              <w:t>★</w:t>
            </w:r>
          </w:p>
        </w:tc>
        <w:tc>
          <w:tcPr>
            <w:tcW w:type="dxa" w:w="415"/>
          </w:tcPr>
          <w:p>
            <w:pPr>
              <w:pStyle w:val="null3"/>
            </w:pPr>
            <w:r>
              <w:rPr/>
              <w:t>35</w:t>
            </w:r>
          </w:p>
        </w:tc>
        <w:tc>
          <w:tcPr>
            <w:tcW w:type="dxa" w:w="5814"/>
          </w:tcPr>
          <w:p>
            <w:pPr>
              <w:pStyle w:val="null3"/>
            </w:pPr>
            <w:r>
              <w:rPr/>
              <w:t>3.采购文件“第六章 投标文件格式与要求”中“格式二：开标一览表”中及投标客户端中“投标报价”应填写为本项目的预算金额5,168,640.00元，未按要求填写将视为无效投标。</w:t>
            </w:r>
          </w:p>
        </w:tc>
      </w:tr>
      <w:tr>
        <w:tc>
          <w:tcPr>
            <w:tcW w:type="dxa" w:w="2076"/>
          </w:tcPr>
          <w:p/>
        </w:tc>
        <w:tc>
          <w:tcPr>
            <w:tcW w:type="dxa" w:w="415"/>
          </w:tcPr>
          <w:p>
            <w:pPr>
              <w:pStyle w:val="null3"/>
            </w:pPr>
            <w:r>
              <w:rPr/>
              <w:t>36</w:t>
            </w:r>
          </w:p>
        </w:tc>
        <w:tc>
          <w:tcPr>
            <w:tcW w:type="dxa" w:w="5814"/>
          </w:tcPr>
          <w:p>
            <w:pPr>
              <w:pStyle w:val="null3"/>
            </w:pPr>
            <w:r>
              <w:rPr/>
              <w:t>4.投标人须充分预见本项目在合同执行期内所遇到的一切风险，投标报价将作为结算的依据，服务期内中标人不得以任何理由提出调整中标价。（投标人投标时提供承诺函并加盖公章）</w:t>
            </w:r>
          </w:p>
        </w:tc>
      </w:tr>
      <w:tr>
        <w:tc>
          <w:tcPr>
            <w:tcW w:type="dxa" w:w="2076"/>
          </w:tcPr>
          <w:p/>
        </w:tc>
        <w:tc>
          <w:tcPr>
            <w:tcW w:type="dxa" w:w="415"/>
          </w:tcPr>
          <w:p>
            <w:pPr>
              <w:pStyle w:val="null3"/>
            </w:pPr>
            <w:r>
              <w:rPr/>
              <w:t>37</w:t>
            </w:r>
          </w:p>
        </w:tc>
        <w:tc>
          <w:tcPr>
            <w:tcW w:type="dxa" w:w="5814"/>
          </w:tcPr>
          <w:p>
            <w:pPr>
              <w:pStyle w:val="null3"/>
            </w:pPr>
            <w:r>
              <w:rPr/>
              <w:t>5.价格计算 本项目投标报价得分＝（评标基准价/单次用车费用的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2076"/>
          </w:tcPr>
          <w:p/>
        </w:tc>
        <w:tc>
          <w:tcPr>
            <w:tcW w:type="dxa" w:w="415"/>
          </w:tcPr>
          <w:p>
            <w:pPr>
              <w:pStyle w:val="null3"/>
            </w:pPr>
            <w:r>
              <w:rPr/>
              <w:t>38</w:t>
            </w:r>
          </w:p>
        </w:tc>
        <w:tc>
          <w:tcPr>
            <w:tcW w:type="dxa" w:w="5814"/>
          </w:tcPr>
          <w:p>
            <w:pPr>
              <w:pStyle w:val="null3"/>
            </w:pPr>
            <w:r>
              <w:rPr/>
              <w:t>（五）租赁务期间按采购人规定的行车时间和路线执行。若采购人有临时增加或者减少用车需要，每次用车费用按每次每台车的租赁价格以中标报价（单价）为准。</w:t>
            </w:r>
          </w:p>
        </w:tc>
      </w:tr>
      <w:tr>
        <w:tc>
          <w:tcPr>
            <w:tcW w:type="dxa" w:w="2076"/>
          </w:tcPr>
          <w:p/>
        </w:tc>
        <w:tc>
          <w:tcPr>
            <w:tcW w:type="dxa" w:w="415"/>
          </w:tcPr>
          <w:p>
            <w:pPr>
              <w:pStyle w:val="null3"/>
            </w:pPr>
            <w:r>
              <w:rPr/>
              <w:t>39</w:t>
            </w:r>
          </w:p>
        </w:tc>
        <w:tc>
          <w:tcPr>
            <w:tcW w:type="dxa" w:w="5814"/>
          </w:tcPr>
          <w:p>
            <w:pPr>
              <w:pStyle w:val="null3"/>
            </w:pPr>
            <w:r>
              <w:rPr/>
              <w:t>（六）服务质量验收要求 供应商应向采购人提交以下资料： 1.每学期按时提交工作总结。</w:t>
            </w:r>
          </w:p>
        </w:tc>
      </w:tr>
      <w:tr>
        <w:tc>
          <w:tcPr>
            <w:tcW w:type="dxa" w:w="2076"/>
          </w:tcPr>
          <w:p/>
        </w:tc>
        <w:tc>
          <w:tcPr>
            <w:tcW w:type="dxa" w:w="415"/>
          </w:tcPr>
          <w:p>
            <w:pPr>
              <w:pStyle w:val="null3"/>
            </w:pPr>
            <w:r>
              <w:rPr/>
              <w:t>40</w:t>
            </w:r>
          </w:p>
        </w:tc>
        <w:tc>
          <w:tcPr>
            <w:tcW w:type="dxa" w:w="5814"/>
          </w:tcPr>
          <w:p>
            <w:pPr>
              <w:pStyle w:val="null3"/>
            </w:pPr>
            <w:r>
              <w:rPr/>
              <w:t>2.其他相关材料，包括但不限于供应商管理服务情况（包括但不限于派出司机的基本信息情况、服务车辆基本状况、派出司机安全教育记录）、车辆维修保养记录、出车情况记录台账、车辆清洁记录台账及应急处置情况记录台账等。</w:t>
            </w:r>
          </w:p>
        </w:tc>
      </w:tr>
      <w:tr>
        <w:tc>
          <w:tcPr>
            <w:tcW w:type="dxa" w:w="2076"/>
          </w:tcPr>
          <w:p/>
        </w:tc>
        <w:tc>
          <w:tcPr>
            <w:tcW w:type="dxa" w:w="415"/>
          </w:tcPr>
          <w:p>
            <w:pPr>
              <w:pStyle w:val="null3"/>
            </w:pPr>
            <w:r>
              <w:rPr/>
              <w:t>41</w:t>
            </w:r>
          </w:p>
        </w:tc>
        <w:tc>
          <w:tcPr>
            <w:tcW w:type="dxa" w:w="5814"/>
          </w:tcPr>
          <w:p>
            <w:pPr>
              <w:pStyle w:val="null3"/>
            </w:pPr>
            <w:r>
              <w:rPr/>
              <w:t>（七）退出机制 1.供应商提供的交通车服务误点误时、未及时保养导致车辆故障、负主责交通事故等情形视为供应商未能提供交通租赁服务情形，因供应商过错未能提供交通租赁服务的，视为违约一次，该趟车次费用相应扣除，造成采购人损失的，供应商要承担赔偿责任；当月违约情形累计不得超过3次，当月超过3次的，采购人有权单方面终止合同，造成损失的，供应商还应承担赔偿责任。</w:t>
            </w:r>
          </w:p>
        </w:tc>
      </w:tr>
      <w:tr>
        <w:tc>
          <w:tcPr>
            <w:tcW w:type="dxa" w:w="2076"/>
          </w:tcPr>
          <w:p/>
        </w:tc>
        <w:tc>
          <w:tcPr>
            <w:tcW w:type="dxa" w:w="415"/>
          </w:tcPr>
          <w:p>
            <w:pPr>
              <w:pStyle w:val="null3"/>
            </w:pPr>
            <w:r>
              <w:rPr/>
              <w:t>42</w:t>
            </w:r>
          </w:p>
        </w:tc>
        <w:tc>
          <w:tcPr>
            <w:tcW w:type="dxa" w:w="5814"/>
          </w:tcPr>
          <w:p>
            <w:pPr>
              <w:pStyle w:val="null3"/>
            </w:pPr>
            <w:r>
              <w:rPr/>
              <w:t>2.在服务过程中，如供应商实际提供服务的车辆并非投标时承诺的车辆，或将其应履行合同义务进行部分或全部转让的，采购人有权终止合同，并追究供应商的违约责任。</w:t>
            </w:r>
          </w:p>
        </w:tc>
      </w:tr>
      <w:tr>
        <w:tc>
          <w:tcPr>
            <w:tcW w:type="dxa" w:w="2076"/>
          </w:tcPr>
          <w:p/>
        </w:tc>
        <w:tc>
          <w:tcPr>
            <w:tcW w:type="dxa" w:w="415"/>
          </w:tcPr>
          <w:p>
            <w:pPr>
              <w:pStyle w:val="null3"/>
            </w:pPr>
            <w:r>
              <w:rPr/>
              <w:t>43</w:t>
            </w:r>
          </w:p>
        </w:tc>
        <w:tc>
          <w:tcPr>
            <w:tcW w:type="dxa" w:w="5814"/>
          </w:tcPr>
          <w:p>
            <w:pPr>
              <w:pStyle w:val="null3"/>
            </w:pPr>
            <w:r>
              <w:rPr/>
              <w:t>3.采购人可以根据实际对中标供应商开展服务情况满意度调查。如合同期间接到教职工乘车三次以上有效投诉，且要求整改后仍不改正的，采购人有权终止合同。</w:t>
            </w:r>
          </w:p>
        </w:tc>
      </w:tr>
      <w:tr>
        <w:tc>
          <w:tcPr>
            <w:tcW w:type="dxa" w:w="2076"/>
          </w:tcPr>
          <w:p/>
        </w:tc>
        <w:tc>
          <w:tcPr>
            <w:tcW w:type="dxa" w:w="415"/>
          </w:tcPr>
          <w:p>
            <w:pPr>
              <w:pStyle w:val="null3"/>
            </w:pPr>
            <w:r>
              <w:rPr/>
              <w:t>44</w:t>
            </w:r>
          </w:p>
        </w:tc>
        <w:tc>
          <w:tcPr>
            <w:tcW w:type="dxa" w:w="5814"/>
          </w:tcPr>
          <w:p>
            <w:pPr>
              <w:pStyle w:val="null3"/>
              <w:jc w:val="left"/>
            </w:pPr>
            <w:r>
              <w:rPr>
                <w:sz w:val="20"/>
              </w:rPr>
              <w:t>附件</w:t>
            </w:r>
            <w:r>
              <w:rPr>
                <w:sz w:val="20"/>
              </w:rPr>
              <w:t>1：</w:t>
            </w:r>
            <w:r>
              <w:rPr>
                <w:sz w:val="21"/>
              </w:rPr>
              <w:t xml:space="preserve"> </w:t>
            </w:r>
          </w:p>
          <w:p>
            <w:pPr>
              <w:pStyle w:val="null3"/>
              <w:jc w:val="center"/>
            </w:pPr>
            <w:r>
              <w:rPr>
                <w:sz w:val="20"/>
              </w:rPr>
              <w:t>广州校区</w:t>
            </w:r>
            <w:r>
              <w:rPr>
                <w:sz w:val="20"/>
              </w:rPr>
              <w:t>石牌校园往返大学城校园交通车</w:t>
            </w:r>
            <w:r>
              <w:rPr>
                <w:sz w:val="20"/>
              </w:rPr>
              <w:t>行车时间及路线趟次表</w:t>
            </w:r>
          </w:p>
          <w:tbl>
            <w:tblPr>
              <w:tblInd w:type="dxa" w:w="120"/>
              <w:tblBorders>
                <w:top w:val="none" w:color="000000" w:sz="4"/>
                <w:left w:val="none" w:color="000000" w:sz="4"/>
                <w:bottom w:val="none" w:color="000000" w:sz="4"/>
                <w:right w:val="none" w:color="000000" w:sz="4"/>
                <w:insideH w:val="none"/>
                <w:insideV w:val="none"/>
              </w:tblBorders>
            </w:tblPr>
            <w:tblGrid>
              <w:gridCol w:w="579"/>
              <w:gridCol w:w="761"/>
              <w:gridCol w:w="653"/>
              <w:gridCol w:w="1190"/>
              <w:gridCol w:w="1738"/>
              <w:gridCol w:w="674"/>
            </w:tblGrid>
            <w:tr>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星期</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往返</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发车时间</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发车地点</w:t>
                  </w:r>
                </w:p>
              </w:tc>
              <w:tc>
                <w:tcPr>
                  <w:tcW w:type="dxa" w:w="1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停靠地点</w:t>
                  </w:r>
                </w:p>
              </w:tc>
              <w:tc>
                <w:tcPr>
                  <w:tcW w:type="dxa" w:w="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5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星期一</w:t>
                  </w:r>
                </w:p>
                <w:p>
                  <w:pPr>
                    <w:pStyle w:val="null3"/>
                    <w:jc w:val="center"/>
                  </w:pPr>
                  <w:r>
                    <w:rPr>
                      <w:sz w:val="20"/>
                      <w:color w:val="000000"/>
                    </w:rPr>
                    <w:t>至</w:t>
                  </w:r>
                </w:p>
                <w:p>
                  <w:pPr>
                    <w:pStyle w:val="null3"/>
                    <w:jc w:val="center"/>
                  </w:pPr>
                  <w:r>
                    <w:rPr>
                      <w:sz w:val="20"/>
                      <w:color w:val="000000"/>
                    </w:rPr>
                    <w:t>星期五</w:t>
                  </w:r>
                </w:p>
              </w:tc>
              <w:tc>
                <w:tcPr>
                  <w:tcW w:type="dxa" w:w="7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往大学城校园</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教工俱乐部门口</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艺体楼站、正门站、教学楼站、行政楼站、生活区站</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9:35</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13:15</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14:55</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生活区站</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教学楼站、生活区站</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18:15</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艺体楼站、正门站、教学楼站、行政楼站、生活区站</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教工俱乐部门口、正门</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生活区站</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返石牌校园</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生活区站</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正门、计算机学院门口、教工俱乐部门口</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生活区站、行政楼站、教学楼站、正门站、艺体楼站</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生活区站、行政楼站、教学楼站、正门站、艺体楼站</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正门、计算机学院门口、教工俱乐部门口</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正门、教工俱乐部门口</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星期六日及国家法定节假日</w:t>
                  </w:r>
                </w:p>
              </w:tc>
              <w:tc>
                <w:tcPr>
                  <w:tcW w:type="dxa" w:w="76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往大学城校园</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8:00</w:t>
                  </w:r>
                </w:p>
              </w:tc>
              <w:tc>
                <w:tcPr>
                  <w:tcW w:type="dxa" w:w="11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教工俱乐部门口</w:t>
                  </w:r>
                </w:p>
              </w:tc>
              <w:tc>
                <w:tcPr>
                  <w:tcW w:type="dxa" w:w="1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艺体楼站、正门站、教学楼站、行政楼站、生活区站</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13:50</w:t>
                  </w:r>
                </w:p>
              </w:tc>
              <w:tc>
                <w:tcPr>
                  <w:tcW w:type="dxa" w:w="1190"/>
                  <w:vMerge/>
                  <w:tcBorders>
                    <w:top w:val="none" w:color="000000" w:sz="4"/>
                    <w:left w:val="none" w:color="000000" w:sz="4"/>
                    <w:bottom w:val="single" w:color="000000" w:sz="4"/>
                    <w:right w:val="single" w:color="000000" w:sz="4"/>
                  </w:tcBorders>
                </w:tcPr>
                <w:p/>
              </w:tc>
              <w:tc>
                <w:tcPr>
                  <w:tcW w:type="dxa" w:w="1738"/>
                  <w:vMerge/>
                  <w:tcBorders>
                    <w:top w:val="none" w:color="000000" w:sz="4"/>
                    <w:left w:val="non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color w:val="000000"/>
                    </w:rPr>
                    <w:t>返石牌校园</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12:10</w:t>
                  </w:r>
                </w:p>
              </w:tc>
              <w:tc>
                <w:tcPr>
                  <w:tcW w:type="dxa" w:w="11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生活区站、行政楼站、教学楼站、正门站、艺体楼站</w:t>
                  </w:r>
                </w:p>
              </w:tc>
              <w:tc>
                <w:tcPr>
                  <w:tcW w:type="dxa" w:w="17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正门、教工俱乐部门口</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single" w:color="000000" w:sz="4"/>
                    <w:right w:val="single" w:color="000000" w:sz="4"/>
                  </w:tcBorders>
                </w:tcPr>
                <w:p/>
              </w:tc>
              <w:tc>
                <w:tcPr>
                  <w:tcW w:type="dxa" w:w="761"/>
                  <w:vMerge/>
                  <w:tcBorders>
                    <w:top w:val="none" w:color="000000" w:sz="4"/>
                    <w:left w:val="none" w:color="000000" w:sz="4"/>
                    <w:bottom w:val="singl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17:10</w:t>
                  </w:r>
                </w:p>
              </w:tc>
              <w:tc>
                <w:tcPr>
                  <w:tcW w:type="dxa" w:w="1190"/>
                  <w:vMerge/>
                  <w:tcBorders>
                    <w:top w:val="none" w:color="000000" w:sz="4"/>
                    <w:left w:val="none" w:color="000000" w:sz="4"/>
                    <w:bottom w:val="single" w:color="000000" w:sz="4"/>
                    <w:right w:val="single" w:color="000000" w:sz="4"/>
                  </w:tcBorders>
                </w:tcPr>
                <w:p/>
              </w:tc>
              <w:tc>
                <w:tcPr>
                  <w:tcW w:type="dxa" w:w="1738"/>
                  <w:vMerge/>
                  <w:tcBorders>
                    <w:top w:val="none" w:color="000000" w:sz="4"/>
                    <w:left w:val="none" w:color="000000" w:sz="4"/>
                    <w:bottom w:val="single" w:color="000000" w:sz="4"/>
                    <w:right w:val="single" w:color="000000" w:sz="4"/>
                  </w:tcBorders>
                </w:tcP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sz w:val="20"/>
                      <w:color w:val="000000"/>
                    </w:rPr>
                    <w:t>寒暑假（周六日除外）</w:t>
                  </w:r>
                </w:p>
              </w:tc>
              <w:tc>
                <w:tcPr>
                  <w:tcW w:type="dxa" w:w="761"/>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both"/>
                  </w:pPr>
                  <w:r>
                    <w:rPr>
                      <w:sz w:val="20"/>
                      <w:color w:val="000000"/>
                    </w:rPr>
                    <w:t>往大学城校园</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教工俱乐部门口</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艺体楼站、正门站、教学楼站、</w:t>
                  </w:r>
                </w:p>
                <w:p>
                  <w:pPr>
                    <w:pStyle w:val="null3"/>
                    <w:jc w:val="center"/>
                  </w:pPr>
                  <w:r>
                    <w:rPr>
                      <w:sz w:val="20"/>
                      <w:color w:val="000000"/>
                    </w:rPr>
                    <w:t>行政楼站、生活区站</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none" w:color="000000" w:sz="4"/>
                    <w:right w:val="single" w:color="000000" w:sz="4"/>
                  </w:tcBorders>
                </w:tcPr>
                <w:p/>
              </w:tc>
              <w:tc>
                <w:tcPr>
                  <w:tcW w:type="dxa" w:w="761"/>
                  <w:vMerge/>
                  <w:tcBorders>
                    <w:top w:val="none" w:color="000000" w:sz="4"/>
                    <w:left w:val="none" w:color="000000" w:sz="4"/>
                    <w:bottom w:val="non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none" w:color="000000" w:sz="4"/>
                    <w:right w:val="single" w:color="000000" w:sz="4"/>
                  </w:tcBorders>
                </w:tcPr>
                <w:p/>
              </w:tc>
              <w:tc>
                <w:tcPr>
                  <w:tcW w:type="dxa" w:w="761"/>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both"/>
                  </w:pPr>
                  <w:r>
                    <w:rPr>
                      <w:sz w:val="20"/>
                      <w:color w:val="000000"/>
                    </w:rPr>
                    <w:t>返石牌校园</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生活区站、行政楼站、教学楼站、正门站、艺体楼站</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正门、教工俱乐部门口</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r>
              <w:tc>
                <w:tcPr>
                  <w:tcW w:type="dxa" w:w="579"/>
                  <w:vMerge/>
                  <w:tcBorders>
                    <w:top w:val="none" w:color="000000" w:sz="4"/>
                    <w:left w:val="single" w:color="000000" w:sz="4"/>
                    <w:bottom w:val="none" w:color="000000" w:sz="4"/>
                    <w:right w:val="single" w:color="000000" w:sz="4"/>
                  </w:tcBorders>
                </w:tcPr>
                <w:p/>
              </w:tc>
              <w:tc>
                <w:tcPr>
                  <w:tcW w:type="dxa" w:w="761"/>
                  <w:vMerge/>
                  <w:tcBorders>
                    <w:top w:val="none" w:color="000000" w:sz="4"/>
                    <w:left w:val="none" w:color="000000" w:sz="4"/>
                    <w:bottom w:val="none" w:color="000000" w:sz="4"/>
                    <w:right w:val="single" w:color="000000" w:sz="4"/>
                  </w:tcBorders>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17:10</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1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同上</w:t>
                  </w:r>
                </w:p>
              </w:tc>
              <w:tc>
                <w:tcPr>
                  <w:tcW w:type="dxa" w:w="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1台车</w:t>
                  </w:r>
                </w:p>
              </w:tc>
            </w:tr>
          </w:tbl>
          <w:p>
            <w:pPr>
              <w:pStyle w:val="null3"/>
              <w:jc w:val="both"/>
            </w:pPr>
            <w:r>
              <w:rPr>
                <w:sz w:val="20"/>
              </w:rPr>
              <w:t>备注：</w:t>
            </w:r>
            <w:r>
              <w:rPr>
                <w:sz w:val="20"/>
              </w:rPr>
              <w:t>对</w:t>
            </w:r>
            <w:r>
              <w:rPr>
                <w:sz w:val="20"/>
              </w:rPr>
              <w:t>车次</w:t>
            </w:r>
            <w:r>
              <w:rPr>
                <w:sz w:val="20"/>
              </w:rPr>
              <w:t>的界定，送师生从采购人的</w:t>
            </w:r>
            <w:r>
              <w:rPr>
                <w:sz w:val="20"/>
              </w:rPr>
              <w:t>石牌校园</w:t>
            </w:r>
            <w:r>
              <w:rPr>
                <w:sz w:val="20"/>
              </w:rPr>
              <w:t>到</w:t>
            </w:r>
            <w:r>
              <w:rPr>
                <w:sz w:val="20"/>
              </w:rPr>
              <w:t>大学城校园</w:t>
            </w:r>
            <w:r>
              <w:rPr>
                <w:sz w:val="20"/>
              </w:rPr>
              <w:t>为</w:t>
            </w:r>
            <w:r>
              <w:rPr>
                <w:sz w:val="20"/>
              </w:rPr>
              <w:t>1趟次，从</w:t>
            </w:r>
            <w:r>
              <w:rPr>
                <w:sz w:val="20"/>
              </w:rPr>
              <w:t>大学城校园</w:t>
            </w:r>
            <w:r>
              <w:rPr>
                <w:sz w:val="20"/>
              </w:rPr>
              <w:t>接师生到</w:t>
            </w:r>
            <w:r>
              <w:rPr>
                <w:sz w:val="20"/>
              </w:rPr>
              <w:t>石牌校园</w:t>
            </w:r>
            <w:r>
              <w:rPr>
                <w:sz w:val="20"/>
              </w:rPr>
              <w:t>也为</w:t>
            </w:r>
            <w:r>
              <w:rPr>
                <w:sz w:val="20"/>
              </w:rPr>
              <w:t>1趟次，如因接送需要形成的空车往返不计算次数。</w:t>
            </w:r>
          </w:p>
        </w:tc>
      </w:tr>
      <w:tr>
        <w:tc>
          <w:tcPr>
            <w:tcW w:type="dxa" w:w="2076"/>
          </w:tcPr>
          <w:p/>
        </w:tc>
        <w:tc>
          <w:tcPr>
            <w:tcW w:type="dxa" w:w="415"/>
          </w:tcPr>
          <w:p>
            <w:pPr>
              <w:pStyle w:val="null3"/>
            </w:pPr>
            <w:r>
              <w:rPr/>
              <w:t>45</w:t>
            </w:r>
          </w:p>
        </w:tc>
        <w:tc>
          <w:tcPr>
            <w:tcW w:type="dxa" w:w="5814"/>
          </w:tcPr>
          <w:p>
            <w:pPr>
              <w:pStyle w:val="null3"/>
              <w:ind w:firstLine="200"/>
              <w:jc w:val="both"/>
            </w:pPr>
            <w:r>
              <w:rPr>
                <w:sz w:val="20"/>
              </w:rPr>
              <w:t>附件</w:t>
            </w:r>
            <w:r>
              <w:rPr>
                <w:sz w:val="20"/>
              </w:rPr>
              <w:t>2：</w:t>
            </w:r>
          </w:p>
          <w:p>
            <w:pPr>
              <w:pStyle w:val="null3"/>
              <w:ind w:firstLine="200"/>
              <w:jc w:val="center"/>
            </w:pPr>
            <w:r>
              <w:rPr>
                <w:sz w:val="20"/>
              </w:rPr>
              <w:t>交通车租赁服务考核办法</w:t>
            </w:r>
          </w:p>
          <w:p>
            <w:pPr>
              <w:pStyle w:val="null3"/>
              <w:ind w:firstLine="400"/>
              <w:jc w:val="both"/>
            </w:pPr>
            <w:r>
              <w:rPr>
                <w:sz w:val="20"/>
              </w:rPr>
              <w:t>为加强对中标人的监管，客观考核</w:t>
            </w:r>
            <w:r>
              <w:rPr>
                <w:sz w:val="20"/>
              </w:rPr>
              <w:t>中标人</w:t>
            </w:r>
            <w:r>
              <w:rPr>
                <w:sz w:val="20"/>
              </w:rPr>
              <w:t>服务工作，促进石牌校园</w:t>
            </w:r>
            <w:r>
              <w:rPr>
                <w:sz w:val="20"/>
              </w:rPr>
              <w:t>往返大学城校园交通车</w:t>
            </w:r>
            <w:r>
              <w:rPr>
                <w:sz w:val="20"/>
              </w:rPr>
              <w:t>整体服务质量的提高，</w:t>
            </w:r>
            <w:r>
              <w:rPr>
                <w:sz w:val="20"/>
              </w:rPr>
              <w:t>确保行车安全稳定、准时准点，</w:t>
            </w:r>
            <w:r>
              <w:rPr>
                <w:sz w:val="20"/>
              </w:rPr>
              <w:t>特制订本办法。学校有权根据实际情况，对考核办法进行适当调整，并书面通知中标人执行。</w:t>
            </w:r>
          </w:p>
          <w:p>
            <w:pPr>
              <w:pStyle w:val="null3"/>
              <w:ind w:firstLine="400"/>
              <w:jc w:val="both"/>
            </w:pPr>
            <w:r>
              <w:rPr>
                <w:sz w:val="20"/>
              </w:rPr>
              <w:t>一、考核的指导思想</w:t>
            </w:r>
          </w:p>
          <w:p>
            <w:pPr>
              <w:pStyle w:val="null3"/>
              <w:ind w:firstLine="400"/>
              <w:jc w:val="both"/>
            </w:pPr>
            <w:r>
              <w:rPr>
                <w:sz w:val="20"/>
              </w:rPr>
              <w:t>坚持为教学、科研、师生员工生活服务的方针和管理育人、服务育人、环境育人的宗旨，为</w:t>
            </w:r>
            <w:r>
              <w:rPr>
                <w:sz w:val="20"/>
              </w:rPr>
              <w:t>校区教学科研</w:t>
            </w:r>
            <w:r>
              <w:rPr>
                <w:sz w:val="20"/>
              </w:rPr>
              <w:t>的发展提供高效、优质的交通车辆保障服务。</w:t>
            </w:r>
          </w:p>
          <w:p>
            <w:pPr>
              <w:pStyle w:val="null3"/>
              <w:ind w:firstLine="400"/>
              <w:jc w:val="both"/>
            </w:pPr>
            <w:r>
              <w:rPr>
                <w:sz w:val="20"/>
              </w:rPr>
              <w:t>二、考核的目的</w:t>
            </w:r>
          </w:p>
          <w:p>
            <w:pPr>
              <w:pStyle w:val="null3"/>
              <w:ind w:firstLine="400"/>
              <w:jc w:val="both"/>
            </w:pPr>
            <w:r>
              <w:rPr>
                <w:sz w:val="20"/>
              </w:rPr>
              <w:t>提高服务质量，改善服务态度，营造文明向上、环境舒适、服务到位、管理有序的校园交通车辆服务。</w:t>
            </w:r>
          </w:p>
          <w:p>
            <w:pPr>
              <w:pStyle w:val="null3"/>
              <w:ind w:firstLine="400"/>
              <w:jc w:val="both"/>
            </w:pPr>
            <w:r>
              <w:rPr>
                <w:sz w:val="20"/>
              </w:rPr>
              <w:t xml:space="preserve"> </w:t>
            </w:r>
            <w:r>
              <w:rPr>
                <w:sz w:val="20"/>
              </w:rPr>
              <w:t>三、考核的原则</w:t>
            </w:r>
          </w:p>
          <w:p>
            <w:pPr>
              <w:pStyle w:val="null3"/>
              <w:ind w:firstLine="200"/>
              <w:jc w:val="both"/>
            </w:pPr>
            <w:r>
              <w:rPr>
                <w:sz w:val="20"/>
              </w:rPr>
              <w:t xml:space="preserve">  </w:t>
            </w:r>
            <w:r>
              <w:rPr>
                <w:sz w:val="20"/>
              </w:rPr>
              <w:t>（一）从实际出发，客观公正，实事求是的原则；</w:t>
            </w:r>
          </w:p>
          <w:p>
            <w:pPr>
              <w:pStyle w:val="null3"/>
              <w:ind w:firstLine="400"/>
              <w:jc w:val="both"/>
            </w:pPr>
            <w:r>
              <w:rPr>
                <w:sz w:val="20"/>
              </w:rPr>
              <w:t>（二）内控与外检相结合，平时巡查与定期考核相结合，专业量化考核与师生监督相结合的原则。</w:t>
            </w:r>
          </w:p>
          <w:p>
            <w:pPr>
              <w:pStyle w:val="null3"/>
              <w:ind w:firstLine="600"/>
              <w:jc w:val="both"/>
            </w:pPr>
            <w:r>
              <w:rPr>
                <w:sz w:val="20"/>
              </w:rPr>
              <w:t>四、考核的组织与实施</w:t>
            </w:r>
            <w:r>
              <w:rPr>
                <w:sz w:val="20"/>
              </w:rPr>
              <w:t xml:space="preserve">     </w:t>
            </w:r>
          </w:p>
          <w:p>
            <w:pPr>
              <w:pStyle w:val="null3"/>
              <w:ind w:firstLine="400"/>
              <w:jc w:val="both"/>
            </w:pPr>
            <w:r>
              <w:rPr>
                <w:sz w:val="20"/>
              </w:rPr>
              <w:t>（一）日常巡查：采购人对中标人所负责的服务工作进行巡检，并做好巡查记录，作为每月日常巡查评分的依据。</w:t>
            </w:r>
          </w:p>
          <w:p>
            <w:pPr>
              <w:pStyle w:val="null3"/>
              <w:ind w:firstLine="400"/>
              <w:jc w:val="both"/>
            </w:pPr>
            <w:r>
              <w:rPr>
                <w:sz w:val="20"/>
              </w:rPr>
              <w:t>（二）月度考核：对中标人服务质量考核采取月度考核一次的形式，月度评估结果与租赁服务费挂钩。</w:t>
            </w:r>
          </w:p>
          <w:p>
            <w:pPr>
              <w:pStyle w:val="null3"/>
              <w:ind w:firstLine="400"/>
              <w:jc w:val="both"/>
            </w:pPr>
            <w:r>
              <w:rPr>
                <w:sz w:val="20"/>
              </w:rPr>
              <w:t>（三）年度考核：对中标人服务质量进行年终考核，若每年考核的年终汇总分值为</w:t>
            </w:r>
            <w:r>
              <w:rPr>
                <w:sz w:val="20"/>
              </w:rPr>
              <w:t>“差”等级，采购人随时有权解除租赁服务合同。</w:t>
            </w:r>
          </w:p>
          <w:p>
            <w:pPr>
              <w:pStyle w:val="null3"/>
              <w:ind w:firstLine="600"/>
              <w:jc w:val="both"/>
            </w:pPr>
            <w:r>
              <w:rPr>
                <w:sz w:val="20"/>
              </w:rPr>
              <w:t>五、月度考核方案</w:t>
            </w:r>
          </w:p>
          <w:p>
            <w:pPr>
              <w:pStyle w:val="null3"/>
              <w:ind w:left="555" w:firstLine="210"/>
              <w:jc w:val="both"/>
            </w:pPr>
            <w:r>
              <w:rPr>
                <w:sz w:val="20"/>
              </w:rPr>
              <w:t>（一）考核方式</w:t>
            </w:r>
          </w:p>
          <w:p>
            <w:pPr>
              <w:pStyle w:val="null3"/>
              <w:ind w:firstLine="400"/>
              <w:jc w:val="both"/>
            </w:pPr>
            <w:r>
              <w:rPr>
                <w:sz w:val="20"/>
              </w:rPr>
              <w:t>考评依据双方签订的服务合同及相关考评细则，由采购人相关职能部门通过查阅资料、现场查看、中标人日常工作表现等方式，对照考核标准，每月一次进行考评。</w:t>
            </w:r>
          </w:p>
          <w:p>
            <w:pPr>
              <w:pStyle w:val="null3"/>
              <w:ind w:left="555" w:firstLine="210"/>
              <w:jc w:val="both"/>
            </w:pPr>
            <w:r>
              <w:rPr>
                <w:sz w:val="20"/>
              </w:rPr>
              <w:t>（二）考核时间</w:t>
            </w:r>
          </w:p>
          <w:p>
            <w:pPr>
              <w:pStyle w:val="null3"/>
              <w:ind w:firstLine="400"/>
              <w:jc w:val="both"/>
            </w:pPr>
            <w:r>
              <w:rPr>
                <w:sz w:val="20"/>
              </w:rPr>
              <w:t>每月</w:t>
            </w:r>
            <w:r>
              <w:rPr>
                <w:sz w:val="20"/>
              </w:rPr>
              <w:t>5日—10日之间任选1天，遇节假日顺延。</w:t>
            </w:r>
          </w:p>
          <w:p>
            <w:pPr>
              <w:pStyle w:val="null3"/>
              <w:ind w:firstLine="400"/>
              <w:jc w:val="both"/>
            </w:pPr>
            <w:r>
              <w:rPr>
                <w:sz w:val="20"/>
              </w:rPr>
              <w:t>（三）问题整改阶段</w:t>
            </w:r>
          </w:p>
          <w:p>
            <w:pPr>
              <w:pStyle w:val="null3"/>
              <w:ind w:firstLine="400"/>
              <w:jc w:val="both"/>
            </w:pPr>
            <w:r>
              <w:rPr>
                <w:sz w:val="20"/>
              </w:rPr>
              <w:t>根据评分细则表汇总的有关中标人服务存在问题，由中标人按采购人下发的《整改通知书》提出整改计划并限期进行整改。</w:t>
            </w:r>
          </w:p>
          <w:p>
            <w:pPr>
              <w:pStyle w:val="null3"/>
              <w:ind w:firstLine="400"/>
              <w:jc w:val="both"/>
            </w:pPr>
            <w:r>
              <w:rPr>
                <w:sz w:val="20"/>
              </w:rPr>
              <w:t>（四）考核等级</w:t>
            </w:r>
          </w:p>
          <w:p>
            <w:pPr>
              <w:pStyle w:val="null3"/>
              <w:ind w:firstLine="400"/>
              <w:jc w:val="both"/>
            </w:pPr>
            <w:r>
              <w:rPr>
                <w:sz w:val="20"/>
              </w:rPr>
              <w:t>1.优秀：考核评估分值≥90分。</w:t>
            </w:r>
          </w:p>
          <w:p>
            <w:pPr>
              <w:pStyle w:val="null3"/>
              <w:ind w:firstLine="400"/>
              <w:jc w:val="both"/>
            </w:pPr>
            <w:r>
              <w:rPr>
                <w:sz w:val="20"/>
              </w:rPr>
              <w:t>2.良好：考核评估分值≥80分。</w:t>
            </w:r>
          </w:p>
          <w:p>
            <w:pPr>
              <w:pStyle w:val="null3"/>
              <w:ind w:firstLine="400"/>
              <w:jc w:val="both"/>
            </w:pPr>
            <w:r>
              <w:rPr>
                <w:sz w:val="20"/>
              </w:rPr>
              <w:t>3.差：考核评估分值＜80分。</w:t>
            </w:r>
          </w:p>
          <w:p>
            <w:pPr>
              <w:pStyle w:val="null3"/>
              <w:ind w:firstLine="400"/>
              <w:jc w:val="both"/>
            </w:pPr>
            <w:r>
              <w:rPr>
                <w:sz w:val="20"/>
              </w:rPr>
              <w:t>（五）奖罚措施</w:t>
            </w:r>
          </w:p>
          <w:p>
            <w:pPr>
              <w:pStyle w:val="null3"/>
              <w:ind w:firstLine="400"/>
              <w:jc w:val="both"/>
            </w:pPr>
            <w:r>
              <w:rPr>
                <w:sz w:val="20"/>
              </w:rPr>
              <w:t>1.合同执行期间，供应商必须提供</w:t>
            </w:r>
            <w:r>
              <w:rPr>
                <w:sz w:val="20"/>
              </w:rPr>
              <w:t>符合国家规定的安全环保、年审、营运要求，车辆性能状况良好的车辆</w:t>
            </w:r>
            <w:r>
              <w:rPr>
                <w:sz w:val="20"/>
              </w:rPr>
              <w:t>，</w:t>
            </w:r>
            <w:r>
              <w:rPr>
                <w:sz w:val="20"/>
              </w:rPr>
              <w:t>严禁车辆带故障上路，</w:t>
            </w:r>
            <w:r>
              <w:rPr>
                <w:sz w:val="20"/>
              </w:rPr>
              <w:t>若供应商违反合同约定，每发现一次车辆带故障上路，采购人有权扣除该趟次租车费用。若因车辆故障造成采购人损失的，还应赔偿采购人相应损失。</w:t>
            </w:r>
          </w:p>
          <w:p>
            <w:pPr>
              <w:pStyle w:val="null3"/>
              <w:ind w:firstLine="400"/>
              <w:jc w:val="both"/>
            </w:pPr>
            <w:r>
              <w:rPr>
                <w:sz w:val="20"/>
              </w:rPr>
              <w:t>2.</w:t>
            </w:r>
            <w:r>
              <w:rPr>
                <w:sz w:val="20"/>
              </w:rPr>
              <w:t>供应商须严格遵守学校规定的时间、地点、路线行驶，并提供良好的服务，</w:t>
            </w:r>
            <w:r>
              <w:rPr>
                <w:sz w:val="20"/>
              </w:rPr>
              <w:t>每发现一次未按照采购人规定的时间、地点、路线行驶造成采购人损失的，采购人有权扣除该趟次租车费用，并赔偿采购人相应损失。</w:t>
            </w:r>
          </w:p>
          <w:p>
            <w:pPr>
              <w:pStyle w:val="null3"/>
              <w:ind w:firstLine="400"/>
              <w:jc w:val="both"/>
            </w:pPr>
            <w:r>
              <w:rPr>
                <w:sz w:val="20"/>
              </w:rPr>
              <w:t>3.</w:t>
            </w:r>
            <w:r>
              <w:rPr>
                <w:sz w:val="20"/>
              </w:rPr>
              <w:t>供应商</w:t>
            </w:r>
            <w:r>
              <w:rPr>
                <w:sz w:val="20"/>
              </w:rPr>
              <w:t>行车载客必须遵守交通规则，严禁超速、酒驾、疲劳驾驶、争道抢行等行为，如造成交通事故或乘客损伤，由供应商先行垫付相关费用。采购人有权扣除该趟次租车费用，并向供应商索赔，由</w:t>
            </w:r>
            <w:r>
              <w:rPr>
                <w:sz w:val="20"/>
              </w:rPr>
              <w:t>供应商</w:t>
            </w:r>
            <w:r>
              <w:rPr>
                <w:sz w:val="20"/>
              </w:rPr>
              <w:t>承担所有责任。</w:t>
            </w:r>
          </w:p>
          <w:p>
            <w:pPr>
              <w:pStyle w:val="null3"/>
              <w:ind w:firstLine="400"/>
              <w:jc w:val="both"/>
            </w:pPr>
            <w:r>
              <w:rPr>
                <w:sz w:val="20"/>
              </w:rPr>
              <w:t>4.</w:t>
            </w:r>
            <w:r>
              <w:rPr>
                <w:sz w:val="20"/>
              </w:rPr>
              <w:t>若当月考核结果为</w:t>
            </w:r>
            <w:r>
              <w:rPr>
                <w:sz w:val="20"/>
              </w:rPr>
              <w:t>“差”等级，采购人将提出警告并下发《整改通知书》要求限期整改，并扣除当月租赁服务费的5%作为</w:t>
            </w:r>
            <w:r>
              <w:rPr>
                <w:sz w:val="20"/>
              </w:rPr>
              <w:t>违约金</w:t>
            </w:r>
            <w:r>
              <w:rPr>
                <w:sz w:val="20"/>
              </w:rPr>
              <w:t>；一年内</w:t>
            </w:r>
            <w:r>
              <w:rPr>
                <w:sz w:val="20"/>
              </w:rPr>
              <w:t>累计</w:t>
            </w:r>
            <w:r>
              <w:rPr>
                <w:sz w:val="20"/>
              </w:rPr>
              <w:t>三个月出现考核结果为</w:t>
            </w:r>
            <w:r>
              <w:rPr>
                <w:sz w:val="20"/>
              </w:rPr>
              <w:t>“差”等级，则采购人可</w:t>
            </w:r>
            <w:r>
              <w:rPr>
                <w:sz w:val="20"/>
              </w:rPr>
              <w:t>终止合同并没收履约保证金。</w:t>
            </w:r>
          </w:p>
          <w:p>
            <w:pPr>
              <w:pStyle w:val="null3"/>
              <w:numPr>
                <w:ilvl w:val="0"/>
                <w:numId w:val="1"/>
              </w:numPr>
              <w:jc w:val="both"/>
            </w:pPr>
            <w:r>
              <w:rPr>
                <w:sz w:val="20"/>
              </w:rPr>
              <w:t>年度考核方案</w:t>
            </w:r>
          </w:p>
          <w:p>
            <w:pPr>
              <w:pStyle w:val="null3"/>
              <w:ind w:firstLine="400"/>
              <w:jc w:val="both"/>
            </w:pPr>
            <w:r>
              <w:rPr>
                <w:sz w:val="20"/>
              </w:rPr>
              <w:t>每合同年度提前三个月对考核的分数进行年度汇总，包括以下四个部分：</w:t>
            </w:r>
          </w:p>
          <w:p>
            <w:pPr>
              <w:pStyle w:val="null3"/>
              <w:ind w:firstLine="200"/>
              <w:jc w:val="both"/>
            </w:pPr>
            <w:r>
              <w:rPr>
                <w:sz w:val="20"/>
              </w:rPr>
              <w:t>（一）日常巡查情况的考评：由采购人根据日常巡查情况，对中标人进行日常巡查结果的考核评分，结果占年度考核的</w:t>
            </w:r>
            <w:r>
              <w:rPr>
                <w:sz w:val="20"/>
              </w:rPr>
              <w:t>30%。</w:t>
            </w:r>
          </w:p>
          <w:p>
            <w:pPr>
              <w:pStyle w:val="null3"/>
              <w:ind w:firstLine="200"/>
              <w:jc w:val="both"/>
            </w:pPr>
            <w:r>
              <w:rPr>
                <w:sz w:val="20"/>
              </w:rPr>
              <w:t>（二）每月考核的情况：根据每个月考核的结果取平均分值，占年度考核的</w:t>
            </w:r>
            <w:r>
              <w:rPr>
                <w:sz w:val="20"/>
              </w:rPr>
              <w:t>40%。</w:t>
            </w:r>
          </w:p>
          <w:p>
            <w:pPr>
              <w:pStyle w:val="null3"/>
              <w:ind w:firstLine="200"/>
              <w:jc w:val="both"/>
            </w:pPr>
            <w:r>
              <w:rPr>
                <w:sz w:val="20"/>
              </w:rPr>
              <w:t>（三）教职工满意度问卷调查：每学期开展一次满意度调查，面向乘坐校车的教职工，每次发放问卷不少于</w:t>
            </w:r>
            <w:r>
              <w:rPr>
                <w:sz w:val="20"/>
              </w:rPr>
              <w:t>100人次，根据回收问卷的结果</w:t>
            </w:r>
            <w:r>
              <w:rPr>
                <w:sz w:val="20"/>
              </w:rPr>
              <w:t>按相应办法计算出分数取平均值，</w:t>
            </w:r>
            <w:r>
              <w:rPr>
                <w:sz w:val="20"/>
              </w:rPr>
              <w:t>问卷调查的结果占年度考核的</w:t>
            </w:r>
            <w:r>
              <w:rPr>
                <w:sz w:val="20"/>
              </w:rPr>
              <w:t>30%。</w:t>
            </w:r>
          </w:p>
          <w:p>
            <w:pPr>
              <w:pStyle w:val="null3"/>
              <w:ind w:firstLine="200"/>
              <w:jc w:val="both"/>
            </w:pPr>
            <w:r>
              <w:rPr>
                <w:sz w:val="20"/>
              </w:rPr>
              <w:t>（四）考核年终汇总：年终考核汇总的成绩作为是否让中标人继续下一年度服务的重要依据，若每年考核的年终汇总分值为</w:t>
            </w:r>
            <w:r>
              <w:rPr>
                <w:sz w:val="20"/>
              </w:rPr>
              <w:t>“差”等级，采购人随时有权终止合同。</w:t>
            </w:r>
          </w:p>
          <w:p>
            <w:pPr>
              <w:pStyle w:val="null3"/>
              <w:ind w:firstLine="600"/>
              <w:jc w:val="both"/>
            </w:pPr>
            <w:r>
              <w:rPr>
                <w:sz w:val="20"/>
              </w:rPr>
              <w:t>七、</w:t>
            </w:r>
            <w:r>
              <w:rPr>
                <w:sz w:val="20"/>
              </w:rPr>
              <w:t>考核评分细则表</w:t>
            </w:r>
          </w:p>
          <w:tbl>
            <w:tblPr>
              <w:tblBorders>
                <w:top w:val="none" w:color="000000" w:sz="4"/>
                <w:left w:val="none" w:color="000000" w:sz="4"/>
                <w:bottom w:val="none" w:color="000000" w:sz="4"/>
                <w:right w:val="none" w:color="000000" w:sz="4"/>
                <w:insideH w:val="none"/>
                <w:insideV w:val="none"/>
              </w:tblBorders>
            </w:tblPr>
            <w:tblGrid>
              <w:gridCol w:w="830"/>
              <w:gridCol w:w="1998"/>
              <w:gridCol w:w="535"/>
              <w:gridCol w:w="1622"/>
              <w:gridCol w:w="613"/>
            </w:tblGrid>
            <w:tr>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考核项目</w:t>
                  </w:r>
                </w:p>
              </w:tc>
              <w:tc>
                <w:tcPr>
                  <w:tcW w:type="dxa" w:w="1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考核指标</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分值</w:t>
                  </w:r>
                </w:p>
              </w:tc>
              <w:tc>
                <w:tcPr>
                  <w:tcW w:type="dxa" w:w="1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评分方式</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得分</w:t>
                  </w:r>
                </w:p>
              </w:tc>
            </w:tr>
            <w:tr>
              <w:tc>
                <w:tcPr>
                  <w:tcW w:type="dxa" w:w="8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维护保养</w:t>
                  </w:r>
                </w:p>
                <w:p>
                  <w:pPr>
                    <w:pStyle w:val="null3"/>
                    <w:jc w:val="both"/>
                  </w:pPr>
                  <w:r>
                    <w:rPr>
                      <w:sz w:val="20"/>
                    </w:rPr>
                    <w:t>（</w:t>
                  </w:r>
                  <w:r>
                    <w:rPr>
                      <w:sz w:val="20"/>
                    </w:rPr>
                    <w:t>15分）</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定期做好车辆常规保养</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未符合要求该项得分为</w:t>
                  </w:r>
                  <w:r>
                    <w:rPr>
                      <w:sz w:val="20"/>
                    </w:rPr>
                    <w:t>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tcBorders>
                    <w:top w:val="none" w:color="000000" w:sz="4"/>
                    <w:left w:val="single" w:color="000000" w:sz="4"/>
                    <w:bottom w:val="single" w:color="000000" w:sz="4"/>
                    <w:right w:val="single" w:color="000000" w:sz="4"/>
                  </w:tcBorders>
                </w:tcP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确保车辆空调、通风设施、安全锤、灭火器等设备齐全有效，车辆性能状况良好</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未符合要求该项得分为</w:t>
                  </w:r>
                  <w:r>
                    <w:rPr>
                      <w:sz w:val="20"/>
                    </w:rPr>
                    <w:t>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tcBorders>
                    <w:top w:val="none" w:color="000000" w:sz="4"/>
                    <w:left w:val="single" w:color="000000" w:sz="4"/>
                    <w:bottom w:val="single" w:color="000000" w:sz="4"/>
                    <w:right w:val="single" w:color="000000" w:sz="4"/>
                  </w:tcBorders>
                </w:tcP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保证服务车辆车内卫生整洁、无异味，外表明净</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每发现一次不达标倒扣</w:t>
                  </w:r>
                  <w:r>
                    <w:rPr>
                      <w:sz w:val="20"/>
                    </w:rPr>
                    <w:t>1分</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安全行车</w:t>
                  </w:r>
                </w:p>
                <w:p>
                  <w:pPr>
                    <w:pStyle w:val="null3"/>
                    <w:jc w:val="both"/>
                  </w:pPr>
                  <w:r>
                    <w:rPr>
                      <w:sz w:val="20"/>
                    </w:rPr>
                    <w:t>（</w:t>
                  </w:r>
                  <w:r>
                    <w:rPr>
                      <w:sz w:val="20"/>
                    </w:rPr>
                    <w:t>30分）</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按要求将车辆和司机信息资料报备采购人，未经采购人同意不得随意更换车辆和司机</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未符合要求该项倒扣</w:t>
                  </w:r>
                  <w:r>
                    <w:rPr>
                      <w:sz w:val="20"/>
                    </w:rPr>
                    <w:t>5分</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tcBorders>
                    <w:top w:val="none" w:color="000000" w:sz="4"/>
                    <w:left w:val="single" w:color="000000" w:sz="4"/>
                    <w:bottom w:val="single" w:color="000000" w:sz="4"/>
                    <w:right w:val="single" w:color="000000" w:sz="4"/>
                  </w:tcBorders>
                </w:tcP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服务司机遵守交通规则，严禁超速、酒驾、疲劳驾驶、争道抢行等行为</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10</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未符合要求该项倒扣</w:t>
                  </w:r>
                  <w:r>
                    <w:rPr>
                      <w:sz w:val="20"/>
                    </w:rPr>
                    <w:t>10分；由此造成损失的，扣除该趟次车费，并赔偿相应损失。</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tcBorders>
                    <w:top w:val="none" w:color="000000" w:sz="4"/>
                    <w:left w:val="single" w:color="000000" w:sz="4"/>
                    <w:bottom w:val="single" w:color="000000" w:sz="4"/>
                    <w:right w:val="single" w:color="000000" w:sz="4"/>
                  </w:tcBorders>
                </w:tcP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严禁车辆带故障上路，确保行车安全</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10</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未符合要求该项倒扣</w:t>
                  </w:r>
                  <w:r>
                    <w:rPr>
                      <w:sz w:val="20"/>
                    </w:rPr>
                    <w:t>10分；由此造成损失的，扣除该趟次车费，并赔偿相应损失。</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tcBorders>
                    <w:top w:val="none" w:color="000000" w:sz="4"/>
                    <w:left w:val="single" w:color="000000" w:sz="4"/>
                    <w:bottom w:val="single" w:color="000000" w:sz="4"/>
                    <w:right w:val="single" w:color="000000" w:sz="4"/>
                  </w:tcBorders>
                </w:tcP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车辆停放时，做好关闭电路，拉紧手制动器等安全措施</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未符合要求该项得</w:t>
                  </w:r>
                  <w:r>
                    <w:rPr>
                      <w:sz w:val="20"/>
                    </w:rPr>
                    <w:t>0分</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工作要求</w:t>
                  </w:r>
                </w:p>
                <w:p>
                  <w:pPr>
                    <w:pStyle w:val="null3"/>
                    <w:jc w:val="both"/>
                  </w:pPr>
                  <w:r>
                    <w:rPr>
                      <w:sz w:val="20"/>
                    </w:rPr>
                    <w:t>（</w:t>
                  </w:r>
                  <w:r>
                    <w:rPr>
                      <w:sz w:val="20"/>
                    </w:rPr>
                    <w:t>35分）</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严格遵守采购人规定的时间、地点、路线行驶，并提供良好的服务</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15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未符合要求该项倒</w:t>
                  </w:r>
                  <w:r>
                    <w:rPr>
                      <w:sz w:val="20"/>
                    </w:rPr>
                    <w:t>15分，由此造成损失的，扣除该趟次车费，并赔偿相应损失。</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tcBorders>
                    <w:top w:val="none" w:color="000000" w:sz="4"/>
                    <w:left w:val="single" w:color="000000" w:sz="4"/>
                    <w:bottom w:val="single" w:color="000000" w:sz="4"/>
                    <w:right w:val="single" w:color="000000" w:sz="4"/>
                  </w:tcBorders>
                </w:tcP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车辆按要求到达起点站，若因故未能及时到达起点站，应立即做好应对措施</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未符合要求该项倒扣</w:t>
                  </w:r>
                  <w:r>
                    <w:rPr>
                      <w:sz w:val="20"/>
                    </w:rPr>
                    <w:t>5分，由此造成损失的，扣除该趟次车费，并赔偿相应损失。</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tcBorders>
                    <w:top w:val="none" w:color="000000" w:sz="4"/>
                    <w:left w:val="single" w:color="000000" w:sz="4"/>
                    <w:bottom w:val="single" w:color="000000" w:sz="4"/>
                    <w:right w:val="single" w:color="000000" w:sz="4"/>
                  </w:tcBorders>
                </w:tcP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至少在规定发车时间前</w:t>
                  </w:r>
                  <w:r>
                    <w:rPr>
                      <w:sz w:val="20"/>
                    </w:rPr>
                    <w:t>15分钟到发车位置，打开空调或通风设施</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未符合要求该项得分为</w:t>
                  </w:r>
                  <w:r>
                    <w:rPr>
                      <w:sz w:val="20"/>
                    </w:rPr>
                    <w:t>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tcBorders>
                    <w:top w:val="none" w:color="000000" w:sz="4"/>
                    <w:left w:val="single" w:color="000000" w:sz="4"/>
                    <w:bottom w:val="single" w:color="000000" w:sz="4"/>
                    <w:right w:val="single" w:color="000000" w:sz="4"/>
                  </w:tcBorders>
                </w:tcP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如车辆途中故障排除需要超过</w:t>
                  </w:r>
                  <w:r>
                    <w:rPr>
                      <w:sz w:val="20"/>
                    </w:rPr>
                    <w:t>20分钟的，应马上采用其他交通工具送乘客到达目的地</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未符合要求该项得分为</w:t>
                  </w:r>
                  <w:r>
                    <w:rPr>
                      <w:sz w:val="20"/>
                    </w:rPr>
                    <w:t>0，由此造成损失的，则赔偿相应损失</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tcBorders>
                    <w:top w:val="none" w:color="000000" w:sz="4"/>
                    <w:left w:val="single" w:color="000000" w:sz="4"/>
                    <w:bottom w:val="single" w:color="000000" w:sz="4"/>
                    <w:right w:val="single" w:color="000000" w:sz="4"/>
                  </w:tcBorders>
                </w:tcP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配合采购人做好检查、临时用车安排、安置乘车收费刷卡机、检查乘车卡等各项任务</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未符合要求该项得分为</w:t>
                  </w:r>
                  <w:r>
                    <w:rPr>
                      <w:sz w:val="20"/>
                    </w:rPr>
                    <w:t>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服务质量</w:t>
                  </w:r>
                </w:p>
                <w:p>
                  <w:pPr>
                    <w:pStyle w:val="null3"/>
                    <w:ind w:firstLine="200"/>
                    <w:jc w:val="both"/>
                  </w:pPr>
                  <w:r>
                    <w:rPr>
                      <w:sz w:val="20"/>
                    </w:rPr>
                    <w:t>（</w:t>
                  </w:r>
                  <w:r>
                    <w:rPr>
                      <w:sz w:val="20"/>
                    </w:rPr>
                    <w:t>20分）</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完成合同规定的各项要求</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10</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未符合要求该项得分为</w:t>
                  </w:r>
                  <w:r>
                    <w:rPr>
                      <w:sz w:val="20"/>
                    </w:rPr>
                    <w:t>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tcBorders>
                    <w:top w:val="none" w:color="000000" w:sz="4"/>
                    <w:left w:val="single" w:color="000000" w:sz="4"/>
                    <w:bottom w:val="single" w:color="000000" w:sz="4"/>
                    <w:right w:val="single" w:color="000000" w:sz="4"/>
                  </w:tcBorders>
                </w:tcP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文明驾驶，礼貌待客，服务周到</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未符合要求该项得分为</w:t>
                  </w:r>
                  <w:r>
                    <w:rPr>
                      <w:sz w:val="20"/>
                    </w:rPr>
                    <w:t>0</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vMerge/>
                  <w:tcBorders>
                    <w:top w:val="none" w:color="000000" w:sz="4"/>
                    <w:left w:val="single" w:color="000000" w:sz="4"/>
                    <w:bottom w:val="single" w:color="000000" w:sz="4"/>
                    <w:right w:val="single" w:color="000000" w:sz="4"/>
                  </w:tcBorders>
                </w:tcP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提高服务质量，减少投诉率</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每发生一次有效投诉扣</w:t>
                  </w:r>
                  <w:r>
                    <w:rPr>
                      <w:sz w:val="20"/>
                    </w:rPr>
                    <w:t>1分</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合计</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100</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华南师范大学广州校区石牌校园往返大学城校园交通车租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采购包1（华南师范大学广州校区石牌校园往返大学城校园交通车租赁服务）：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采购包1（华南师范大学广州校区石牌校园往返大学城校园交通车租赁服务）：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投标人具有道路运输管理部门核发有效的《道路运输经营许可证》（提供证书复印件并加盖投标人公章）。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采购包1（华南师范大学广州校区石牌校园往返大学城校园交通车租赁服务）：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投标文件完全满足对招标文件的实质性条款（即标注★号条款）以及标的提供的时间、标的提供的地点、付款方式、验收要求、履约保证金无负偏离的；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采购包1(华南师范大学广州校区石牌校园往返大学城校园交通车租赁服务):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重要技术条款响应程度 (3.0分)</w:t>
            </w:r>
          </w:p>
        </w:tc>
        <w:tc>
          <w:tcPr>
            <w:tcW w:type="dxa" w:w="5076"/>
          </w:tcPr>
          <w:p>
            <w:pPr>
              <w:pStyle w:val="null3"/>
              <w:jc w:val="left"/>
            </w:pPr>
            <w:r>
              <w:rPr/>
              <w:t>根据投标人对《第二章 采购需求》中“技术标准与要求”的附表中“具体技术（参数）要求”中重要技术条款（带“▲”技术条款）的响应程度（共1条）进行评审：完全满足或优于招标参数的，得3分，不满足或负偏离的不得分。 注：技术条款要求中有要求提供证明材料的，须提供符合要求的证明材料，否则视为负偏离。技术条款要求中未要求提供证明材料的，以投标人《技术和服务要求响应表》的响应情况为评审依据。</w:t>
            </w:r>
          </w:p>
        </w:tc>
      </w:tr>
      <w:tr>
        <w:tc>
          <w:tcPr>
            <w:tcW w:type="dxa" w:w="922"/>
            <w:gridSpan w:val="2"/>
            <w:vMerge/>
          </w:tcPr>
          <w:p/>
        </w:tc>
        <w:tc>
          <w:tcPr>
            <w:tcW w:type="dxa" w:w="2307"/>
          </w:tcPr>
          <w:p>
            <w:pPr>
              <w:pStyle w:val="null3"/>
              <w:jc w:val="left"/>
            </w:pPr>
            <w:r>
              <w:rPr/>
              <w:t>一般技术条款响应程度 (19.0分)</w:t>
            </w:r>
          </w:p>
        </w:tc>
        <w:tc>
          <w:tcPr>
            <w:tcW w:type="dxa" w:w="5076"/>
          </w:tcPr>
          <w:p>
            <w:pPr>
              <w:pStyle w:val="null3"/>
              <w:jc w:val="left"/>
            </w:pPr>
            <w:r>
              <w:rPr/>
              <w:t>根据投标人对《第二章 采购需求》中“技术标准与要求”的附表中 “具体技术（参数）要求”的响应情况进行评审，除“★”“▲”号指标外，所有参数均完全满足或优于招标参数得19分（注：“技术标准与要求”附表中“序号”列中凡是标有序号且为最末级编号的技术参数要求均以一项单独的条款计算）：一般技术条款（除带“★”、“▲”技术条款外）的响应程度（共38条）： 每有一项优于或完全满足采购需求的，得0.5分，最多得19分。不满足或负偏离的不得分。 注：技术条款要求中有要求提供证明材料的，须提供符合要求的证明材料，否则视为负偏离。技术条款要求中未要求提供证明材料的，以投标人《技术和服务要求响应表》的响应情况为评审依据。</w:t>
            </w:r>
          </w:p>
        </w:tc>
      </w:tr>
      <w:tr>
        <w:tc>
          <w:tcPr>
            <w:tcW w:type="dxa" w:w="922"/>
            <w:gridSpan w:val="2"/>
            <w:vMerge/>
          </w:tcPr>
          <w:p/>
        </w:tc>
        <w:tc>
          <w:tcPr>
            <w:tcW w:type="dxa" w:w="2307"/>
          </w:tcPr>
          <w:p>
            <w:pPr>
              <w:pStyle w:val="null3"/>
              <w:jc w:val="left"/>
            </w:pPr>
            <w:r>
              <w:rPr/>
              <w:t>服务方案、运作流程 (13.0分)</w:t>
            </w:r>
            <w:r>
              <w:rPr/>
              <w:t>）</w:t>
            </w:r>
          </w:p>
        </w:tc>
        <w:tc>
          <w:tcPr>
            <w:tcW w:type="dxa" w:w="5076"/>
          </w:tcPr>
          <w:p>
            <w:pPr>
              <w:pStyle w:val="null3"/>
              <w:jc w:val="left"/>
            </w:pPr>
            <w:r>
              <w:rPr/>
              <w:t>投标人提供服务总体方案及运作流程（内容包括不限于①具体实施方案②运作流程③车辆日常管理方案等）进行评审： （1）完全满足且优于采购需求的，得13.0分。 （2）完全满足采购需求的，得8.0分。 （3）不完全满足采购需求的，得3.0分。 （4）不提供的，得0分。</w:t>
            </w:r>
          </w:p>
        </w:tc>
      </w:tr>
      <w:tr>
        <w:tc>
          <w:tcPr>
            <w:tcW w:type="dxa" w:w="922"/>
            <w:gridSpan w:val="2"/>
            <w:vMerge/>
          </w:tcPr>
          <w:p/>
        </w:tc>
        <w:tc>
          <w:tcPr>
            <w:tcW w:type="dxa" w:w="2307"/>
          </w:tcPr>
          <w:p>
            <w:pPr>
              <w:pStyle w:val="null3"/>
              <w:jc w:val="left"/>
            </w:pPr>
            <w:r>
              <w:rPr/>
              <w:t>车辆配置 (5.0分)</w:t>
            </w:r>
            <w:r>
              <w:rPr/>
              <w:t>）</w:t>
            </w:r>
          </w:p>
        </w:tc>
        <w:tc>
          <w:tcPr>
            <w:tcW w:type="dxa" w:w="5076"/>
          </w:tcPr>
          <w:p>
            <w:pPr>
              <w:pStyle w:val="null3"/>
              <w:jc w:val="left"/>
            </w:pPr>
            <w:r>
              <w:rPr/>
              <w:t>根据投标人拟投入服务的所有大巴车配置、技术说明等进行评审（提供车辆品牌介绍、车辆性能技术说明、车辆配置及车辆内外照片等）： （1）完全满足且优于采购需求的，得5.0分。 （2）完全满足采购需求的，得3.0分。 （3）不完全满足采购需求的，得1.0分。 （4）不提供或提供少于6台车或车辆座位少于50座的，得0分。</w:t>
            </w:r>
          </w:p>
        </w:tc>
      </w:tr>
      <w:tr>
        <w:tc>
          <w:tcPr>
            <w:tcW w:type="dxa" w:w="922"/>
            <w:gridSpan w:val="2"/>
            <w:vMerge/>
          </w:tcPr>
          <w:p/>
        </w:tc>
        <w:tc>
          <w:tcPr>
            <w:tcW w:type="dxa" w:w="2307"/>
          </w:tcPr>
          <w:p>
            <w:pPr>
              <w:pStyle w:val="null3"/>
              <w:jc w:val="left"/>
            </w:pPr>
            <w:r>
              <w:rPr/>
              <w:t>车辆及驾驶人各项安全信息化设施情况 (5.0分)</w:t>
            </w:r>
          </w:p>
        </w:tc>
        <w:tc>
          <w:tcPr>
            <w:tcW w:type="dxa" w:w="5076"/>
          </w:tcPr>
          <w:p>
            <w:pPr>
              <w:pStyle w:val="null3"/>
              <w:jc w:val="left"/>
            </w:pPr>
            <w:r>
              <w:rPr/>
              <w:t>根据投标人提供的车辆及驾驶人各项安全信息化设施情况进行评审：1.拟投入每辆车各项安全信息化设备齐全：装有车载GPS、安全带提醒装置、车载对讲麦、驾驶员状态监管系统、视频监控等设备，上述设备提供齐全得5分，每缺少一项扣1分，最低扣至0分止。【 注：提供拟投入车辆上述设施设备的照片及上述设施设备的购买合同和上述设备的购买发票（或购买记录）。不提供或提供不齐不得分。】</w:t>
            </w:r>
          </w:p>
        </w:tc>
      </w:tr>
      <w:tr>
        <w:tc>
          <w:tcPr>
            <w:tcW w:type="dxa" w:w="922"/>
            <w:gridSpan w:val="2"/>
            <w:vMerge/>
          </w:tcPr>
          <w:p/>
        </w:tc>
        <w:tc>
          <w:tcPr>
            <w:tcW w:type="dxa" w:w="2307"/>
          </w:tcPr>
          <w:p>
            <w:pPr>
              <w:pStyle w:val="null3"/>
              <w:jc w:val="left"/>
            </w:pPr>
            <w:r>
              <w:rPr/>
              <w:t>车辆保障 (10.0分)</w:t>
            </w:r>
          </w:p>
        </w:tc>
        <w:tc>
          <w:tcPr>
            <w:tcW w:type="dxa" w:w="5076"/>
          </w:tcPr>
          <w:p>
            <w:pPr>
              <w:pStyle w:val="null3"/>
              <w:jc w:val="left"/>
            </w:pPr>
            <w:r>
              <w:rPr/>
              <w:t>投标人拟投入符合本项目要求的大巴车不少于6辆，在6辆的基础上每承诺增加1辆符合本项目要求的备用大巴车得2分，满分10分。 注：提供车辆所有人为投标人名称的机动车行驶证、车辆内外照片、行驶里程（照片或说明函）等相关证明材料，否则不得分。</w:t>
            </w:r>
          </w:p>
        </w:tc>
      </w:tr>
      <w:tr>
        <w:tc>
          <w:tcPr>
            <w:tcW w:type="dxa" w:w="922"/>
            <w:gridSpan w:val="2"/>
            <w:vMerge/>
          </w:tcPr>
          <w:p/>
        </w:tc>
        <w:tc>
          <w:tcPr>
            <w:tcW w:type="dxa" w:w="2307"/>
          </w:tcPr>
          <w:p>
            <w:pPr>
              <w:pStyle w:val="null3"/>
              <w:jc w:val="left"/>
            </w:pPr>
            <w:r>
              <w:rPr/>
              <w:t>突发事件处理预案 (5.0分)</w:t>
            </w:r>
            <w:r>
              <w:rPr/>
              <w:t>）</w:t>
            </w:r>
          </w:p>
        </w:tc>
        <w:tc>
          <w:tcPr>
            <w:tcW w:type="dxa" w:w="5076"/>
          </w:tcPr>
          <w:p>
            <w:pPr>
              <w:pStyle w:val="null3"/>
              <w:jc w:val="left"/>
            </w:pPr>
            <w:r>
              <w:rPr/>
              <w:t>投标人能够响应按车辆租赁要求，做好突发事件应急预案并有具体计划的提供突发事件处理预案（内容包括不限于①组织指挥体系；②应急响应及应急保障（包括人员及车牌应急安排）；③突发情况应对措施等）进行评审： （1）完全满足且优于采购需求的，得5.0分。 （2）完全满足采购需求的，得3.0分。 （3）不完全满足采购需求的，得1.0分。 （4）不提供的，得0分。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2023年1月1日至今（以合同签订时间为准）的同类项目（客运交通车租赁服务等）业绩，每提供一个得2分，满分10分（提供合同关键页复印件加盖公章，关键页包括合同首页、合同金额、签字盖章页。同一个用户单位只计算一次，不得重复计算。不提供或关键字迹模糊的不得分。）</w:t>
            </w:r>
          </w:p>
        </w:tc>
      </w:tr>
      <w:tr>
        <w:tc>
          <w:tcPr>
            <w:tcW w:type="dxa" w:w="922"/>
            <w:gridSpan w:val="2"/>
            <w:vMerge/>
          </w:tcPr>
          <w:p/>
        </w:tc>
        <w:tc>
          <w:tcPr>
            <w:tcW w:type="dxa" w:w="2307"/>
          </w:tcPr>
          <w:p>
            <w:pPr>
              <w:pStyle w:val="null3"/>
              <w:jc w:val="left"/>
            </w:pPr>
            <w:r>
              <w:rPr/>
              <w:t>项目评价 (10.0分)</w:t>
            </w:r>
          </w:p>
        </w:tc>
        <w:tc>
          <w:tcPr>
            <w:tcW w:type="dxa" w:w="5076"/>
          </w:tcPr>
          <w:p>
            <w:pPr>
              <w:pStyle w:val="null3"/>
              <w:jc w:val="left"/>
            </w:pPr>
            <w:r>
              <w:rPr/>
              <w:t>投标人上述有效同类项目服务评价，每提供一个优秀（或评分90分及以上或满意等同类描述）评价得2分，满分10分（提供用户方盖章出具的评价证明材料复印件，否则不得分）</w:t>
            </w:r>
          </w:p>
        </w:tc>
      </w:tr>
      <w:tr>
        <w:tc>
          <w:tcPr>
            <w:tcW w:type="dxa" w:w="922"/>
            <w:gridSpan w:val="2"/>
            <w:vMerge/>
          </w:tcPr>
          <w:p/>
        </w:tc>
        <w:tc>
          <w:tcPr>
            <w:tcW w:type="dxa" w:w="2307"/>
          </w:tcPr>
          <w:p>
            <w:pPr>
              <w:pStyle w:val="null3"/>
              <w:jc w:val="left"/>
            </w:pPr>
            <w:r>
              <w:rPr/>
              <w:t>车龄情况 (6.0分)</w:t>
            </w:r>
          </w:p>
        </w:tc>
        <w:tc>
          <w:tcPr>
            <w:tcW w:type="dxa" w:w="5076"/>
          </w:tcPr>
          <w:p>
            <w:pPr>
              <w:pStyle w:val="null3"/>
              <w:jc w:val="left"/>
            </w:pPr>
            <w:r>
              <w:rPr/>
              <w:t>根据投标人拟投入本项目的大巴车的车龄情况进行评审： 1.提供车辆铭牌制造年月为2025年1月1日之后，每辆得1分； 2.提供车辆铭牌制造年月为2024年1月1日之后，每辆得0.7分； 3.提供车辆铭牌制造年月为2023年1月1日之后，每辆得0.5分； 4.其他情况不得分，本项最高得6分。 注：上述内容仅计算6台车得分，以最高组合计取。提供车辆行驶证复印件并加盖公章，使用年限以投标人行驶证注册日期为准。</w:t>
            </w:r>
          </w:p>
        </w:tc>
      </w:tr>
      <w:tr>
        <w:tc>
          <w:tcPr>
            <w:tcW w:type="dxa" w:w="922"/>
            <w:gridSpan w:val="2"/>
            <w:vMerge/>
          </w:tcPr>
          <w:p/>
        </w:tc>
        <w:tc>
          <w:tcPr>
            <w:tcW w:type="dxa" w:w="2307"/>
          </w:tcPr>
          <w:p>
            <w:pPr>
              <w:pStyle w:val="null3"/>
              <w:jc w:val="left"/>
            </w:pPr>
            <w:r>
              <w:rPr/>
              <w:t>投标人车辆定点维修情况 (4.0分)</w:t>
            </w:r>
          </w:p>
        </w:tc>
        <w:tc>
          <w:tcPr>
            <w:tcW w:type="dxa" w:w="5076"/>
          </w:tcPr>
          <w:p>
            <w:pPr>
              <w:pStyle w:val="null3"/>
              <w:jc w:val="left"/>
            </w:pPr>
            <w:r>
              <w:rPr/>
              <w:t>投标人拥有自有车辆维修地点或具有合作的定点车辆维修地点的，得4分；不提供不得分。 备注：属于自有的车辆维修地点的须提供维修点权属证明或租赁证明（租赁有效期必须覆盖本采购包的服务期，如不能覆盖的，投标人还应提交承诺函 (格式自拟)，承诺到期后将租赁，可有效覆盖本采购包合同履行期限）；属于合作定点车辆维修地点的须提供双方合作协议扫描件及该维修点权属证明（或租赁证明）扫描件，租赁有效期必须覆盖本采购包的服务期，如不能覆盖的，投标人还应提交承诺函 (格式自拟)，承诺到期后将租赁，可有效覆盖本采购包合同履行期限。</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单次用车费用的投标报价 (10.0分)</w:t>
            </w:r>
          </w:p>
        </w:tc>
        <w:tc>
          <w:tcPr>
            <w:tcW w:type="dxa" w:w="5076"/>
          </w:tcPr>
          <w:p>
            <w:pPr>
              <w:pStyle w:val="null3"/>
              <w:jc w:val="left"/>
            </w:pPr>
            <w:r>
              <w:rPr/>
              <w:t>投标报价得分＝（评标基准价/单次用车费用的投标报价）×价格分值（注：满足招标文件要求且投标价格最低的投标报价为评标基准价。）最低报价不是中标的唯一依据。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440001-2026-12585</w:t>
      </w:r>
    </w:p>
    <w:p>
      <w:pPr>
        <w:pStyle w:val="null3"/>
        <w:jc w:val="center"/>
        <w:outlineLvl w:val="3"/>
      </w:pPr>
      <w:r>
        <w:rPr>
          <w:sz w:val="24"/>
          <w:b/>
        </w:rPr>
        <w:t>采购项目编号：</w:t>
      </w:r>
      <w:r>
        <w:rPr>
          <w:sz w:val="24"/>
          <w:b/>
        </w:rPr>
        <w:t>0877-26GZTP4ZC0289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华南师范大学广州校区石牌校园往返大学城校园交通车租赁服务</w:t>
      </w:r>
      <w:r>
        <w:rPr>
          <w:u w:val="single"/>
        </w:rPr>
        <w:t>”</w:t>
      </w:r>
      <w:r>
        <w:rPr/>
        <w:t>项目的招标[采购项目编号为：</w:t>
      </w:r>
      <w:r>
        <w:rPr>
          <w:u w:val="single"/>
        </w:rPr>
        <w:t>0877-26GZTP4ZC0289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华南师范大学广州校区石牌校园往返大学城校园交通车租赁服务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华南师范大学广州校区石牌校园往返大学城校园交通车租赁服务</w:t>
      </w:r>
      <w:r>
        <w:rPr/>
        <w:t>”项目采购[采购项目编号为</w:t>
      </w:r>
      <w:r>
        <w:rPr/>
        <w:t>0877-26GZTP4ZC0289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华南师范大学广州校区石牌校园往返大学城校园交通车租赁服务</w:t>
      </w:r>
      <w:r>
        <w:rPr/>
        <w:t>招标中获中标（采购项目编号：</w:t>
      </w:r>
      <w:r>
        <w:rPr/>
        <w:t>0877-26GZTP4ZC0289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华南师范大学广州校区石牌校园往返大学城校园交通车租赁服务</w:t>
      </w:r>
      <w:r>
        <w:rPr/>
        <w:t>”项目（采购项目编号：</w:t>
      </w:r>
      <w:r>
        <w:rPr/>
        <w:t>0877-26GZTP4ZC0289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