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440001-2026-18786</w:t>
      </w:r>
    </w:p>
    <w:p>
      <w:pPr>
        <w:pStyle w:val="null3"/>
        <w:jc w:val="center"/>
        <w:outlineLvl w:val="3"/>
      </w:pPr>
      <w:r>
        <w:rPr>
          <w:sz w:val="24"/>
          <w:b/>
        </w:rPr>
        <w:t>采购项目编号：</w:t>
      </w:r>
      <w:r>
        <w:rPr>
          <w:sz w:val="24"/>
          <w:b/>
        </w:rPr>
        <w:t>0877-26GZTP2ZC0273</w:t>
      </w:r>
    </w:p>
    <w:p>
      <w:pPr>
        <w:pStyle w:val="null3"/>
        <w:jc w:val="center"/>
        <w:outlineLvl w:val="3"/>
      </w:pPr>
      <w:r>
        <w:rPr>
          <w:sz w:val="24"/>
          <w:b/>
        </w:rPr>
        <w:t>项目名称：</w:t>
      </w:r>
      <w:r>
        <w:rPr>
          <w:sz w:val="24"/>
          <w:b/>
        </w:rPr>
        <w:t>广东省第二荣军优抚医院2026-2028年食堂食材配送服务项目</w:t>
      </w:r>
    </w:p>
    <w:p>
      <w:pPr>
        <w:pStyle w:val="null3"/>
        <w:jc w:val="center"/>
        <w:outlineLvl w:val="3"/>
      </w:pPr>
      <w:r>
        <w:rPr>
          <w:sz w:val="24"/>
          <w:b/>
        </w:rPr>
        <w:t>采购人：</w:t>
      </w:r>
      <w:r>
        <w:rPr>
          <w:sz w:val="24"/>
          <w:b/>
        </w:rPr>
        <w:t>广东省第二荣军优抚医院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广东省第二荣军优抚医院</w:t>
      </w:r>
      <w:r>
        <w:rPr/>
        <w:t>的委托，采用</w:t>
      </w:r>
      <w:r>
        <w:rPr/>
        <w:t>公开招标</w:t>
      </w:r>
      <w:r>
        <w:rPr/>
        <w:t>方式组织采购</w:t>
      </w:r>
      <w:r>
        <w:rPr/>
        <w:t>广东省第二荣军优抚医院2026-2028年食堂食材配送服务项目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广东省第二荣军优抚医院2026-2028年食堂食材配送服务项目</w:t>
      </w:r>
    </w:p>
    <w:p>
      <w:pPr>
        <w:pStyle w:val="null3"/>
        <w:ind w:firstLine="480"/>
      </w:pPr>
      <w:r>
        <w:rPr/>
        <w:t>采购计划编号：</w:t>
      </w:r>
      <w:r>
        <w:rPr/>
        <w:t>440001-2026-18786</w:t>
      </w:r>
    </w:p>
    <w:p>
      <w:pPr>
        <w:pStyle w:val="null3"/>
        <w:ind w:firstLine="480"/>
      </w:pPr>
      <w:r>
        <w:rPr/>
        <w:t>采购项目编号：</w:t>
      </w:r>
      <w:r>
        <w:rPr/>
        <w:t>0877-26GZTP2ZC0273</w:t>
      </w:r>
    </w:p>
    <w:p>
      <w:pPr>
        <w:pStyle w:val="null3"/>
        <w:ind w:firstLine="480"/>
      </w:pPr>
      <w:r>
        <w:rPr/>
        <w:t>采购方式：</w:t>
      </w:r>
      <w:r>
        <w:rPr/>
        <w:t>公开招标</w:t>
      </w:r>
    </w:p>
    <w:p>
      <w:pPr>
        <w:pStyle w:val="null3"/>
        <w:ind w:firstLine="480"/>
      </w:pPr>
      <w:r>
        <w:rPr/>
        <w:t>预算金额：</w:t>
      </w:r>
      <w:r>
        <w:rPr/>
        <w:t>12,200,000.00</w:t>
      </w:r>
      <w:r>
        <w:rPr/>
        <w:t>元</w:t>
      </w:r>
    </w:p>
    <w:p>
      <w:pPr>
        <w:pStyle w:val="null3"/>
        <w:outlineLvl w:val="3"/>
      </w:pPr>
      <w:r>
        <w:rPr>
          <w:sz w:val="24"/>
          <w:b/>
        </w:rPr>
        <w:t>2.项目内容及需求情况（采购项目技术规格、参数及要求）</w:t>
      </w:r>
    </w:p>
    <w:p>
      <w:pPr>
        <w:pStyle w:val="null3"/>
      </w:pPr>
      <w:r>
        <w:rPr/>
        <w:t>采购包1(2026-2028年食堂食材配送服务):</w:t>
      </w:r>
    </w:p>
    <w:p>
      <w:pPr>
        <w:pStyle w:val="null3"/>
      </w:pPr>
      <w:r>
        <w:rPr/>
        <w:t>采购包预算金额：12,200,000.00元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2026-2028年食堂食材配送服务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12,200,000.00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合同履行期限：自采购合同生效之日起2年或预算金额用完为止。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采购包1（2026-2028年食堂食材配送服务）：</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采购包1（2026-2028年食堂食材配送服务）：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3)投标人必须具有有效的《食品生产许可证》或《食品经营许可证》或满足法律、法规规定的不需要取得食品经营许可的情形，提供复印件作为证明材料。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广东省第二荣军优抚医院</w:t>
      </w:r>
    </w:p>
    <w:p>
      <w:pPr>
        <w:pStyle w:val="null3"/>
        <w:ind w:firstLine="480"/>
      </w:pPr>
      <w:r>
        <w:rPr/>
        <w:t xml:space="preserve"> 地址：</w:t>
      </w:r>
      <w:r>
        <w:rPr/>
        <w:t>佛山市南海区西樵镇江浦西路59号</w:t>
      </w:r>
    </w:p>
    <w:p>
      <w:pPr>
        <w:pStyle w:val="null3"/>
        <w:ind w:firstLine="480"/>
      </w:pPr>
      <w:r>
        <w:rPr/>
        <w:t xml:space="preserve"> 联系方式：</w:t>
      </w:r>
      <w:r>
        <w:rPr/>
        <w:t>0757-86803089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020-38931902-819/822</w:t>
      </w:r>
    </w:p>
    <w:p>
      <w:pPr>
        <w:pStyle w:val="null3"/>
        <w:outlineLvl w:val="3"/>
      </w:pPr>
      <w:r>
        <w:rPr>
          <w:sz w:val="24"/>
          <w:b/>
        </w:rPr>
        <w:t xml:space="preserve"> 3.项目联系方式</w:t>
      </w:r>
    </w:p>
    <w:p>
      <w:pPr>
        <w:pStyle w:val="null3"/>
        <w:ind w:firstLine="480"/>
      </w:pPr>
      <w:r>
        <w:rPr/>
        <w:t xml:space="preserve"> 项目联系人：</w:t>
      </w:r>
      <w:r>
        <w:rPr/>
        <w:t>曹工、邓工</w:t>
      </w:r>
    </w:p>
    <w:p>
      <w:pPr>
        <w:pStyle w:val="null3"/>
        <w:ind w:firstLine="480"/>
      </w:pPr>
      <w:r>
        <w:rPr/>
        <w:t xml:space="preserve"> 电话：</w:t>
      </w:r>
      <w:r>
        <w:rPr/>
        <w:t>020-38931902-819/822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项目属性：服务类</w:t>
      </w:r>
    </w:p>
    <w:p>
      <w:pPr>
        <w:pStyle w:val="null3"/>
        <w:jc w:val="both"/>
      </w:pPr>
      <w:r>
        <w:rPr>
          <w:sz w:val="21"/>
        </w:rPr>
        <w:t>品目分类：其他服务</w:t>
      </w:r>
    </w:p>
    <w:p>
      <w:pPr>
        <w:pStyle w:val="null3"/>
      </w:pPr>
      <w:r>
        <w:rPr>
          <w:sz w:val="21"/>
        </w:rPr>
        <w:t>本项目对应的中小企业划分标准所属行业为：</w:t>
      </w:r>
      <w:r>
        <w:rPr>
          <w:sz w:val="21"/>
        </w:rPr>
        <w:t>批发业</w:t>
      </w:r>
    </w:p>
    <w:p>
      <w:pPr>
        <w:pStyle w:val="null3"/>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jc w:val="both"/>
      </w:pPr>
      <w:r>
        <w:rPr>
          <w:sz w:val="21"/>
          <w:b/>
          <w:color w:val="000000"/>
          <w:shd w:fill="FFFFFF" w:val="clear"/>
        </w:rPr>
        <w:t>（一）</w:t>
      </w:r>
      <w:r>
        <w:rPr>
          <w:sz w:val="21"/>
          <w:b/>
          <w:color w:val="000000"/>
          <w:shd w:fill="FFFFFF" w:val="clear"/>
        </w:rPr>
        <w:t>项目简介：</w:t>
      </w:r>
      <w:r>
        <w:rPr>
          <w:sz w:val="21"/>
          <w:color w:val="000000"/>
          <w:shd w:fill="FFFFFF" w:val="clear"/>
        </w:rPr>
        <w:t>广东省第二荣军优抚医院采取公开招标方式，选择符合要求的服务单位为广东省第二荣军优抚医院提供食堂粮油、肉类、瓜菜类、水果及干杂副食品类等所有食材采购和配送，采购具体数量、品种以食堂的实际需要为准。广东省第二荣军优抚医院属二级康复医院，有住院病区和综合门诊部</w:t>
      </w:r>
      <w:r>
        <w:rPr>
          <w:sz w:val="21"/>
          <w:shd w:fill="FFFFFF" w:val="clear"/>
        </w:rPr>
        <w:t>；食堂每天三餐</w:t>
      </w:r>
      <w:r>
        <w:rPr>
          <w:sz w:val="21"/>
          <w:shd w:fill="FFFFFF" w:val="clear"/>
        </w:rPr>
        <w:t>，早、午餐供餐约</w:t>
      </w:r>
      <w:r>
        <w:rPr>
          <w:sz w:val="21"/>
          <w:shd w:fill="FFFFFF" w:val="clear"/>
        </w:rPr>
        <w:t>500人，晚餐供餐约350人</w:t>
      </w:r>
      <w:r>
        <w:rPr>
          <w:sz w:val="21"/>
          <w:shd w:fill="FFFFFF" w:val="clear"/>
        </w:rPr>
        <w:t>。</w:t>
      </w:r>
    </w:p>
    <w:p>
      <w:pPr>
        <w:pStyle w:val="null3"/>
        <w:jc w:val="both"/>
      </w:pPr>
      <w:r>
        <w:rPr>
          <w:sz w:val="21"/>
          <w:b/>
          <w:color w:val="000000"/>
          <w:shd w:fill="FFFFFF" w:val="clear"/>
        </w:rPr>
        <w:t>（二）</w:t>
      </w:r>
      <w:r>
        <w:rPr>
          <w:sz w:val="21"/>
          <w:b/>
          <w:color w:val="000000"/>
          <w:shd w:fill="FFFFFF" w:val="clear"/>
        </w:rPr>
        <w:t>服务期限：</w:t>
      </w:r>
      <w:r>
        <w:rPr>
          <w:sz w:val="21"/>
          <w:color w:val="000000"/>
          <w:shd w:fill="FFFFFF" w:val="clear"/>
        </w:rPr>
        <w:t>自采购合同生</w:t>
      </w:r>
      <w:r>
        <w:rPr>
          <w:sz w:val="21"/>
          <w:color w:val="000000"/>
          <w:shd w:fill="FFFFFF" w:val="clear"/>
        </w:rPr>
        <w:t>效之日起</w:t>
      </w:r>
      <w:r>
        <w:rPr>
          <w:sz w:val="21"/>
          <w:color w:val="000000"/>
          <w:shd w:fill="FFFFFF" w:val="clear"/>
        </w:rPr>
        <w:t>2年</w:t>
      </w:r>
      <w:r>
        <w:rPr>
          <w:sz w:val="21"/>
          <w:color w:val="000000"/>
        </w:rPr>
        <w:t>或预算金额用完为止</w:t>
      </w:r>
      <w:r>
        <w:rPr>
          <w:sz w:val="21"/>
          <w:color w:val="000000"/>
        </w:rPr>
        <w:t>。</w:t>
      </w:r>
    </w:p>
    <w:p>
      <w:pPr>
        <w:pStyle w:val="null3"/>
        <w:jc w:val="both"/>
      </w:pPr>
      <w:r>
        <w:rPr>
          <w:sz w:val="21"/>
          <w:b/>
          <w:color w:val="000000"/>
          <w:shd w:fill="FFFFFF" w:val="clear"/>
        </w:rPr>
        <w:t>（三）</w:t>
      </w:r>
      <w:r>
        <w:rPr>
          <w:sz w:val="21"/>
          <w:b/>
          <w:color w:val="000000"/>
          <w:shd w:fill="FFFFFF" w:val="clear"/>
        </w:rPr>
        <w:t>项目预算：</w:t>
      </w:r>
      <w:r>
        <w:rPr>
          <w:sz w:val="21"/>
          <w:color w:val="000000"/>
          <w:shd w:fill="FFFFFF" w:val="clear"/>
        </w:rPr>
        <w:t>1220万元，</w:t>
      </w:r>
      <w:r>
        <w:rPr>
          <w:sz w:val="21"/>
          <w:color w:val="000000"/>
          <w:shd w:fill="FFFFFF" w:val="clear"/>
        </w:rPr>
        <w:t>费用按实际采购金额结算。</w:t>
      </w:r>
    </w:p>
    <w:p>
      <w:pPr>
        <w:pStyle w:val="null3"/>
        <w:jc w:val="both"/>
        <w:outlineLvl w:val="0"/>
      </w:pPr>
      <w:r>
        <w:rPr>
          <w:sz w:val="21"/>
          <w:b/>
        </w:rPr>
        <w:t>二、总体要求</w:t>
      </w:r>
    </w:p>
    <w:p>
      <w:pPr>
        <w:pStyle w:val="null3"/>
        <w:jc w:val="both"/>
      </w:pPr>
      <w:r>
        <w:rPr>
          <w:sz w:val="21"/>
        </w:rPr>
        <w:t>★1.供应的所有食材必须符合中华人民共和国国家、行业、地方及履约地现行的安全、质量、环保标准和规范；</w:t>
      </w:r>
      <w:r>
        <w:rPr>
          <w:sz w:val="21"/>
          <w:b/>
        </w:rPr>
        <w:t>（投标人需提供承诺函</w:t>
      </w:r>
      <w:r>
        <w:rPr>
          <w:sz w:val="21"/>
          <w:b/>
        </w:rPr>
        <w:t>，格式自拟，可参考</w:t>
      </w:r>
      <w:r>
        <w:rPr>
          <w:sz w:val="21"/>
          <w:b/>
        </w:rPr>
        <w:t>投标文件格式</w:t>
      </w:r>
      <w:r>
        <w:rPr>
          <w:sz w:val="21"/>
          <w:b/>
        </w:rPr>
        <w:t>十一</w:t>
      </w:r>
      <w:r>
        <w:rPr>
          <w:sz w:val="21"/>
          <w:b/>
        </w:rPr>
        <w:t xml:space="preserve">) </w:t>
      </w:r>
      <w:r>
        <w:rPr>
          <w:sz w:val="21"/>
        </w:rPr>
        <w:t>。</w:t>
      </w:r>
    </w:p>
    <w:p>
      <w:pPr>
        <w:pStyle w:val="null3"/>
        <w:jc w:val="both"/>
      </w:pPr>
      <w:r>
        <w:rPr>
          <w:sz w:val="21"/>
        </w:rPr>
        <w:t>2.</w:t>
      </w:r>
      <w:r>
        <w:rPr>
          <w:sz w:val="21"/>
        </w:rPr>
        <w:t>中标人</w:t>
      </w:r>
      <w:r>
        <w:rPr>
          <w:sz w:val="21"/>
        </w:rPr>
        <w:t>供应的食材必须向有</w:t>
      </w:r>
      <w:r>
        <w:rPr>
          <w:sz w:val="21"/>
        </w:rPr>
        <w:t>对应</w:t>
      </w:r>
      <w:r>
        <w:rPr>
          <w:sz w:val="21"/>
        </w:rPr>
        <w:t>合法资质的</w:t>
      </w:r>
      <w:r>
        <w:rPr>
          <w:sz w:val="21"/>
        </w:rPr>
        <w:t>货.源单位</w:t>
      </w:r>
      <w:r>
        <w:rPr>
          <w:sz w:val="21"/>
        </w:rPr>
        <w:t>采购；</w:t>
      </w:r>
    </w:p>
    <w:p>
      <w:pPr>
        <w:pStyle w:val="null3"/>
        <w:jc w:val="both"/>
      </w:pPr>
      <w:r>
        <w:rPr>
          <w:sz w:val="21"/>
        </w:rPr>
        <w:t>3.</w:t>
      </w:r>
      <w:r>
        <w:rPr>
          <w:sz w:val="21"/>
        </w:rPr>
        <w:t>中标人</w:t>
      </w:r>
      <w:r>
        <w:rPr>
          <w:sz w:val="21"/>
        </w:rPr>
        <w:t>供应的所有食品食材，必须符合</w:t>
      </w:r>
      <w:r>
        <w:rPr>
          <w:sz w:val="21"/>
        </w:rPr>
        <w:t>中华人民共和国</w:t>
      </w:r>
      <w:r>
        <w:rPr>
          <w:sz w:val="21"/>
        </w:rPr>
        <w:t>国家卫生健康委员会、</w:t>
      </w:r>
      <w:r>
        <w:rPr>
          <w:sz w:val="21"/>
        </w:rPr>
        <w:t>国家</w:t>
      </w:r>
      <w:r>
        <w:rPr>
          <w:sz w:val="21"/>
        </w:rPr>
        <w:t>市场监督管理</w:t>
      </w:r>
      <w:r>
        <w:rPr>
          <w:sz w:val="21"/>
        </w:rPr>
        <w:t>总局</w:t>
      </w:r>
      <w:r>
        <w:rPr>
          <w:sz w:val="21"/>
        </w:rPr>
        <w:t>等相关职能部门的各项指标，并</w:t>
      </w:r>
      <w:r>
        <w:rPr>
          <w:sz w:val="21"/>
        </w:rPr>
        <w:t>随货提供</w:t>
      </w:r>
      <w:r>
        <w:rPr>
          <w:sz w:val="21"/>
        </w:rPr>
        <w:t>完整</w:t>
      </w:r>
      <w:r>
        <w:rPr>
          <w:sz w:val="21"/>
        </w:rPr>
        <w:t>、有效</w:t>
      </w:r>
      <w:r>
        <w:rPr>
          <w:sz w:val="21"/>
        </w:rPr>
        <w:t>的销售合格</w:t>
      </w:r>
      <w:r>
        <w:rPr>
          <w:sz w:val="21"/>
        </w:rPr>
        <w:t>标志</w:t>
      </w:r>
      <w:r>
        <w:rPr>
          <w:sz w:val="21"/>
        </w:rPr>
        <w:t>或证书；</w:t>
      </w:r>
    </w:p>
    <w:p>
      <w:pPr>
        <w:pStyle w:val="null3"/>
        <w:jc w:val="both"/>
      </w:pPr>
      <w:r>
        <w:rPr>
          <w:sz w:val="21"/>
        </w:rPr>
        <w:t>★4.投标人须承诺中标后项目实施过程中严格遵守《中华人民共和国食品安全法》《中华人民共和国食品安全法实施条例》《食品经营许可和备案管理办法》</w:t>
      </w:r>
      <w:r>
        <w:rPr>
          <w:sz w:val="21"/>
        </w:rPr>
        <w:t>《食品经营许可审查通则》</w:t>
      </w:r>
      <w:r>
        <w:rPr>
          <w:sz w:val="21"/>
        </w:rPr>
        <w:t>，符合食品经营许可的有关管理规定并按规定办理相关手续，如违反相关法规采购人有权终止合同，由此引发的一切后果由</w:t>
      </w:r>
      <w:r>
        <w:rPr>
          <w:sz w:val="21"/>
        </w:rPr>
        <w:t>中标人</w:t>
      </w:r>
      <w:r>
        <w:rPr>
          <w:sz w:val="21"/>
        </w:rPr>
        <w:t>承担。</w:t>
      </w:r>
      <w:r>
        <w:rPr>
          <w:sz w:val="21"/>
          <w:b/>
        </w:rPr>
        <w:t>（</w:t>
      </w:r>
      <w:r>
        <w:rPr>
          <w:sz w:val="21"/>
          <w:b/>
        </w:rPr>
        <w:t>投标人需提供承诺函</w:t>
      </w:r>
      <w:r>
        <w:rPr>
          <w:sz w:val="21"/>
          <w:b/>
        </w:rPr>
        <w:t>，格式自拟，可参考</w:t>
      </w:r>
      <w:r>
        <w:rPr>
          <w:sz w:val="21"/>
          <w:b/>
        </w:rPr>
        <w:t>投标文件格式</w:t>
      </w:r>
      <w:r>
        <w:rPr>
          <w:sz w:val="21"/>
          <w:b/>
        </w:rPr>
        <w:t>十一</w:t>
      </w:r>
      <w:r>
        <w:rPr>
          <w:sz w:val="21"/>
          <w:b/>
        </w:rPr>
        <w:t>)。</w:t>
      </w:r>
    </w:p>
    <w:p>
      <w:pPr>
        <w:pStyle w:val="null3"/>
        <w:jc w:val="both"/>
      </w:pPr>
      <w:r>
        <w:rPr>
          <w:sz w:val="21"/>
        </w:rPr>
        <w:t>★5.根据</w:t>
      </w:r>
      <w:r>
        <w:rPr>
          <w:sz w:val="21"/>
        </w:rPr>
        <w:t>《广东省财政厅关于落实</w:t>
      </w:r>
      <w:r>
        <w:rPr>
          <w:sz w:val="21"/>
        </w:rPr>
        <w:t>2025年政府采购脱贫地区农副产品工作的通知》（粤财采购〔2025〕2号）及后续年度最新通知要求（以届时有效文件为准），中标人须</w:t>
      </w:r>
      <w:r>
        <w:rPr>
          <w:sz w:val="21"/>
        </w:rPr>
        <w:t>配合采购人完成上级下达的脱贫地区农副产品采购任务。</w:t>
      </w:r>
      <w:r>
        <w:rPr>
          <w:sz w:val="21"/>
          <w:b/>
        </w:rPr>
        <w:t>（</w:t>
      </w:r>
      <w:r>
        <w:rPr>
          <w:sz w:val="21"/>
          <w:b/>
        </w:rPr>
        <w:t>投标人需提供承诺函</w:t>
      </w:r>
      <w:r>
        <w:rPr>
          <w:sz w:val="21"/>
          <w:b/>
        </w:rPr>
        <w:t>，格式自拟，可参考</w:t>
      </w:r>
      <w:r>
        <w:rPr>
          <w:sz w:val="21"/>
          <w:b/>
        </w:rPr>
        <w:t>投标文件格式</w:t>
      </w:r>
      <w:r>
        <w:rPr>
          <w:sz w:val="21"/>
          <w:b/>
        </w:rPr>
        <w:t>十一</w:t>
      </w:r>
      <w:r>
        <w:rPr>
          <w:sz w:val="21"/>
          <w:b/>
        </w:rPr>
        <w:t>)。</w:t>
      </w:r>
    </w:p>
    <w:p>
      <w:pPr>
        <w:pStyle w:val="null3"/>
        <w:jc w:val="both"/>
      </w:pPr>
      <w:r>
        <w:rPr>
          <w:sz w:val="21"/>
        </w:rPr>
        <w:t>6.</w:t>
      </w:r>
      <w:r>
        <w:rPr>
          <w:sz w:val="21"/>
          <w:color w:val="000000"/>
          <w:shd w:fill="FFFFFF" w:val="clear"/>
        </w:rPr>
        <w:t>中标人不得将中标项目转让或分包给他人，否则采购人有权单方终止合同</w:t>
      </w:r>
      <w:r>
        <w:rPr>
          <w:sz w:val="21"/>
          <w:color w:val="000000"/>
          <w:shd w:fill="FFFFFF" w:val="clear"/>
        </w:rPr>
        <w:t>,由此产生的一切经济损失由中标人自行承担。</w:t>
      </w:r>
    </w:p>
    <w:p>
      <w:pPr>
        <w:pStyle w:val="null3"/>
        <w:jc w:val="both"/>
      </w:pPr>
      <w:r>
        <w:rPr>
          <w:sz w:val="21"/>
        </w:rPr>
        <w:t>7.</w:t>
      </w:r>
      <w:r>
        <w:rPr>
          <w:sz w:val="21"/>
        </w:rPr>
        <w:t>投标人应在投标文件中列出其计划提供的主要鲜肉类、生禽、鲜水产及水果的品目示例。合同期内，中标人应根据季节变化与采购人实际需求，动态调整上述食材的供应品类与频次</w:t>
      </w:r>
      <w:r>
        <w:rPr>
          <w:sz w:val="21"/>
        </w:rPr>
        <w:t>，</w:t>
      </w:r>
      <w:r>
        <w:rPr>
          <w:sz w:val="21"/>
        </w:rPr>
        <w:t>确保食材</w:t>
      </w:r>
      <w:r>
        <w:rPr>
          <w:sz w:val="21"/>
        </w:rPr>
        <w:t>的新鲜度与</w:t>
      </w:r>
      <w:r>
        <w:rPr>
          <w:sz w:val="21"/>
        </w:rPr>
        <w:t>品类的多样性。</w:t>
      </w:r>
    </w:p>
    <w:p>
      <w:pPr>
        <w:pStyle w:val="null3"/>
        <w:jc w:val="both"/>
        <w:outlineLvl w:val="0"/>
      </w:pPr>
      <w:r>
        <w:rPr>
          <w:sz w:val="21"/>
          <w:b/>
        </w:rPr>
        <w:t>三、服务内容</w:t>
      </w:r>
    </w:p>
    <w:p>
      <w:pPr>
        <w:pStyle w:val="null3"/>
        <w:jc w:val="both"/>
        <w:outlineLvl w:val="1"/>
      </w:pPr>
      <w:r>
        <w:rPr>
          <w:sz w:val="21"/>
          <w:b/>
        </w:rPr>
        <w:t>（一）常用食材清单</w:t>
      </w:r>
    </w:p>
    <w:p>
      <w:pPr>
        <w:pStyle w:val="null3"/>
        <w:jc w:val="both"/>
      </w:pPr>
      <w:r>
        <w:rPr>
          <w:sz w:val="21"/>
        </w:rPr>
        <w:t>（未在表中列明的其他食材品类，如采购人需要，</w:t>
      </w:r>
      <w:r>
        <w:rPr>
          <w:sz w:val="21"/>
        </w:rPr>
        <w:t>中标人按照本项目约定的定价方式、质量标准及验收要求，</w:t>
      </w:r>
      <w:r>
        <w:rPr>
          <w:sz w:val="21"/>
        </w:rPr>
        <w:t>无条件</w:t>
      </w:r>
      <w:r>
        <w:rPr>
          <w:sz w:val="21"/>
        </w:rPr>
        <w:t>配合</w:t>
      </w:r>
      <w:r>
        <w:rPr>
          <w:sz w:val="21"/>
        </w:rPr>
        <w:t>供货</w:t>
      </w:r>
      <w:r>
        <w:rPr>
          <w:sz w:val="21"/>
        </w:rPr>
        <w:t>，不得以未提前列明为由拒绝</w:t>
      </w:r>
      <w:r>
        <w:rPr>
          <w:sz w:val="21"/>
        </w:rPr>
        <w:t>）</w:t>
      </w:r>
    </w:p>
    <w:p>
      <w:pPr>
        <w:pStyle w:val="null3"/>
        <w:jc w:val="both"/>
      </w:pPr>
      <w:r>
        <w:rPr>
          <w:sz w:val="21"/>
        </w:rPr>
        <w:t>1.鲜畜禽肉</w:t>
      </w:r>
    </w:p>
    <w:p>
      <w:pPr>
        <w:pStyle w:val="null3"/>
        <w:jc w:val="both"/>
      </w:pPr>
      <w:r>
        <w:rPr>
          <w:sz w:val="21"/>
        </w:rPr>
        <w:t>（</w:t>
      </w:r>
      <w:r>
        <w:rPr>
          <w:sz w:val="21"/>
        </w:rPr>
        <w:t>1）猪肉</w:t>
      </w:r>
    </w:p>
    <w:tbl>
      <w:tblPr>
        <w:tblW w:w="0" w:type="auto"/>
        <w:tblBorders>
          <w:top w:val="none" w:color="000000" w:sz="4"/>
          <w:left w:val="none" w:color="000000" w:sz="4"/>
          <w:bottom w:val="none" w:color="000000" w:sz="4"/>
          <w:right w:val="none" w:color="000000" w:sz="4"/>
          <w:insideH w:val="none"/>
          <w:insideV w:val="none"/>
        </w:tblBorders>
      </w:tblPr>
      <w:tblGrid>
        <w:gridCol w:w="1149"/>
        <w:gridCol w:w="1551"/>
        <w:gridCol w:w="977"/>
        <w:gridCol w:w="1724"/>
        <w:gridCol w:w="1163"/>
        <w:gridCol w:w="1724"/>
      </w:tblGrid>
      <w:tr>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带皮上肉</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带皮花肉</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去皮上肉</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去皮花肉</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带皮猪踭</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去皮猪踭</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赤肉</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枚肉</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枚柳</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一字枚</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肉眼</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猪展</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鲜排骨</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肋排</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肉排</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猪手、脚</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龙骨</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筒骨</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尾脊骨</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猪头骨</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扇骨</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肥肉</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猪颈肉</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圆蹄</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蹄筋</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猪肝</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猪心</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猪肚</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猪腰</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猪脷</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猪尾</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小肚</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大肠</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大肠头</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粉肠</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猪皮</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猪肺</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生肠</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猪红</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大油</w:t>
            </w: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猪肉滑</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bl>
    <w:p>
      <w:pPr>
        <w:pStyle w:val="null3"/>
      </w:pPr>
      <w:r>
        <w:rPr>
          <w:sz w:val="21"/>
        </w:rPr>
        <w:t>（</w:t>
      </w:r>
      <w:r>
        <w:rPr>
          <w:sz w:val="21"/>
        </w:rPr>
        <w:t>2）牛肉</w:t>
      </w:r>
    </w:p>
    <w:tbl>
      <w:tblPr>
        <w:tblW w:w="0" w:type="auto"/>
        <w:tblBorders>
          <w:top w:val="none" w:color="000000" w:sz="4"/>
          <w:left w:val="none" w:color="000000" w:sz="4"/>
          <w:bottom w:val="none" w:color="000000" w:sz="4"/>
          <w:right w:val="none" w:color="000000" w:sz="4"/>
          <w:insideH w:val="none"/>
          <w:insideV w:val="none"/>
        </w:tblBorders>
      </w:tblPr>
      <w:tblGrid>
        <w:gridCol w:w="1137"/>
        <w:gridCol w:w="1540"/>
        <w:gridCol w:w="906"/>
        <w:gridCol w:w="1799"/>
        <w:gridCol w:w="906"/>
        <w:gridCol w:w="1972"/>
      </w:tblGrid>
      <w:tr>
        <w:tc>
          <w:tcPr>
            <w:tcW w:type="dxa" w:w="1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r>
      <w:tr>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牛肉</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牛霖</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牛百叶</w:t>
            </w:r>
          </w:p>
        </w:tc>
      </w:tr>
      <w:tr>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牛展</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牛柳</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牛坑腩</w:t>
            </w:r>
          </w:p>
        </w:tc>
      </w:tr>
      <w:tr>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牛碎腩</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牛肉滑</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腌牛肉片</w:t>
            </w:r>
          </w:p>
        </w:tc>
      </w:tr>
      <w:tr>
        <w:tc>
          <w:tcPr>
            <w:tcW w:type="dxa" w:w="1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牛心</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牛骨头</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bl>
    <w:p>
      <w:pPr>
        <w:pStyle w:val="null3"/>
      </w:pPr>
      <w:r>
        <w:rPr>
          <w:sz w:val="21"/>
        </w:rPr>
        <w:t>（</w:t>
      </w:r>
      <w:r>
        <w:rPr>
          <w:sz w:val="21"/>
        </w:rPr>
        <w:t>3）禽鸟</w:t>
      </w:r>
    </w:p>
    <w:tbl>
      <w:tblPr>
        <w:tblW w:w="0" w:type="auto"/>
        <w:tblBorders>
          <w:top w:val="none" w:color="000000" w:sz="4"/>
          <w:left w:val="none" w:color="000000" w:sz="4"/>
          <w:bottom w:val="none" w:color="000000" w:sz="4"/>
          <w:right w:val="none" w:color="000000" w:sz="4"/>
          <w:insideH w:val="none"/>
          <w:insideV w:val="none"/>
        </w:tblBorders>
      </w:tblPr>
      <w:tblGrid>
        <w:gridCol w:w="1077"/>
        <w:gridCol w:w="1652"/>
        <w:gridCol w:w="905"/>
        <w:gridCol w:w="1825"/>
        <w:gridCol w:w="833"/>
        <w:gridCol w:w="1997"/>
      </w:tblGrid>
      <w:tr>
        <w:tc>
          <w:tcPr>
            <w:tcW w:type="dxa" w:w="1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光鸡</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清远麻鸡</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江西鸡</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老鸡</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竹丝鸡</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正宗走地鸡</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水鸭</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番鸭</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光鸭</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鹌鹑</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乳鸽</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光鹅</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狮头鹅</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1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bl>
    <w:p>
      <w:pPr>
        <w:pStyle w:val="null3"/>
      </w:pPr>
      <w:r>
        <w:rPr>
          <w:sz w:val="21"/>
        </w:rPr>
        <w:t>2.鲜活水产品</w:t>
      </w:r>
    </w:p>
    <w:tbl>
      <w:tblPr>
        <w:tblW w:w="0" w:type="auto"/>
        <w:tblBorders>
          <w:top w:val="none" w:color="000000" w:sz="4"/>
          <w:left w:val="none" w:color="000000" w:sz="4"/>
          <w:bottom w:val="none" w:color="000000" w:sz="4"/>
          <w:right w:val="none" w:color="000000" w:sz="4"/>
          <w:insideH w:val="none"/>
          <w:insideV w:val="none"/>
        </w:tblBorders>
      </w:tblPr>
      <w:tblGrid>
        <w:gridCol w:w="1126"/>
        <w:gridCol w:w="1727"/>
        <w:gridCol w:w="946"/>
        <w:gridCol w:w="1817"/>
        <w:gridCol w:w="871"/>
        <w:gridCol w:w="1817"/>
      </w:tblGrid>
      <w:tr>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硬边鲩鱼</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生鱼／活</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大鱼滑</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鲩鱼肉片腩</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金鲳鱼／活</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大鱼骨</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大头鱼／活</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塘虱鱼／活</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大鱼尾</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大福寿鱼／活</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江鲶鱼</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净大鱼头</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大鱼头／带肉</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塘鲶鱼</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原条鲩鱼</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鲫鱼／活</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鲮鱼滑</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原条大鱼</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鲈鱼／活</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鲮鱼肉</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基围虾</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九节虾</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罗氏虾</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鲍鱼</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花斑鱼</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白贝</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元贝</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盲槽鱼</w:t>
            </w: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甲鱼</w:t>
            </w:r>
            <w:r>
              <w:rPr>
                <w:sz w:val="21"/>
              </w:rPr>
              <w:t>/水鱼</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花蟹</w:t>
            </w:r>
          </w:p>
        </w:tc>
      </w:tr>
    </w:tbl>
    <w:p>
      <w:pPr>
        <w:pStyle w:val="null3"/>
      </w:pPr>
      <w:r>
        <w:rPr>
          <w:sz w:val="21"/>
        </w:rPr>
        <w:t>3.冻品</w:t>
      </w:r>
    </w:p>
    <w:tbl>
      <w:tblPr>
        <w:tblW w:w="0" w:type="auto"/>
        <w:tblBorders>
          <w:top w:val="none" w:color="000000" w:sz="4"/>
          <w:left w:val="none" w:color="000000" w:sz="4"/>
          <w:bottom w:val="none" w:color="000000" w:sz="4"/>
          <w:right w:val="none" w:color="000000" w:sz="4"/>
          <w:insideH w:val="none"/>
          <w:insideV w:val="none"/>
        </w:tblBorders>
      </w:tblPr>
      <w:tblGrid>
        <w:gridCol w:w="1193"/>
        <w:gridCol w:w="1616"/>
        <w:gridCol w:w="951"/>
        <w:gridCol w:w="1888"/>
        <w:gridCol w:w="861"/>
        <w:gridCol w:w="1797"/>
      </w:tblGrid>
      <w:tr>
        <w:tc>
          <w:tcPr>
            <w:tcW w:type="dxa" w:w="1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冻鸡胸肉</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冻牛黄喉</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冻鱿鱼</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鸡中翅</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冻黑毛肚</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海山骨</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冻鸡壳</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冻猪耳</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冻带鱼</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牛仔骨</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黄金鱼蛋</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冻鱿鱼须</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冻肥牛片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冻虾仁</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冻红三鱼</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冻鸡肾</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冻肋排</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冻南鲳鱼（中）</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冻鸡脚</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冻牛肉丸</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冻鱿鱼亦</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小鸡腿</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冰鲜赤划鱼</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冰鲜秋刀鱼</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大鸡腿</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冻青豆／粒</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冻墨鱼丸</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冻猪舌</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冻玉米／粒</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冻猪肉丸</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冻炸凤爪</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冰鲜白划鱼</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冰鲜马头鱼</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冰鲜马友鱼</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冰鲜红珊鱼</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冻鲜乌头鱼</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冰鲜黄花鱼</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冰鲜金鲳鱼（大）</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冰鲜黄立鱼</w:t>
            </w:r>
            <w:r>
              <w:rPr>
                <w:sz w:val="21"/>
              </w:rPr>
              <w:t>/黄脚立</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冰鲜巴浪鱼</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灌汤水饺</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汤圆</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43</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冰鲜金鼓鱼</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44</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冻薯条</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bl>
    <w:p>
      <w:pPr>
        <w:pStyle w:val="null3"/>
        <w:jc w:val="both"/>
      </w:pPr>
      <w:r>
        <w:rPr>
          <w:sz w:val="21"/>
        </w:rPr>
        <w:t>4.干货调味品</w:t>
      </w:r>
    </w:p>
    <w:tbl>
      <w:tblPr>
        <w:tblW w:w="0" w:type="auto"/>
        <w:tblBorders>
          <w:top w:val="none" w:color="000000" w:sz="4"/>
          <w:left w:val="none" w:color="000000" w:sz="4"/>
          <w:bottom w:val="none" w:color="000000" w:sz="4"/>
          <w:right w:val="none" w:color="000000" w:sz="4"/>
          <w:insideH w:val="none"/>
          <w:insideV w:val="none"/>
        </w:tblBorders>
      </w:tblPr>
      <w:tblGrid>
        <w:gridCol w:w="1102"/>
        <w:gridCol w:w="1707"/>
        <w:gridCol w:w="951"/>
        <w:gridCol w:w="1888"/>
        <w:gridCol w:w="951"/>
        <w:gridCol w:w="1707"/>
      </w:tblGrid>
      <w:tr>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大花生米</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黑木耳</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干辣椒粉</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黄豆</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散装粉丝</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茴香</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眉豆</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薏</w:t>
            </w:r>
            <w:r>
              <w:rPr>
                <w:sz w:val="21"/>
              </w:rPr>
              <w:t>米</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云耳</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扁豆</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干淮山</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蜜枣</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乌豆</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莲子</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白芝麻</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绿豆</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红豆</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椰蓉</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无沙紫菜</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霸王花</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干尖椒</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白木耳</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金针菜</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马蹄粉</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胡椒粉</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干海带</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生地</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花椒</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当归片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熟地</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干香菇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红枣</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白冰糖</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支竹</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党参</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黄、红片糖</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白果肉</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草果</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胡椒粒</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虾米</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丁香</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桂皮</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43</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陈皮</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44</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枸杞子</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香叶</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46</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南北杏</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47</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干腐皮</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48</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生粉</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49</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干沙姜</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无花果</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陈醋</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52</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干瑶柱</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53</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甘草</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54</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黄姜粉</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55</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沙参</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56</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豆蔻</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57</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沙姜粉</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58</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南姜粉</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59</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冬菜</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豆沙／桶</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莲蓉</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62</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椰子酱／汁</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63</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蚝油</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辣椒酱</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65</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酵母粉（依仕）</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66</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香麻油</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67</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花椒油</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68</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橄榄菜</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69</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白菜干</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70</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罗汉果</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71</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榄角</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八角</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73</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冬菇</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74</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鱿鱼</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75</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生抽</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76</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老抽</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77</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白砂糖</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78</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食用盐</w:t>
            </w:r>
          </w:p>
        </w:tc>
      </w:tr>
    </w:tbl>
    <w:p>
      <w:pPr>
        <w:pStyle w:val="null3"/>
        <w:jc w:val="both"/>
      </w:pPr>
      <w:r>
        <w:rPr>
          <w:sz w:val="21"/>
        </w:rPr>
        <w:t>5.蛋类</w:t>
      </w:r>
    </w:p>
    <w:tbl>
      <w:tblPr>
        <w:tblW w:w="0" w:type="auto"/>
        <w:tblBorders>
          <w:top w:val="none" w:color="000000" w:sz="4"/>
          <w:left w:val="none" w:color="000000" w:sz="4"/>
          <w:bottom w:val="none" w:color="000000" w:sz="4"/>
          <w:right w:val="none" w:color="000000" w:sz="4"/>
          <w:insideH w:val="none"/>
          <w:insideV w:val="none"/>
        </w:tblBorders>
      </w:tblPr>
      <w:tblGrid>
        <w:gridCol w:w="1187"/>
        <w:gridCol w:w="1697"/>
        <w:gridCol w:w="931"/>
        <w:gridCol w:w="1862"/>
        <w:gridCol w:w="931"/>
        <w:gridCol w:w="1697"/>
      </w:tblGrid>
      <w:tr>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咸蛋</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皮蛋</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鸡蛋</w:t>
            </w:r>
          </w:p>
        </w:tc>
      </w:tr>
    </w:tbl>
    <w:p>
      <w:pPr>
        <w:pStyle w:val="null3"/>
        <w:jc w:val="both"/>
      </w:pPr>
      <w:r>
        <w:rPr>
          <w:sz w:val="21"/>
        </w:rPr>
        <w:t>6.蔬菜瓜果</w:t>
      </w:r>
    </w:p>
    <w:tbl>
      <w:tblPr>
        <w:tblW w:w="0" w:type="auto"/>
        <w:tblBorders>
          <w:top w:val="none" w:color="000000" w:sz="4"/>
          <w:left w:val="none" w:color="000000" w:sz="4"/>
          <w:bottom w:val="none" w:color="000000" w:sz="4"/>
          <w:right w:val="none" w:color="000000" w:sz="4"/>
          <w:insideH w:val="none"/>
          <w:insideV w:val="none"/>
        </w:tblBorders>
      </w:tblPr>
      <w:tblGrid>
        <w:gridCol w:w="1006"/>
        <w:gridCol w:w="1757"/>
        <w:gridCol w:w="796"/>
        <w:gridCol w:w="1983"/>
        <w:gridCol w:w="856"/>
        <w:gridCol w:w="1908"/>
      </w:tblGrid>
      <w:tr>
        <w:tc>
          <w:tcPr>
            <w:tcW w:type="dxa" w:w="1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7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8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潺菜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红尖椒</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73</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雪里红</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苋菜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鲜淮山</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74</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榨菜丝</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通心菜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土豆</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75</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什锦菜</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春菜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莲藕</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76</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无叶酸菜</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小白菜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西红柿</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77</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酸笋片</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小塘菜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白萝卜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78</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鲜木耳</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菜心</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43</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红萝卜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79</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绿色海带丝</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奶白菜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44</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青萝卜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80</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带皮玉米棒</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菠菜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冬瓜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81</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去皮玉米棒</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芥菜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46</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苦瓜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82</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荷兰豆</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芥兰菜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47</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83</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甜豆</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西洋菜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48</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青瓜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84</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玉豆</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49</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茄瓜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85</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白豆角</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油麦菜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青木瓜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86</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青豆角</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枸杞叶</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半生熟木瓜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87</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番薯</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椰菜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52</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节瓜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88</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蒜苔</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苦麦菜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53</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89</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青蒜</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枸杞菜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54</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丝瓜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90</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干葱头</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大白菜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55</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南瓜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马蹄肉</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潮州白菜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56</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云南小瓜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鲜玉米粒</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长白菜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57</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浦瓜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93</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鲜笋</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京包菜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58</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鲜草菇</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94</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洋葱</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菜花</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59</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鲜冬菇</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95</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香芋</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西芹</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茶树菇</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96</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蒜头</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正宗香芹</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鸡腿菇</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97</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蒜米</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椰子／个</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62</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鲜平菇</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98</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姜肉</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63</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金针菇</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99</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生姜</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韭菜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百合／包</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鲜沙姜</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韭黄</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65</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酸豆角</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绿豆芽</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韭菜花</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66</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萝卜干</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黄豆芽</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生葱</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67</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萝卜条</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103</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本地新土豆</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北方京葱</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68</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榨菜粒</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104</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无土番茄</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莴笋</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69</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有叶酸菜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105</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茅根／湿</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西兰花</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70</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咸梅菜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106</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竹蔗</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圆椒</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71</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甜梅菜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107</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沙葛</w:t>
            </w:r>
          </w:p>
        </w:tc>
      </w:tr>
      <w:tr>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尖椒</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榨菜</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108</w:t>
            </w:r>
          </w:p>
        </w:tc>
        <w:tc>
          <w:tcPr>
            <w:tcW w:type="dxa" w:w="1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粉葛</w:t>
            </w:r>
          </w:p>
        </w:tc>
      </w:tr>
    </w:tbl>
    <w:p>
      <w:pPr>
        <w:pStyle w:val="null3"/>
        <w:jc w:val="both"/>
      </w:pPr>
      <w:r>
        <w:rPr>
          <w:sz w:val="21"/>
        </w:rPr>
        <w:t>7.水果</w:t>
      </w:r>
    </w:p>
    <w:tbl>
      <w:tblPr>
        <w:tblW w:w="0" w:type="auto"/>
        <w:tblBorders>
          <w:top w:val="none" w:color="000000" w:sz="4"/>
          <w:left w:val="none" w:color="000000" w:sz="4"/>
          <w:bottom w:val="none" w:color="000000" w:sz="4"/>
          <w:right w:val="none" w:color="000000" w:sz="4"/>
          <w:insideH w:val="none"/>
          <w:insideV w:val="none"/>
        </w:tblBorders>
      </w:tblPr>
      <w:tblGrid>
        <w:gridCol w:w="944"/>
        <w:gridCol w:w="1542"/>
        <w:gridCol w:w="849"/>
        <w:gridCol w:w="2061"/>
        <w:gridCol w:w="849"/>
        <w:gridCol w:w="2061"/>
      </w:tblGrid>
      <w:tr>
        <w:tc>
          <w:tcPr>
            <w:tcW w:type="dxa" w:w="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苹果</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香蕉</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粉蕉</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柑橘</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龙眼</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枇杷</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沃柑</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荔枝</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芒果</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橙子</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百香果</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菠萝</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江西脐橙</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番石榴</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猕猴桃</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夏橙</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冬枣</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奇异果</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砂糖橘</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青枣</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水蜜桃</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西瓜</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西梅</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火龙果</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哈密瓜</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葡萄</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蓝莓</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木瓜</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红提</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草莓</w:t>
            </w:r>
            <w:r>
              <w:rPr>
                <w:sz w:val="21"/>
              </w:rPr>
              <w:t>/盒</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香瓜</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青提</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车厘子</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香梨</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红柚</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樱桃</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贡梨</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蜜柚</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油桃</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雪梨</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圣女果</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毛桃</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43</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秋月梨</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44</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千禧果</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杨桃</w:t>
            </w:r>
          </w:p>
        </w:tc>
      </w:tr>
      <w:tr>
        <w:tc>
          <w:tcPr>
            <w:tcW w:type="dxa" w:w="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46</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青梨</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47</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皇冠梨</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48</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bl>
    <w:p>
      <w:pPr>
        <w:pStyle w:val="null3"/>
        <w:jc w:val="both"/>
      </w:pPr>
      <w:r>
        <w:rPr>
          <w:sz w:val="21"/>
        </w:rPr>
        <w:t>8.豆制品</w:t>
      </w:r>
    </w:p>
    <w:tbl>
      <w:tblPr>
        <w:tblW w:w="0" w:type="auto"/>
        <w:tblBorders>
          <w:top w:val="none" w:color="000000" w:sz="4"/>
          <w:left w:val="none" w:color="000000" w:sz="4"/>
          <w:bottom w:val="none" w:color="000000" w:sz="4"/>
          <w:right w:val="none" w:color="000000" w:sz="4"/>
          <w:insideH w:val="none"/>
          <w:insideV w:val="none"/>
        </w:tblBorders>
      </w:tblPr>
      <w:tblGrid>
        <w:gridCol w:w="1102"/>
        <w:gridCol w:w="1707"/>
        <w:gridCol w:w="951"/>
        <w:gridCol w:w="1888"/>
        <w:gridCol w:w="861"/>
        <w:gridCol w:w="1797"/>
      </w:tblGrid>
      <w:tr>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豆腐／板</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香干</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豆腐皮</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白豆干</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大豆卜</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客家豆腐</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黄豆干</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小豆卜</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炸面筋</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千叶豆腐</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日本豆腐</w:t>
            </w: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bl>
    <w:p>
      <w:pPr>
        <w:pStyle w:val="null3"/>
        <w:jc w:val="both"/>
      </w:pPr>
      <w:r>
        <w:rPr>
          <w:sz w:val="21"/>
        </w:rPr>
        <w:t>9.乳制品</w:t>
      </w:r>
    </w:p>
    <w:tbl>
      <w:tblPr>
        <w:tblW w:w="0" w:type="auto"/>
        <w:tblBorders>
          <w:top w:val="none" w:color="000000" w:sz="4"/>
          <w:left w:val="none" w:color="000000" w:sz="4"/>
          <w:bottom w:val="none" w:color="000000" w:sz="4"/>
          <w:right w:val="none" w:color="000000" w:sz="4"/>
          <w:insideH w:val="none"/>
          <w:insideV w:val="none"/>
        </w:tblBorders>
      </w:tblPr>
      <w:tblGrid>
        <w:gridCol w:w="1187"/>
        <w:gridCol w:w="1697"/>
        <w:gridCol w:w="931"/>
        <w:gridCol w:w="1862"/>
        <w:gridCol w:w="931"/>
        <w:gridCol w:w="1697"/>
      </w:tblGrid>
      <w:tr>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牛奶</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酸奶</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bl>
    <w:p>
      <w:pPr>
        <w:pStyle w:val="null3"/>
        <w:jc w:val="both"/>
      </w:pPr>
      <w:r>
        <w:rPr>
          <w:sz w:val="21"/>
        </w:rPr>
        <w:t>10.粉面</w:t>
      </w:r>
    </w:p>
    <w:tbl>
      <w:tblPr>
        <w:tblW w:w="0" w:type="auto"/>
        <w:tblBorders>
          <w:top w:val="none" w:color="000000" w:sz="4"/>
          <w:left w:val="none" w:color="000000" w:sz="4"/>
          <w:bottom w:val="none" w:color="000000" w:sz="4"/>
          <w:right w:val="none" w:color="000000" w:sz="4"/>
          <w:insideH w:val="none"/>
          <w:insideV w:val="none"/>
        </w:tblBorders>
      </w:tblPr>
      <w:tblGrid>
        <w:gridCol w:w="769"/>
        <w:gridCol w:w="1538"/>
        <w:gridCol w:w="769"/>
        <w:gridCol w:w="1538"/>
        <w:gridCol w:w="769"/>
        <w:gridCol w:w="2924"/>
      </w:tblGrid>
      <w:tr>
        <w:tc>
          <w:tcPr>
            <w:tcW w:type="dxa" w:w="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9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河粉</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通心粉</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拉面</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粿条</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意大利粉</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刀削面</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米线</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湿面条</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乌冬面</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陈村粉</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挂面</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肠粉</w:t>
            </w:r>
          </w:p>
        </w:tc>
      </w:tr>
    </w:tbl>
    <w:p>
      <w:pPr>
        <w:pStyle w:val="null3"/>
        <w:jc w:val="both"/>
      </w:pPr>
      <w:r>
        <w:rPr>
          <w:sz w:val="21"/>
        </w:rPr>
        <w:t>11.粮油</w:t>
      </w:r>
    </w:p>
    <w:tbl>
      <w:tblPr>
        <w:tblW w:w="0" w:type="auto"/>
        <w:tblBorders>
          <w:top w:val="none" w:color="000000" w:sz="4"/>
          <w:left w:val="none" w:color="000000" w:sz="4"/>
          <w:bottom w:val="none" w:color="000000" w:sz="4"/>
          <w:right w:val="none" w:color="000000" w:sz="4"/>
          <w:insideH w:val="none"/>
          <w:insideV w:val="none"/>
        </w:tblBorders>
      </w:tblPr>
      <w:tblGrid>
        <w:gridCol w:w="770"/>
        <w:gridCol w:w="2175"/>
        <w:gridCol w:w="770"/>
        <w:gridCol w:w="2779"/>
        <w:gridCol w:w="770"/>
        <w:gridCol w:w="1042"/>
      </w:tblGrid>
      <w:tr>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大米</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粘米</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大豆油</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银丝粘米</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东北大米</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玉米油</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油粘米</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红米</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菜籽油</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顶级香米</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黑米</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花生油</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丝苗米</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茉莉香米</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米糠油</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杂粮米</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五常大米稻花香</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调和油</w:t>
            </w:r>
          </w:p>
        </w:tc>
      </w:tr>
    </w:tbl>
    <w:p>
      <w:pPr>
        <w:pStyle w:val="null3"/>
        <w:jc w:val="both"/>
      </w:pPr>
      <w:r>
        <w:rPr>
          <w:sz w:val="21"/>
        </w:rPr>
        <w:t>12.</w:t>
      </w:r>
      <w:r>
        <w:rPr>
          <w:sz w:val="21"/>
        </w:rPr>
        <w:t>烘焙类</w:t>
      </w:r>
    </w:p>
    <w:tbl>
      <w:tblPr>
        <w:tblW w:w="0" w:type="auto"/>
        <w:tblBorders>
          <w:top w:val="none" w:color="000000" w:sz="4"/>
          <w:left w:val="none" w:color="000000" w:sz="4"/>
          <w:bottom w:val="none" w:color="000000" w:sz="4"/>
          <w:right w:val="none" w:color="000000" w:sz="4"/>
          <w:insideH w:val="none"/>
          <w:insideV w:val="none"/>
        </w:tblBorders>
      </w:tblPr>
      <w:tblGrid>
        <w:gridCol w:w="1193"/>
        <w:gridCol w:w="1616"/>
        <w:gridCol w:w="951"/>
        <w:gridCol w:w="1888"/>
        <w:gridCol w:w="951"/>
        <w:gridCol w:w="1707"/>
      </w:tblGrid>
      <w:tr>
        <w:tc>
          <w:tcPr>
            <w:tcW w:type="dxa" w:w="1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吐司面包</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餐包</w:t>
            </w:r>
            <w:r>
              <w:rPr>
                <w:sz w:val="21"/>
              </w:rPr>
              <w:t>/小面包</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蛋糕</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中式糕点</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西式甜点</w:t>
            </w:r>
            <w:r>
              <w:rPr>
                <w:sz w:val="21"/>
              </w:rPr>
              <w:t>（</w:t>
            </w:r>
            <w:r>
              <w:rPr>
                <w:sz w:val="21"/>
              </w:rPr>
              <w:t>如蛋挞、泡芙）</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饼干类</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烘焙半成品</w:t>
            </w:r>
            <w:r>
              <w:rPr>
                <w:sz w:val="21"/>
              </w:rPr>
              <w:t>（</w:t>
            </w:r>
            <w:r>
              <w:rPr>
                <w:sz w:val="21"/>
              </w:rPr>
              <w:t>如蛋挞皮）</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烘焙专用原料</w:t>
            </w:r>
            <w:r>
              <w:rPr>
                <w:sz w:val="21"/>
              </w:rPr>
              <w:t>（</w:t>
            </w:r>
            <w:r>
              <w:rPr>
                <w:sz w:val="21"/>
              </w:rPr>
              <w:t>如奶油、黄油）</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bl>
    <w:p>
      <w:pPr>
        <w:pStyle w:val="null3"/>
        <w:jc w:val="both"/>
      </w:pPr>
      <w:r>
        <w:rPr>
          <w:sz w:val="21"/>
        </w:rPr>
        <w:t>1</w:t>
      </w:r>
      <w:r>
        <w:rPr>
          <w:sz w:val="21"/>
        </w:rPr>
        <w:t>3</w:t>
      </w:r>
      <w:r>
        <w:rPr>
          <w:sz w:val="21"/>
        </w:rPr>
        <w:t>.熟食</w:t>
      </w:r>
    </w:p>
    <w:tbl>
      <w:tblPr>
        <w:tblW w:w="0" w:type="auto"/>
        <w:tblBorders>
          <w:top w:val="none" w:color="000000" w:sz="4"/>
          <w:left w:val="none" w:color="000000" w:sz="4"/>
          <w:bottom w:val="none" w:color="000000" w:sz="4"/>
          <w:right w:val="none" w:color="000000" w:sz="4"/>
          <w:insideH w:val="none"/>
          <w:insideV w:val="none"/>
        </w:tblBorders>
      </w:tblPr>
      <w:tblGrid>
        <w:gridCol w:w="1193"/>
        <w:gridCol w:w="1616"/>
        <w:gridCol w:w="951"/>
        <w:gridCol w:w="1888"/>
        <w:gridCol w:w="951"/>
        <w:gridCol w:w="1707"/>
      </w:tblGrid>
      <w:tr>
        <w:tc>
          <w:tcPr>
            <w:tcW w:type="dxa" w:w="1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烧鹅</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烧骨</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卤水鸭</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烧鸭</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烧鸡</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凤爪</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烧肉</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豉油鸡</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鸭下巴</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梅叉</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盐焗鸡</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鸭／鹅脚、翅</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上叉</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猪手</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卤水肾</w:t>
            </w:r>
          </w:p>
        </w:tc>
      </w:tr>
      <w:tr>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烧排骨</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鹅肠</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猪肚</w:t>
            </w:r>
          </w:p>
        </w:tc>
      </w:tr>
    </w:tbl>
    <w:p>
      <w:pPr>
        <w:pStyle w:val="null3"/>
        <w:jc w:val="both"/>
      </w:pPr>
      <w:r>
        <w:rPr>
          <w:sz w:val="21"/>
        </w:rPr>
        <w:t>1</w:t>
      </w:r>
      <w:r>
        <w:rPr>
          <w:sz w:val="21"/>
        </w:rPr>
        <w:t>4</w:t>
      </w:r>
      <w:r>
        <w:rPr>
          <w:sz w:val="21"/>
        </w:rPr>
        <w:t>.腊味</w:t>
      </w:r>
    </w:p>
    <w:tbl>
      <w:tblPr>
        <w:tblW w:w="0" w:type="auto"/>
        <w:tblBorders>
          <w:top w:val="none" w:color="000000" w:sz="4"/>
          <w:left w:val="none" w:color="000000" w:sz="4"/>
          <w:bottom w:val="none" w:color="000000" w:sz="4"/>
          <w:right w:val="none" w:color="000000" w:sz="4"/>
          <w:insideH w:val="none"/>
          <w:insideV w:val="none"/>
        </w:tblBorders>
      </w:tblPr>
      <w:tblGrid>
        <w:gridCol w:w="1187"/>
        <w:gridCol w:w="1607"/>
        <w:gridCol w:w="1021"/>
        <w:gridCol w:w="1862"/>
        <w:gridCol w:w="931"/>
        <w:gridCol w:w="1697"/>
      </w:tblGrid>
      <w:tr>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6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0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9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腊肠</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腊肉</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湖南烟肉</w:t>
            </w:r>
          </w:p>
        </w:tc>
      </w:tr>
    </w:tbl>
    <w:p>
      <w:pPr>
        <w:pStyle w:val="null3"/>
        <w:jc w:val="both"/>
        <w:outlineLvl w:val="1"/>
      </w:pPr>
      <w:r>
        <w:rPr>
          <w:sz w:val="21"/>
          <w:b/>
        </w:rPr>
        <w:t>（二）食材质量标准</w:t>
      </w:r>
    </w:p>
    <w:p>
      <w:pPr>
        <w:pStyle w:val="null3"/>
        <w:ind w:firstLine="420"/>
        <w:jc w:val="both"/>
      </w:pPr>
      <w:r>
        <w:rPr>
          <w:sz w:val="21"/>
        </w:rPr>
        <w:t>如相关质量或执行标准有更新，则按最新的标准执行</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662"/>
        <w:gridCol w:w="1189"/>
        <w:gridCol w:w="6455"/>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采购内容</w:t>
            </w:r>
          </w:p>
        </w:tc>
        <w:tc>
          <w:tcPr>
            <w:tcW w:type="dxa" w:w="6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采购要求</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鲜畜禽肉</w:t>
            </w:r>
          </w:p>
        </w:tc>
        <w:tc>
          <w:tcPr>
            <w:tcW w:type="dxa" w:w="6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（一）整体要求</w:t>
            </w:r>
          </w:p>
          <w:p>
            <w:pPr>
              <w:pStyle w:val="null3"/>
              <w:jc w:val="both"/>
            </w:pPr>
            <w:r>
              <w:rPr>
                <w:sz w:val="21"/>
              </w:rPr>
              <w:t>1.所有产品必须符合《中华人民共和国食品安全法》及相关国家食品安全标准，保证无瘟疫、无污染、无异味、无霉烂变质。</w:t>
            </w:r>
          </w:p>
          <w:p>
            <w:pPr>
              <w:pStyle w:val="null3"/>
              <w:jc w:val="both"/>
            </w:pPr>
            <w:r>
              <w:rPr>
                <w:sz w:val="21"/>
              </w:rPr>
              <w:t>2.如中标人不能按时、保质、保量供货，由采购人自行采购，并承担采购人由此造成的经济损失和接受违约处罚。</w:t>
            </w:r>
          </w:p>
          <w:p>
            <w:pPr>
              <w:pStyle w:val="null3"/>
              <w:jc w:val="both"/>
            </w:pPr>
            <w:r>
              <w:rPr>
                <w:sz w:val="21"/>
              </w:rPr>
              <w:t>3.肉类生产企业的资质证明（首次供应时提供）：《企业法人营业执照》、《动物防疫条件合格证》、《食品</w:t>
            </w:r>
            <w:r>
              <w:rPr>
                <w:sz w:val="21"/>
              </w:rPr>
              <w:t>经营</w:t>
            </w:r>
            <w:r>
              <w:rPr>
                <w:sz w:val="21"/>
              </w:rPr>
              <w:t>许可证》</w:t>
            </w:r>
            <w:r>
              <w:rPr>
                <w:sz w:val="21"/>
              </w:rPr>
              <w:t>或</w:t>
            </w:r>
            <w:r>
              <w:rPr>
                <w:sz w:val="21"/>
              </w:rPr>
              <w:t>《食品生产许可证》</w:t>
            </w:r>
            <w:r>
              <w:rPr>
                <w:sz w:val="21"/>
              </w:rPr>
              <w:t>，</w:t>
            </w:r>
            <w:r>
              <w:rPr>
                <w:sz w:val="21"/>
              </w:rPr>
              <w:t>以及根据屠宰企业所在地政策规定应取得的定点屠宰证明</w:t>
            </w:r>
            <w:r>
              <w:rPr>
                <w:sz w:val="21"/>
              </w:rPr>
              <w:t>（</w:t>
            </w:r>
            <w:r>
              <w:rPr>
                <w:sz w:val="21"/>
              </w:rPr>
              <w:t>生猪类提供《生猪定点屠宰证书》；牛、羊、禽类根据所在省份规定提供《畜禽定点屠宰证书》或同等效力的证明文件）。</w:t>
            </w:r>
          </w:p>
          <w:p>
            <w:pPr>
              <w:pStyle w:val="null3"/>
              <w:jc w:val="both"/>
            </w:pPr>
            <w:r>
              <w:rPr>
                <w:sz w:val="21"/>
              </w:rPr>
              <w:t>4.每次交货时提供本批次产品的出厂（库）检验合格证明（随车同行）：《动物检疫合格证</w:t>
            </w:r>
            <w:r>
              <w:rPr>
                <w:sz w:val="21"/>
              </w:rPr>
              <w:t>明</w:t>
            </w:r>
            <w:r>
              <w:rPr>
                <w:sz w:val="21"/>
              </w:rPr>
              <w:t>》（原件备查）、《产品合格证》、《卫生检疫报告》及《贮存地的出入库检疫证明》（水产品适用）。</w:t>
            </w:r>
          </w:p>
          <w:p>
            <w:pPr>
              <w:pStyle w:val="null3"/>
            </w:pPr>
            <w:r>
              <w:rPr>
                <w:sz w:val="21"/>
              </w:rPr>
              <w:t>5.每批肉类必须在屠宰厂（场）进行预包装，或在包装物上标注完整可溯源的标签、标识等相关信息，预包装应当符合国家有关标准。</w:t>
            </w:r>
          </w:p>
          <w:p>
            <w:pPr>
              <w:pStyle w:val="null3"/>
            </w:pPr>
            <w:r>
              <w:rPr>
                <w:sz w:val="21"/>
              </w:rPr>
              <w:t>（二）食材标准</w:t>
            </w:r>
          </w:p>
          <w:p>
            <w:pPr>
              <w:pStyle w:val="null3"/>
              <w:jc w:val="both"/>
            </w:pPr>
            <w:r>
              <w:rPr>
                <w:sz w:val="21"/>
              </w:rPr>
              <w:t>1.鲜畜禽肉的食品安全指标应符合GB 2707-2016《食品安全国家标准</w:t>
            </w:r>
            <w:r>
              <w:rPr>
                <w:sz w:val="19"/>
              </w:rPr>
              <w:t xml:space="preserve"> </w:t>
            </w:r>
            <w:r>
              <w:rPr>
                <w:sz w:val="21"/>
              </w:rPr>
              <w:t>鲜（冻）畜、禽产品》、</w:t>
            </w:r>
            <w:r>
              <w:rPr>
                <w:sz w:val="21"/>
              </w:rPr>
              <w:t>GB 16869-2005《鲜、冻禽产品》的要求。国家有定点屠宰、检验检疫要求的品种，应来自定点屠宰厂出品，有国家规定的动物检疫合格证明及验讫印章（猪肉还需有肉品品质检验合格证及验讫印章）。</w:t>
            </w:r>
          </w:p>
          <w:p>
            <w:pPr>
              <w:pStyle w:val="null3"/>
              <w:jc w:val="both"/>
            </w:pPr>
            <w:r>
              <w:rPr>
                <w:sz w:val="21"/>
              </w:rPr>
              <w:t>2.各类鲜畜禽肉的感官及关键指标见表1和表2。</w:t>
            </w:r>
          </w:p>
          <w:p>
            <w:pPr>
              <w:pStyle w:val="null3"/>
              <w:jc w:val="both"/>
            </w:pPr>
            <w:r>
              <w:rPr>
                <w:sz w:val="21"/>
              </w:rPr>
              <w:t>表</w:t>
            </w:r>
            <w:r>
              <w:rPr>
                <w:sz w:val="21"/>
              </w:rPr>
              <w:t>1 感官要求</w:t>
            </w:r>
          </w:p>
          <w:tbl>
            <w:tblPr>
              <w:tblBorders>
                <w:top w:val="none" w:color="000000" w:sz="4"/>
                <w:left w:val="none" w:color="000000" w:sz="4"/>
                <w:bottom w:val="none" w:color="000000" w:sz="4"/>
                <w:right w:val="none" w:color="000000" w:sz="4"/>
                <w:insideH w:val="none"/>
                <w:insideV w:val="none"/>
              </w:tblBorders>
            </w:tblPr>
            <w:tblGrid>
              <w:gridCol w:w="660"/>
              <w:gridCol w:w="720"/>
              <w:gridCol w:w="1620"/>
              <w:gridCol w:w="1425"/>
              <w:gridCol w:w="1785"/>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1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鲜肉</w:t>
                  </w:r>
                </w:p>
              </w:tc>
              <w:tc>
                <w:tcPr>
                  <w:tcW w:type="dxa" w:w="1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冻肉</w:t>
                  </w:r>
                </w:p>
              </w:tc>
              <w:tc>
                <w:tcPr>
                  <w:tcW w:type="dxa" w:w="1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参考依据</w:t>
                  </w:r>
                </w:p>
              </w:tc>
            </w:tr>
            <w:tr>
              <w:tc>
                <w:tcPr>
                  <w:tcW w:type="dxa" w:w="6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肌肉色泽鲜红或深红，有光泽；脂肪呈乳白色或粉白色</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肌肉有色泽，色鲜红；脂肪呈乳白，无霉点</w:t>
                  </w:r>
                </w:p>
              </w:tc>
              <w:tc>
                <w:tcPr>
                  <w:tcW w:type="dxa" w:w="1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GB</w:t>
                  </w:r>
                  <w:r>
                    <w:rPr>
                      <w:sz w:val="19"/>
                    </w:rPr>
                    <w:t xml:space="preserve"> </w:t>
                  </w:r>
                  <w:r>
                    <w:rPr>
                      <w:sz w:val="21"/>
                    </w:rPr>
                    <w:t>2707-2016《食品安全国家标准鲜（冻）畜、禽产品》、</w:t>
                  </w:r>
                </w:p>
                <w:p>
                  <w:pPr>
                    <w:pStyle w:val="null3"/>
                    <w:jc w:val="both"/>
                  </w:pPr>
                  <w:r>
                    <w:rPr>
                      <w:sz w:val="21"/>
                    </w:rPr>
                    <w:t>GB/T9959.1-2019《鲜、冻猪肉及猪副产品第1部分：片猪肉》、GB/T 9959.2-2008《分割鲜、冻猪瘦肉》</w:t>
                  </w: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黏度</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外表微干或微湿润，不粘手</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外表及切面湿润，不粘手</w:t>
                  </w:r>
                </w:p>
              </w:tc>
              <w:tc>
                <w:tcPr>
                  <w:tcW w:type="dxa" w:w="1785"/>
                  <w:vMerge/>
                  <w:tcBorders>
                    <w:top w:val="none" w:color="000000" w:sz="4"/>
                    <w:left w:val="none" w:color="000000" w:sz="4"/>
                    <w:bottom w:val="single" w:color="000000" w:sz="4"/>
                    <w:right w:val="single" w:color="000000" w:sz="4"/>
                  </w:tcBorders>
                </w:tcP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弹性</w:t>
                  </w:r>
                </w:p>
                <w:p>
                  <w:pPr>
                    <w:pStyle w:val="null3"/>
                    <w:jc w:val="center"/>
                  </w:pPr>
                  <w:r>
                    <w:rPr>
                      <w:sz w:val="21"/>
                    </w:rPr>
                    <w:t>（组织状态）</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指压后的凹陷立即恢复；瘦肉肉质紧密，有坚实感</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肉质紧密，有坚实感</w:t>
                  </w:r>
                </w:p>
              </w:tc>
              <w:tc>
                <w:tcPr>
                  <w:tcW w:type="dxa" w:w="1785"/>
                  <w:vMerge/>
                  <w:tcBorders>
                    <w:top w:val="none" w:color="000000" w:sz="4"/>
                    <w:left w:val="none" w:color="000000" w:sz="4"/>
                    <w:bottom w:val="single" w:color="000000" w:sz="4"/>
                    <w:right w:val="single" w:color="000000" w:sz="4"/>
                  </w:tcBorders>
                </w:tcP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气味</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具有鲜猪肉正常气味，无异味</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具有冻猪肉正常气味，无异味</w:t>
                  </w:r>
                </w:p>
              </w:tc>
              <w:tc>
                <w:tcPr>
                  <w:tcW w:type="dxa" w:w="1785"/>
                  <w:vMerge/>
                  <w:tcBorders>
                    <w:top w:val="none" w:color="000000" w:sz="4"/>
                    <w:left w:val="none" w:color="000000" w:sz="4"/>
                    <w:bottom w:val="single" w:color="000000" w:sz="4"/>
                    <w:right w:val="single" w:color="000000" w:sz="4"/>
                  </w:tcBorders>
                </w:tcP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肉眼可见异物</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无正常视力可见外来异物</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无正常视力可见外来异物</w:t>
                  </w:r>
                </w:p>
              </w:tc>
              <w:tc>
                <w:tcPr>
                  <w:tcW w:type="dxa" w:w="1785"/>
                  <w:vMerge/>
                  <w:tcBorders>
                    <w:top w:val="none" w:color="000000" w:sz="4"/>
                    <w:left w:val="none" w:color="000000" w:sz="4"/>
                    <w:bottom w:val="single" w:color="000000" w:sz="4"/>
                    <w:right w:val="single" w:color="000000" w:sz="4"/>
                  </w:tcBorders>
                </w:tcP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煮沸后肉汤</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煮沸后肉汤透明澄清，脂肪团聚于液面，具有香味</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煮沸后肉汤透明澄清，脂肪团聚于液面，无异味</w:t>
                  </w:r>
                </w:p>
              </w:tc>
              <w:tc>
                <w:tcPr>
                  <w:tcW w:type="dxa" w:w="1785"/>
                  <w:vMerge/>
                  <w:tcBorders>
                    <w:top w:val="none" w:color="000000" w:sz="4"/>
                    <w:left w:val="none" w:color="000000" w:sz="4"/>
                    <w:bottom w:val="single" w:color="000000" w:sz="4"/>
                    <w:right w:val="single" w:color="000000" w:sz="4"/>
                  </w:tcBorders>
                </w:tcPr>
                <w:p/>
              </w:tc>
            </w:tr>
            <w:tr>
              <w:tc>
                <w:tcPr>
                  <w:tcW w:type="dxa" w:w="6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肌肉有光泽，色鲜红或深红；脂肪呈乳白色或淡黄色</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肌肉色鲜红，有光泽；脂肪呈乳白色或微黄色</w:t>
                  </w:r>
                </w:p>
              </w:tc>
              <w:tc>
                <w:tcPr>
                  <w:tcW w:type="dxa" w:w="1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GB</w:t>
                  </w:r>
                  <w:r>
                    <w:rPr>
                      <w:sz w:val="19"/>
                    </w:rPr>
                    <w:t xml:space="preserve"> </w:t>
                  </w:r>
                  <w:r>
                    <w:rPr>
                      <w:sz w:val="21"/>
                    </w:rPr>
                    <w:t>2707-2016《食品安全国家标准 鲜（冻）畜、禽产品》、</w:t>
                  </w:r>
                </w:p>
                <w:p>
                  <w:pPr>
                    <w:pStyle w:val="null3"/>
                    <w:jc w:val="both"/>
                  </w:pPr>
                  <w:r>
                    <w:rPr>
                      <w:sz w:val="21"/>
                    </w:rPr>
                    <w:t>GB/T 17238-2022《鲜、冻分割牛肉》</w:t>
                  </w: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粘度</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外表微干或有风干膜，不粘手</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肌肉外表微干，或有风干膜，或外表湿润，不粘手</w:t>
                  </w:r>
                </w:p>
              </w:tc>
              <w:tc>
                <w:tcPr>
                  <w:tcW w:type="dxa" w:w="1785"/>
                  <w:vMerge/>
                  <w:tcBorders>
                    <w:top w:val="none" w:color="000000" w:sz="4"/>
                    <w:left w:val="none" w:color="000000" w:sz="4"/>
                    <w:bottom w:val="single" w:color="000000" w:sz="4"/>
                    <w:right w:val="single" w:color="000000" w:sz="4"/>
                  </w:tcBorders>
                </w:tcP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弹性</w:t>
                  </w:r>
                </w:p>
                <w:p>
                  <w:pPr>
                    <w:pStyle w:val="null3"/>
                    <w:jc w:val="center"/>
                  </w:pPr>
                  <w:r>
                    <w:rPr>
                      <w:sz w:val="21"/>
                    </w:rPr>
                    <w:t>（组织状态）</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指压后的凹陷可恢复</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肌肉结构紧密，有坚实感，肌纤维韧性强</w:t>
                  </w:r>
                </w:p>
              </w:tc>
              <w:tc>
                <w:tcPr>
                  <w:tcW w:type="dxa" w:w="1785"/>
                  <w:vMerge/>
                  <w:tcBorders>
                    <w:top w:val="none" w:color="000000" w:sz="4"/>
                    <w:left w:val="none" w:color="000000" w:sz="4"/>
                    <w:bottom w:val="single" w:color="000000" w:sz="4"/>
                    <w:right w:val="single" w:color="000000" w:sz="4"/>
                  </w:tcBorders>
                </w:tcP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气味</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具有鲜牛肉正常的气味</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具有牛肉正常的气味</w:t>
                  </w:r>
                </w:p>
              </w:tc>
              <w:tc>
                <w:tcPr>
                  <w:tcW w:type="dxa" w:w="1785"/>
                  <w:vMerge/>
                  <w:tcBorders>
                    <w:top w:val="none" w:color="000000" w:sz="4"/>
                    <w:left w:val="none" w:color="000000" w:sz="4"/>
                    <w:bottom w:val="single" w:color="000000" w:sz="4"/>
                    <w:right w:val="single" w:color="000000" w:sz="4"/>
                  </w:tcBorders>
                </w:tcP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肉眼可见异物</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不得带伤斑、血瘀、血污、碎骨、病变组织、淋巴结、脓包、浮毛或其他杂质</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不得带伤斑、血瘀、血污、碎骨、病变组织、淋巴结、脓包、浮毛或其他杂质</w:t>
                  </w:r>
                </w:p>
              </w:tc>
              <w:tc>
                <w:tcPr>
                  <w:tcW w:type="dxa" w:w="1785"/>
                  <w:vMerge/>
                  <w:tcBorders>
                    <w:top w:val="none" w:color="000000" w:sz="4"/>
                    <w:left w:val="none" w:color="000000" w:sz="4"/>
                    <w:bottom w:val="single" w:color="000000" w:sz="4"/>
                    <w:right w:val="single" w:color="000000" w:sz="4"/>
                  </w:tcBorders>
                </w:tcP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煮沸后肉汤</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透明澄清，脂肪团聚于液面，具特有香味</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透明澄清，脂肪团聚于液面，具有牛肉汤固有的香味和鲜味</w:t>
                  </w:r>
                </w:p>
              </w:tc>
              <w:tc>
                <w:tcPr>
                  <w:tcW w:type="dxa" w:w="1785"/>
                  <w:vMerge/>
                  <w:tcBorders>
                    <w:top w:val="none" w:color="000000" w:sz="4"/>
                    <w:left w:val="none" w:color="000000" w:sz="4"/>
                    <w:bottom w:val="single" w:color="000000" w:sz="4"/>
                    <w:right w:val="single" w:color="000000" w:sz="4"/>
                  </w:tcBorders>
                </w:tcPr>
                <w:p/>
              </w:tc>
            </w:tr>
            <w:tr>
              <w:tc>
                <w:tcPr>
                  <w:tcW w:type="dxa" w:w="6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羊肉</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肌肉色泽浅红、鲜红或深红，有光泽；脂肪呈乳白色、淡黄色或黄色</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肌肉有光泽，色泽鲜艳；脂肪呈乳白色、淡黄色或黄色</w:t>
                  </w:r>
                </w:p>
              </w:tc>
              <w:tc>
                <w:tcPr>
                  <w:tcW w:type="dxa" w:w="1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GB</w:t>
                  </w:r>
                  <w:r>
                    <w:rPr>
                      <w:sz w:val="19"/>
                    </w:rPr>
                    <w:t xml:space="preserve"> </w:t>
                  </w:r>
                  <w:r>
                    <w:rPr>
                      <w:sz w:val="21"/>
                    </w:rPr>
                    <w:t>2707-2016《食品安全国家标准 鲜（冻）畜、禽产品》、GB/T 9961-2008《鲜、冻胴体羊肉》</w:t>
                  </w:r>
                  <w:r>
                    <w:rPr>
                      <w:sz w:val="21"/>
                    </w:rPr>
                    <w:t xml:space="preserve"> </w:t>
                  </w:r>
                  <w:r>
                    <w:rPr>
                      <w:sz w:val="21"/>
                    </w:rPr>
                    <w:t>、</w:t>
                  </w:r>
                  <w:r>
                    <w:rPr>
                      <w:sz w:val="21"/>
                    </w:rPr>
                    <w:t>GB/T 9961-2026《鲜、冻羊肉》</w:t>
                  </w: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粘度</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外表微干或有风干膜，切面湿润，不粘手</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表面微湿润，不粘手</w:t>
                  </w:r>
                </w:p>
              </w:tc>
              <w:tc>
                <w:tcPr>
                  <w:tcW w:type="dxa" w:w="1785"/>
                  <w:vMerge/>
                  <w:tcBorders>
                    <w:top w:val="none" w:color="000000" w:sz="4"/>
                    <w:left w:val="none" w:color="000000" w:sz="4"/>
                    <w:bottom w:val="single" w:color="000000" w:sz="4"/>
                    <w:right w:val="single" w:color="000000" w:sz="4"/>
                  </w:tcBorders>
                </w:tcP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弹性</w:t>
                  </w:r>
                </w:p>
                <w:p>
                  <w:pPr>
                    <w:pStyle w:val="null3"/>
                    <w:jc w:val="center"/>
                  </w:pPr>
                  <w:r>
                    <w:rPr>
                      <w:sz w:val="21"/>
                    </w:rPr>
                    <w:t>（组织状态）</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肌纤维致密，有韧性，富有弹性</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肉质紧密，有坚实感，肌纤维致密有韧性</w:t>
                  </w:r>
                </w:p>
              </w:tc>
              <w:tc>
                <w:tcPr>
                  <w:tcW w:type="dxa" w:w="1785"/>
                  <w:vMerge/>
                  <w:tcBorders>
                    <w:top w:val="none" w:color="000000" w:sz="4"/>
                    <w:left w:val="none" w:color="000000" w:sz="4"/>
                    <w:bottom w:val="single" w:color="000000" w:sz="4"/>
                    <w:right w:val="single" w:color="000000" w:sz="4"/>
                  </w:tcBorders>
                </w:tcP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气味</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具有新鲜羊肉固有气味，无异味</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具有羊肉正常气味，无异味</w:t>
                  </w:r>
                </w:p>
              </w:tc>
              <w:tc>
                <w:tcPr>
                  <w:tcW w:type="dxa" w:w="1785"/>
                  <w:vMerge/>
                  <w:tcBorders>
                    <w:top w:val="none" w:color="000000" w:sz="4"/>
                    <w:left w:val="none" w:color="000000" w:sz="4"/>
                    <w:bottom w:val="single" w:color="000000" w:sz="4"/>
                    <w:right w:val="single" w:color="000000" w:sz="4"/>
                  </w:tcBorders>
                </w:tcP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肉眼可见异物</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不得检出</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不得检出</w:t>
                  </w:r>
                </w:p>
              </w:tc>
              <w:tc>
                <w:tcPr>
                  <w:tcW w:type="dxa" w:w="1785"/>
                  <w:vMerge/>
                  <w:tcBorders>
                    <w:top w:val="none" w:color="000000" w:sz="4"/>
                    <w:left w:val="none" w:color="000000" w:sz="4"/>
                    <w:bottom w:val="single" w:color="000000" w:sz="4"/>
                    <w:right w:val="single" w:color="000000" w:sz="4"/>
                  </w:tcBorders>
                </w:tcP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煮沸后肉汤</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透明澄清，脂肪团聚于液面，具特有香味</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透明澄清，脂肪团聚于液面，无异味</w:t>
                  </w:r>
                </w:p>
              </w:tc>
              <w:tc>
                <w:tcPr>
                  <w:tcW w:type="dxa" w:w="1785"/>
                  <w:vMerge/>
                  <w:tcBorders>
                    <w:top w:val="none" w:color="000000" w:sz="4"/>
                    <w:left w:val="none" w:color="000000" w:sz="4"/>
                    <w:bottom w:val="single" w:color="000000" w:sz="4"/>
                    <w:right w:val="single" w:color="000000" w:sz="4"/>
                  </w:tcBorders>
                </w:tcPr>
                <w:p/>
              </w:tc>
            </w:tr>
            <w:tr>
              <w:tc>
                <w:tcPr>
                  <w:tcW w:type="dxa" w:w="6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禽肉</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表皮和肌肉切面有光泽，具有禽类品种应有的色泽</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表皮和肌肉切面有光泽，具有禽类品种应有的色泽</w:t>
                  </w:r>
                </w:p>
              </w:tc>
              <w:tc>
                <w:tcPr>
                  <w:tcW w:type="dxa" w:w="1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GB</w:t>
                  </w:r>
                  <w:r>
                    <w:rPr>
                      <w:sz w:val="19"/>
                    </w:rPr>
                    <w:t xml:space="preserve"> </w:t>
                  </w:r>
                  <w:r>
                    <w:rPr>
                      <w:sz w:val="21"/>
                    </w:rPr>
                    <w:t>2707-2016《食品安全国家标准 鲜（冻）畜、禽产品》、GB 16869-2005《鲜、冻禽产品》</w:t>
                  </w: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弹性</w:t>
                  </w:r>
                </w:p>
                <w:p>
                  <w:pPr>
                    <w:pStyle w:val="null3"/>
                    <w:jc w:val="center"/>
                  </w:pPr>
                  <w:r>
                    <w:rPr>
                      <w:sz w:val="21"/>
                    </w:rPr>
                    <w:t>（组织状态）</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肌肉富有弹性，指压后凹陷部位立即恢复原状</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肌肉指压后凹陷部位恢复较慢，不易完全恢复原状</w:t>
                  </w:r>
                </w:p>
              </w:tc>
              <w:tc>
                <w:tcPr>
                  <w:tcW w:type="dxa" w:w="1785"/>
                  <w:vMerge/>
                  <w:tcBorders>
                    <w:top w:val="none" w:color="000000" w:sz="4"/>
                    <w:left w:val="none" w:color="000000" w:sz="4"/>
                    <w:bottom w:val="single" w:color="000000" w:sz="4"/>
                    <w:right w:val="single" w:color="000000" w:sz="4"/>
                  </w:tcBorders>
                </w:tcP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气味</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具有禽类品种应有的气味，无异味</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具有禽类品种应有的气味，无异味</w:t>
                  </w:r>
                </w:p>
              </w:tc>
              <w:tc>
                <w:tcPr>
                  <w:tcW w:type="dxa" w:w="1785"/>
                  <w:vMerge/>
                  <w:tcBorders>
                    <w:top w:val="none" w:color="000000" w:sz="4"/>
                    <w:left w:val="none" w:color="000000" w:sz="4"/>
                    <w:bottom w:val="single" w:color="000000" w:sz="4"/>
                    <w:right w:val="single" w:color="000000" w:sz="4"/>
                  </w:tcBorders>
                </w:tcP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肉眼可见异物</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无正常视力可见外来异物，不得检出大于</w:t>
                  </w:r>
                  <w:r>
                    <w:rPr>
                      <w:sz w:val="21"/>
                    </w:rPr>
                    <w:t>1cm</w:t>
                  </w:r>
                  <w:r>
                    <w:rPr>
                      <w:sz w:val="21"/>
                      <w:vertAlign w:val="superscript"/>
                    </w:rPr>
                    <w:t>2</w:t>
                  </w:r>
                  <w:r>
                    <w:rPr>
                      <w:sz w:val="21"/>
                    </w:rPr>
                    <w:t>的淤血面积（</w:t>
                  </w:r>
                  <w:r>
                    <w:rPr>
                      <w:sz w:val="21"/>
                    </w:rPr>
                    <w:t>S），0.5cm</w:t>
                  </w:r>
                  <w:r>
                    <w:rPr>
                      <w:sz w:val="21"/>
                      <w:vertAlign w:val="superscript"/>
                    </w:rPr>
                    <w:t>2</w:t>
                  </w:r>
                  <w:r>
                    <w:rPr>
                      <w:sz w:val="21"/>
                    </w:rPr>
                    <w:t>＜</w:t>
                  </w:r>
                  <w:r>
                    <w:rPr>
                      <w:sz w:val="21"/>
                    </w:rPr>
                    <w:t>S≤1cm2的片数不得超过抽样量的2%；每10kg中，长度超过12mm的羽毛或直径超过2mm的羽毛根不得超过1根</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无正常视力可见外来异物，不得检出大于</w:t>
                  </w:r>
                  <w:r>
                    <w:rPr>
                      <w:sz w:val="21"/>
                    </w:rPr>
                    <w:t>1cm</w:t>
                  </w:r>
                  <w:r>
                    <w:rPr>
                      <w:sz w:val="21"/>
                      <w:vertAlign w:val="superscript"/>
                    </w:rPr>
                    <w:t>2</w:t>
                  </w:r>
                  <w:r>
                    <w:rPr>
                      <w:sz w:val="21"/>
                    </w:rPr>
                    <w:t>的淤血面积（</w:t>
                  </w:r>
                  <w:r>
                    <w:rPr>
                      <w:sz w:val="21"/>
                    </w:rPr>
                    <w:t>S），0.5cm</w:t>
                  </w:r>
                  <w:r>
                    <w:rPr>
                      <w:sz w:val="21"/>
                      <w:vertAlign w:val="superscript"/>
                    </w:rPr>
                    <w:t>2</w:t>
                  </w:r>
                  <w:r>
                    <w:rPr>
                      <w:sz w:val="21"/>
                    </w:rPr>
                    <w:t>＜</w:t>
                  </w:r>
                  <w:r>
                    <w:rPr>
                      <w:sz w:val="21"/>
                    </w:rPr>
                    <w:t>S≤1cm2的片数不得超过抽样量的2%；每10kg中，长度超过12mm的羽毛或直径超过2mm的羽毛根不得超过1根</w:t>
                  </w:r>
                </w:p>
              </w:tc>
              <w:tc>
                <w:tcPr>
                  <w:tcW w:type="dxa" w:w="1785"/>
                  <w:vMerge/>
                  <w:tcBorders>
                    <w:top w:val="none" w:color="000000" w:sz="4"/>
                    <w:left w:val="none" w:color="000000" w:sz="4"/>
                    <w:bottom w:val="single" w:color="000000" w:sz="4"/>
                    <w:right w:val="single" w:color="000000" w:sz="4"/>
                  </w:tcBorders>
                </w:tcPr>
                <w:p/>
              </w:tc>
            </w:tr>
            <w:tr>
              <w:tc>
                <w:tcPr>
                  <w:tcW w:type="dxa" w:w="660"/>
                  <w:vMerge/>
                  <w:tcBorders>
                    <w:top w:val="none" w:color="000000" w:sz="4"/>
                    <w:left w:val="single" w:color="000000" w:sz="4"/>
                    <w:bottom w:val="single" w:color="000000" w:sz="4"/>
                    <w:right w:val="single" w:color="000000" w:sz="4"/>
                  </w:tcBorders>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加热后肉汤</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透明澄清，脂肪团聚于液面，具有禽类品种应有的滋味</w:t>
                  </w: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透明澄清，脂肪团聚于液面，具有禽类品种应有的滋味</w:t>
                  </w:r>
                </w:p>
              </w:tc>
              <w:tc>
                <w:tcPr>
                  <w:tcW w:type="dxa" w:w="1785"/>
                  <w:vMerge/>
                  <w:tcBorders>
                    <w:top w:val="none" w:color="000000" w:sz="4"/>
                    <w:left w:val="none" w:color="000000" w:sz="4"/>
                    <w:bottom w:val="single" w:color="000000" w:sz="4"/>
                    <w:right w:val="single" w:color="000000" w:sz="4"/>
                  </w:tcBorders>
                </w:tcPr>
                <w:p/>
              </w:tc>
            </w:tr>
          </w:tbl>
          <w:p>
            <w:pPr>
              <w:pStyle w:val="null3"/>
              <w:jc w:val="both"/>
            </w:pPr>
            <w:r>
              <w:rPr>
                <w:sz w:val="21"/>
              </w:rPr>
              <w:t>表</w:t>
            </w:r>
            <w:r>
              <w:rPr>
                <w:sz w:val="21"/>
              </w:rPr>
              <w:t>2鲜、冻畜禽肉关键技术指标</w:t>
            </w:r>
          </w:p>
          <w:tbl>
            <w:tblPr>
              <w:tblBorders>
                <w:top w:val="none" w:color="000000" w:sz="4"/>
                <w:left w:val="none" w:color="000000" w:sz="4"/>
                <w:bottom w:val="none" w:color="000000" w:sz="4"/>
                <w:right w:val="none" w:color="000000" w:sz="4"/>
                <w:insideH w:val="none"/>
                <w:insideV w:val="none"/>
              </w:tblBorders>
            </w:tblPr>
            <w:tblGrid>
              <w:gridCol w:w="1010"/>
              <w:gridCol w:w="1884"/>
              <w:gridCol w:w="1025"/>
              <w:gridCol w:w="2321"/>
            </w:tblGrid>
            <w:tr>
              <w:tc>
                <w:tcPr>
                  <w:tcW w:type="dxa" w:w="10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1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w:t>
                  </w:r>
                </w:p>
              </w:tc>
              <w:tc>
                <w:tcPr>
                  <w:tcW w:type="dxa" w:w="2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检验方法</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畜禽肉</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挥发性盐基氮</w:t>
                  </w:r>
                  <w:r>
                    <w:rPr>
                      <w:sz w:val="21"/>
                    </w:rPr>
                    <w:t>/（mg/100g）</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2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GB</w:t>
                  </w:r>
                  <w:r>
                    <w:rPr>
                      <w:sz w:val="19"/>
                    </w:rPr>
                    <w:t xml:space="preserve"> </w:t>
                  </w:r>
                  <w:r>
                    <w:rPr>
                      <w:sz w:val="21"/>
                    </w:rPr>
                    <w:t>5009.228-2016《食品安全国家标准</w:t>
                  </w:r>
                  <w:r>
                    <w:rPr>
                      <w:sz w:val="19"/>
                    </w:rPr>
                    <w:t xml:space="preserve"> </w:t>
                  </w:r>
                  <w:r>
                    <w:rPr>
                      <w:sz w:val="21"/>
                    </w:rPr>
                    <w:t>食品中挥发性盐基氮的测定》</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c>
                <w:tcPr>
                  <w:tcW w:type="dxa" w:w="18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水分含量</w:t>
                  </w:r>
                  <w:r>
                    <w:rPr>
                      <w:sz w:val="21"/>
                    </w:rPr>
                    <w:t>/%</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≤76.0</w:t>
                  </w:r>
                </w:p>
              </w:tc>
              <w:tc>
                <w:tcPr>
                  <w:tcW w:type="dxa" w:w="2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GB 18394-2020《畜禽肉水分限量》</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1884"/>
                  <w:vMerge/>
                  <w:tcBorders>
                    <w:top w:val="none" w:color="000000" w:sz="4"/>
                    <w:left w:val="non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≤77.0</w:t>
                  </w:r>
                </w:p>
              </w:tc>
              <w:tc>
                <w:tcPr>
                  <w:tcW w:type="dxa" w:w="2321"/>
                  <w:vMerge/>
                  <w:tcBorders>
                    <w:top w:val="none" w:color="000000" w:sz="4"/>
                    <w:left w:val="none" w:color="000000" w:sz="4"/>
                    <w:bottom w:val="single" w:color="000000" w:sz="4"/>
                    <w:right w:val="single" w:color="000000" w:sz="4"/>
                  </w:tcBorders>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羊肉</w:t>
                  </w:r>
                </w:p>
              </w:tc>
              <w:tc>
                <w:tcPr>
                  <w:tcW w:type="dxa" w:w="1884"/>
                  <w:vMerge/>
                  <w:tcBorders>
                    <w:top w:val="none" w:color="000000" w:sz="4"/>
                    <w:left w:val="non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≤78.0</w:t>
                  </w:r>
                </w:p>
              </w:tc>
              <w:tc>
                <w:tcPr>
                  <w:tcW w:type="dxa" w:w="2321"/>
                  <w:vMerge/>
                  <w:tcBorders>
                    <w:top w:val="none" w:color="000000" w:sz="4"/>
                    <w:left w:val="none" w:color="000000" w:sz="4"/>
                    <w:bottom w:val="single" w:color="000000" w:sz="4"/>
                    <w:right w:val="single" w:color="000000" w:sz="4"/>
                  </w:tcBorders>
                </w:tcP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鸡肉</w:t>
                  </w:r>
                </w:p>
              </w:tc>
              <w:tc>
                <w:tcPr>
                  <w:tcW w:type="dxa" w:w="1884"/>
                  <w:vMerge/>
                  <w:tcBorders>
                    <w:top w:val="none" w:color="000000" w:sz="4"/>
                    <w:left w:val="none" w:color="000000" w:sz="4"/>
                    <w:bottom w:val="single" w:color="000000" w:sz="4"/>
                    <w:right w:val="single" w:color="000000" w:sz="4"/>
                  </w:tcBorders>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≤77.0</w:t>
                  </w:r>
                </w:p>
              </w:tc>
              <w:tc>
                <w:tcPr>
                  <w:tcW w:type="dxa" w:w="2321"/>
                  <w:vMerge/>
                  <w:tcBorders>
                    <w:top w:val="none" w:color="000000" w:sz="4"/>
                    <w:left w:val="none" w:color="000000" w:sz="4"/>
                    <w:bottom w:val="single" w:color="000000" w:sz="4"/>
                    <w:right w:val="single" w:color="000000" w:sz="4"/>
                  </w:tcBorders>
                </w:tcPr>
                <w:p/>
              </w:tc>
            </w:tr>
            <w:tr>
              <w:tc>
                <w:tcPr>
                  <w:tcW w:type="dxa" w:w="10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鲜禽肉</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菌落总数</w:t>
                  </w:r>
                  <w:r>
                    <w:rPr>
                      <w:sz w:val="21"/>
                    </w:rPr>
                    <w:t>/（cfu/g）</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≤1000000</w:t>
                  </w:r>
                </w:p>
              </w:tc>
              <w:tc>
                <w:tcPr>
                  <w:tcW w:type="dxa" w:w="2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GB/T 4789.2-2022《食品安全国家标准</w:t>
                  </w:r>
                  <w:r>
                    <w:rPr>
                      <w:sz w:val="19"/>
                    </w:rPr>
                    <w:t xml:space="preserve"> </w:t>
                  </w:r>
                  <w:r>
                    <w:rPr>
                      <w:sz w:val="21"/>
                    </w:rPr>
                    <w:t>食品微生物学检验菌落总数测定》</w:t>
                  </w:r>
                </w:p>
              </w:tc>
            </w:tr>
            <w:tr>
              <w:tc>
                <w:tcPr>
                  <w:tcW w:type="dxa" w:w="1010"/>
                  <w:vMerge/>
                  <w:tcBorders>
                    <w:top w:val="none" w:color="000000" w:sz="4"/>
                    <w:left w:val="single" w:color="000000" w:sz="4"/>
                    <w:bottom w:val="single" w:color="000000" w:sz="4"/>
                    <w:right w:val="single" w:color="000000" w:sz="4"/>
                  </w:tcBorders>
                </w:tcP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大肠菌群</w:t>
                  </w:r>
                  <w:r>
                    <w:rPr>
                      <w:sz w:val="21"/>
                    </w:rPr>
                    <w:t>/（MPN/100g）</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≤10000</w:t>
                  </w:r>
                </w:p>
              </w:tc>
              <w:tc>
                <w:tcPr>
                  <w:tcW w:type="dxa" w:w="2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GB 4789.3-2025《食品安全国家标准</w:t>
                  </w:r>
                  <w:r>
                    <w:rPr>
                      <w:sz w:val="19"/>
                    </w:rPr>
                    <w:t xml:space="preserve"> </w:t>
                  </w:r>
                  <w:r>
                    <w:rPr>
                      <w:sz w:val="21"/>
                    </w:rPr>
                    <w:t>食品微生物学检验大肠菌群计数》</w:t>
                  </w:r>
                </w:p>
              </w:tc>
            </w:tr>
            <w:tr>
              <w:tc>
                <w:tcPr>
                  <w:tcW w:type="dxa" w:w="10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冻禽肉</w:t>
                  </w: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菌落总数</w:t>
                  </w:r>
                  <w:r>
                    <w:rPr>
                      <w:sz w:val="21"/>
                    </w:rPr>
                    <w:t>/（cfu/g）</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≤500000</w:t>
                  </w:r>
                </w:p>
              </w:tc>
              <w:tc>
                <w:tcPr>
                  <w:tcW w:type="dxa" w:w="2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GB/T 4789.2-2022《食品安全国家标准</w:t>
                  </w:r>
                  <w:r>
                    <w:rPr>
                      <w:sz w:val="19"/>
                    </w:rPr>
                    <w:t xml:space="preserve"> </w:t>
                  </w:r>
                  <w:r>
                    <w:rPr>
                      <w:sz w:val="21"/>
                    </w:rPr>
                    <w:t>食品微生物学检验菌落总数测定》</w:t>
                  </w:r>
                </w:p>
              </w:tc>
            </w:tr>
            <w:tr>
              <w:tc>
                <w:tcPr>
                  <w:tcW w:type="dxa" w:w="1010"/>
                  <w:vMerge/>
                  <w:tcBorders>
                    <w:top w:val="none" w:color="000000" w:sz="4"/>
                    <w:left w:val="single" w:color="000000" w:sz="4"/>
                    <w:bottom w:val="single" w:color="000000" w:sz="4"/>
                    <w:right w:val="single" w:color="000000" w:sz="4"/>
                  </w:tcBorders>
                </w:tcPr>
                <w:p/>
              </w:tc>
              <w:tc>
                <w:tcPr>
                  <w:tcW w:type="dxa" w:w="1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大肠菌群</w:t>
                  </w:r>
                  <w:r>
                    <w:rPr>
                      <w:sz w:val="21"/>
                    </w:rPr>
                    <w:t>/（MPN/100g）</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≤5000</w:t>
                  </w:r>
                </w:p>
              </w:tc>
              <w:tc>
                <w:tcPr>
                  <w:tcW w:type="dxa" w:w="2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GB 4789.3-2025《食品安全国家标准</w:t>
                  </w:r>
                  <w:r>
                    <w:rPr>
                      <w:sz w:val="19"/>
                    </w:rPr>
                    <w:t xml:space="preserve"> </w:t>
                  </w:r>
                  <w:r>
                    <w:rPr>
                      <w:sz w:val="21"/>
                    </w:rPr>
                    <w:t>食品微生物学检验大肠菌群计数》</w:t>
                  </w:r>
                </w:p>
              </w:tc>
            </w:tr>
          </w:tbl>
          <w:p>
            <w:pPr>
              <w:pStyle w:val="null3"/>
              <w:jc w:val="both"/>
            </w:p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鲜活水产品</w:t>
            </w:r>
          </w:p>
        </w:tc>
        <w:tc>
          <w:tcPr>
            <w:tcW w:type="dxa" w:w="6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鲜鱼：体表粘液透明、滑而不粘，气味正常，鳃盖紧闭，淡水鱼鳃鲜红或粉红，海水鱼鳃紫或紫红色；鱼眼澄清透明，眼球突出；鱼鳞完整，不易脱落；鱼腹发白，不膨胀；鱼体肌肉有弹性，不易压出凹陷或凹陷能迅速复平。</w:t>
            </w:r>
          </w:p>
          <w:p>
            <w:pPr>
              <w:pStyle w:val="null3"/>
              <w:jc w:val="both"/>
            </w:pPr>
            <w:r>
              <w:rPr>
                <w:sz w:val="21"/>
              </w:rPr>
              <w:t>2.鲜虾：头尾完整，虾身较挺，呈白色，半透明不发红，外壳有光泽稍湿润，无异味。</w:t>
            </w:r>
          </w:p>
          <w:p>
            <w:pPr>
              <w:pStyle w:val="null3"/>
              <w:jc w:val="both"/>
            </w:pPr>
            <w:r>
              <w:rPr>
                <w:sz w:val="21"/>
              </w:rPr>
              <w:t>3.鲜蟹：脚肉坚实、肥壮，蟹壳纹理清楚、光亮，用手夹持背腹两面平直，脚不下垂，体重、气味正常。</w:t>
            </w:r>
          </w:p>
          <w:p>
            <w:pPr>
              <w:pStyle w:val="null3"/>
              <w:jc w:val="both"/>
            </w:pPr>
            <w:r>
              <w:rPr>
                <w:sz w:val="21"/>
              </w:rPr>
              <w:t>4.鲜贝：外壳紧闭，肉质新鲜，无臭味，两贝壳相碰时发出实响。</w:t>
            </w:r>
          </w:p>
          <w:p>
            <w:pPr>
              <w:pStyle w:val="null3"/>
            </w:pPr>
            <w:r>
              <w:rPr>
                <w:sz w:val="21"/>
              </w:rPr>
              <w:t>5.鲜活水产品（鱼、虾、蟹和贝类）要求鲜活、</w:t>
            </w:r>
            <w:r>
              <w:rPr>
                <w:sz w:val="21"/>
              </w:rPr>
              <w:t>同品种</w:t>
            </w:r>
            <w:r>
              <w:rPr>
                <w:sz w:val="21"/>
              </w:rPr>
              <w:t>大小规格基本一致，体表无明显碰撞伤，质量符合食品安全国家标准</w:t>
            </w:r>
            <w:r>
              <w:rPr>
                <w:sz w:val="21"/>
              </w:rPr>
              <w:t>GB 2733-2015《食品安全国家标准</w:t>
            </w:r>
            <w:r>
              <w:rPr>
                <w:sz w:val="19"/>
              </w:rPr>
              <w:t xml:space="preserve"> </w:t>
            </w:r>
            <w:r>
              <w:rPr>
                <w:sz w:val="21"/>
              </w:rPr>
              <w:t>鲜、冻动物性水产品》、</w:t>
            </w:r>
            <w:r>
              <w:rPr>
                <w:sz w:val="21"/>
              </w:rPr>
              <w:t>GB 31650-2019《食品安全国家标准</w:t>
            </w:r>
            <w:r>
              <w:rPr>
                <w:sz w:val="19"/>
              </w:rPr>
              <w:t xml:space="preserve"> </w:t>
            </w:r>
            <w:r>
              <w:rPr>
                <w:sz w:val="21"/>
              </w:rPr>
              <w:t>食品中兽药最大残留限量》、</w:t>
            </w:r>
            <w:r>
              <w:rPr>
                <w:sz w:val="21"/>
              </w:rPr>
              <w:t>GB 31650.1-2022</w:t>
            </w:r>
          </w:p>
          <w:p>
            <w:pPr>
              <w:pStyle w:val="null3"/>
            </w:pPr>
            <w:r>
              <w:rPr>
                <w:sz w:val="21"/>
              </w:rPr>
              <w:t>《食品安全国家标准</w:t>
            </w:r>
            <w:r>
              <w:rPr>
                <w:sz w:val="21"/>
              </w:rPr>
              <w:t>食品中</w:t>
            </w:r>
            <w:r>
              <w:rPr>
                <w:sz w:val="21"/>
              </w:rPr>
              <w:t>41种兽药最大残留限量》、</w:t>
            </w:r>
            <w:r>
              <w:rPr>
                <w:sz w:val="21"/>
              </w:rPr>
              <w:t>GB 2762-2022/XG1-2025《食品安全国家标准</w:t>
            </w:r>
            <w:r>
              <w:rPr>
                <w:sz w:val="19"/>
              </w:rPr>
              <w:t xml:space="preserve"> </w:t>
            </w:r>
            <w:r>
              <w:rPr>
                <w:sz w:val="21"/>
              </w:rPr>
              <w:t>食品中污染物限量》</w:t>
            </w:r>
            <w:r>
              <w:rPr>
                <w:sz w:val="21"/>
              </w:rPr>
              <w:t>、</w:t>
            </w:r>
            <w:r>
              <w:rPr>
                <w:sz w:val="21"/>
              </w:rPr>
              <w:t>GB 2762-2025《食品安全国家标准 食品中污染物限量》</w:t>
            </w:r>
            <w:r>
              <w:rPr>
                <w:sz w:val="21"/>
              </w:rPr>
              <w:t>及产品明示质量标准的要求，其中关键指标见表</w:t>
            </w:r>
            <w:r>
              <w:rPr>
                <w:sz w:val="21"/>
              </w:rPr>
              <w:t>3。</w:t>
            </w:r>
          </w:p>
          <w:p>
            <w:pPr>
              <w:pStyle w:val="null3"/>
              <w:jc w:val="both"/>
            </w:pPr>
            <w:r>
              <w:rPr>
                <w:sz w:val="21"/>
              </w:rPr>
              <w:t>表</w:t>
            </w:r>
            <w:r>
              <w:rPr>
                <w:sz w:val="21"/>
              </w:rPr>
              <w:t>3 鲜、冻水产品关键指标</w:t>
            </w:r>
          </w:p>
          <w:tbl>
            <w:tblPr>
              <w:tblBorders>
                <w:top w:val="none" w:color="000000" w:sz="4"/>
                <w:left w:val="none" w:color="000000" w:sz="4"/>
                <w:bottom w:val="none" w:color="000000" w:sz="4"/>
                <w:right w:val="none" w:color="000000" w:sz="4"/>
                <w:insideH w:val="none"/>
                <w:insideV w:val="none"/>
              </w:tblBorders>
            </w:tblPr>
            <w:tblGrid>
              <w:gridCol w:w="668"/>
              <w:gridCol w:w="2490"/>
              <w:gridCol w:w="3082"/>
            </w:tblGrid>
            <w:tr>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3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关键指标</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挥发性盐基氮（</w:t>
                  </w:r>
                  <w:r>
                    <w:rPr>
                      <w:sz w:val="21"/>
                    </w:rPr>
                    <w:t>mg/100g）≤</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30（海水鱼、虾）</w:t>
                  </w:r>
                </w:p>
                <w:p>
                  <w:pPr>
                    <w:pStyle w:val="null3"/>
                    <w:jc w:val="both"/>
                  </w:pPr>
                  <w:r>
                    <w:rPr>
                      <w:sz w:val="21"/>
                    </w:rPr>
                    <w:t>25（海蟹）</w:t>
                  </w:r>
                </w:p>
                <w:p>
                  <w:pPr>
                    <w:pStyle w:val="null3"/>
                    <w:jc w:val="both"/>
                  </w:pPr>
                  <w:r>
                    <w:rPr>
                      <w:sz w:val="21"/>
                    </w:rPr>
                    <w:t>20（淡水鱼、虾）</w:t>
                  </w:r>
                </w:p>
                <w:p>
                  <w:pPr>
                    <w:pStyle w:val="null3"/>
                    <w:jc w:val="both"/>
                  </w:pPr>
                  <w:r>
                    <w:rPr>
                      <w:sz w:val="21"/>
                    </w:rPr>
                    <w:t>15（冷冻贝类）</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组胺（</w:t>
                  </w:r>
                  <w:r>
                    <w:rPr>
                      <w:sz w:val="21"/>
                    </w:rPr>
                    <w:t>mg/100g）≤</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40（高组胺鱼类）</w:t>
                  </w:r>
                </w:p>
                <w:p>
                  <w:pPr>
                    <w:pStyle w:val="null3"/>
                    <w:jc w:val="both"/>
                  </w:pPr>
                  <w:r>
                    <w:rPr>
                      <w:sz w:val="21"/>
                    </w:rPr>
                    <w:t>20（其他海水鱼类）</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镉（</w:t>
                  </w:r>
                  <w:r>
                    <w:rPr>
                      <w:sz w:val="21"/>
                    </w:rPr>
                    <w:t>mg/kg）≤</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0.1（鱼类）</w:t>
                  </w:r>
                </w:p>
                <w:p>
                  <w:pPr>
                    <w:pStyle w:val="null3"/>
                    <w:jc w:val="both"/>
                  </w:pPr>
                  <w:r>
                    <w:rPr>
                      <w:sz w:val="21"/>
                    </w:rPr>
                    <w:t>0.5（甲壳类，海蟹、虾蛄除外）</w:t>
                  </w:r>
                </w:p>
                <w:p>
                  <w:pPr>
                    <w:pStyle w:val="null3"/>
                    <w:jc w:val="both"/>
                  </w:pPr>
                  <w:r>
                    <w:rPr>
                      <w:sz w:val="21"/>
                    </w:rPr>
                    <w:t>2.0（双壳类、腹足类、头足类、棘皮类，去除内脏）</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无机砷（</w:t>
                  </w:r>
                  <w:r>
                    <w:rPr>
                      <w:sz w:val="21"/>
                    </w:rPr>
                    <w:t>mg/kg）≤</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0.1（鱼类）</w:t>
                  </w:r>
                </w:p>
                <w:p>
                  <w:pPr>
                    <w:pStyle w:val="null3"/>
                    <w:jc w:val="both"/>
                  </w:pPr>
                  <w:r>
                    <w:rPr>
                      <w:sz w:val="21"/>
                    </w:rPr>
                    <w:t>0.5（其他）</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甲基汞（</w:t>
                  </w:r>
                  <w:r>
                    <w:rPr>
                      <w:sz w:val="21"/>
                    </w:rPr>
                    <w:t>mg/kg）≤</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1.0（肉食性鱼类，金枪鱼、金目鲷、枪鱼、鲨鱼及以上鱼类的制品除外）</w:t>
                  </w:r>
                </w:p>
                <w:p>
                  <w:pPr>
                    <w:pStyle w:val="null3"/>
                    <w:jc w:val="both"/>
                  </w:pPr>
                  <w:r>
                    <w:rPr>
                      <w:sz w:val="21"/>
                    </w:rPr>
                    <w:t>0.5（其他）</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麻痹性贝类毒素（</w:t>
                  </w:r>
                  <w:r>
                    <w:rPr>
                      <w:sz w:val="21"/>
                    </w:rPr>
                    <w:t>MU/g）≤</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4（贝类）</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腹泻性贝类毒素（</w:t>
                  </w:r>
                  <w:r>
                    <w:rPr>
                      <w:sz w:val="21"/>
                    </w:rPr>
                    <w:t>MU/g）≤</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0.05（贝类）</w:t>
                  </w:r>
                </w:p>
              </w:tc>
            </w:tr>
          </w:tbl>
          <w:p>
            <w:pPr>
              <w:pStyle w:val="null3"/>
              <w:jc w:val="both"/>
            </w:p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冻品</w:t>
            </w:r>
          </w:p>
        </w:tc>
        <w:tc>
          <w:tcPr>
            <w:tcW w:type="dxa" w:w="6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（一）冻畜禽肉</w:t>
            </w:r>
          </w:p>
          <w:p>
            <w:pPr>
              <w:pStyle w:val="null3"/>
              <w:jc w:val="both"/>
            </w:pPr>
            <w:r>
              <w:rPr>
                <w:sz w:val="21"/>
              </w:rPr>
              <w:t>1.冻鲜畜禽肉的食品安全指标应符合GB 2707-2016《食品安全国家标准</w:t>
            </w:r>
            <w:r>
              <w:rPr>
                <w:sz w:val="19"/>
              </w:rPr>
              <w:t xml:space="preserve"> </w:t>
            </w:r>
            <w:r>
              <w:rPr>
                <w:sz w:val="21"/>
              </w:rPr>
              <w:t>鲜（冻）畜、禽产品》、</w:t>
            </w:r>
            <w:r>
              <w:rPr>
                <w:sz w:val="21"/>
              </w:rPr>
              <w:t>GB 16869-2005《鲜、冻禽产品》的要求。国家有定点屠宰、检验检疫要求的品种，应来自定点屠宰厂出品，有国家规定的动物产品检疫合格证明及验讫印章（猪肉还需有肉品品质检验合格证明及验讫印章）。</w:t>
            </w:r>
          </w:p>
          <w:p>
            <w:pPr>
              <w:pStyle w:val="null3"/>
              <w:jc w:val="both"/>
            </w:pPr>
            <w:r>
              <w:rPr>
                <w:sz w:val="21"/>
              </w:rPr>
              <w:t>2.肉体冻结坚硬，无变质、无化冻现象；需有相关检验、检疫及相关合格证明；并清晰列出产品品牌、规格、类型、包装方式、包装净重等相关参数；冷冻肉类食品解冻后净重不少于95%，冷冻禽类食品解冻后净重不少于94%；解冻时间为4小时以内</w:t>
            </w:r>
            <w:r>
              <w:rPr>
                <w:sz w:val="21"/>
              </w:rPr>
              <w:t>（</w:t>
            </w:r>
            <w:r>
              <w:rPr>
                <w:sz w:val="21"/>
              </w:rPr>
              <w:t>室温</w:t>
            </w:r>
            <w:r>
              <w:rPr>
                <w:sz w:val="21"/>
              </w:rPr>
              <w:t>20℃</w:t>
            </w:r>
            <w:r>
              <w:rPr>
                <w:sz w:val="21"/>
              </w:rPr>
              <w:t>）</w:t>
            </w:r>
            <w:r>
              <w:rPr>
                <w:sz w:val="21"/>
              </w:rPr>
              <w:t>。</w:t>
            </w:r>
          </w:p>
          <w:p>
            <w:pPr>
              <w:pStyle w:val="null3"/>
              <w:jc w:val="both"/>
            </w:pPr>
            <w:r>
              <w:rPr>
                <w:sz w:val="21"/>
              </w:rPr>
              <w:t>3.冻畜禽肉解冻后的感官及关键指标符合前文表1和表2的要求。</w:t>
            </w:r>
          </w:p>
          <w:p>
            <w:pPr>
              <w:pStyle w:val="null3"/>
              <w:jc w:val="both"/>
            </w:pPr>
            <w:r>
              <w:rPr>
                <w:sz w:val="21"/>
              </w:rPr>
              <w:t>（二）冷冻水产品（鱼、虾、蟹和贝类）</w:t>
            </w:r>
          </w:p>
          <w:p>
            <w:pPr>
              <w:pStyle w:val="null3"/>
              <w:jc w:val="both"/>
            </w:pPr>
            <w:r>
              <w:rPr>
                <w:sz w:val="21"/>
              </w:rPr>
              <w:t>1.冷冻水产品冻结结实，大小规格基本一致，无变质、无化冻现象；解冻后感官状态正常，无腐败变质气味，冻水产类食品解冻后净重不少于85%，解冻时间为4小时以内</w:t>
            </w:r>
            <w:r>
              <w:rPr>
                <w:sz w:val="21"/>
              </w:rPr>
              <w:t>（</w:t>
            </w:r>
            <w:r>
              <w:rPr>
                <w:sz w:val="21"/>
              </w:rPr>
              <w:t>室温</w:t>
            </w:r>
            <w:r>
              <w:rPr>
                <w:sz w:val="21"/>
              </w:rPr>
              <w:t>20℃</w:t>
            </w:r>
            <w:r>
              <w:rPr>
                <w:sz w:val="21"/>
              </w:rPr>
              <w:t>）</w:t>
            </w:r>
            <w:r>
              <w:rPr>
                <w:sz w:val="21"/>
              </w:rPr>
              <w:t>。</w:t>
            </w:r>
          </w:p>
          <w:p>
            <w:pPr>
              <w:pStyle w:val="null3"/>
              <w:jc w:val="both"/>
            </w:pPr>
            <w:r>
              <w:rPr>
                <w:sz w:val="21"/>
              </w:rPr>
              <w:t>2.产品质量符合食品安全国家标准GB 2733-2015《食品安全国家标准</w:t>
            </w:r>
            <w:r>
              <w:rPr>
                <w:sz w:val="19"/>
              </w:rPr>
              <w:t xml:space="preserve"> </w:t>
            </w:r>
            <w:r>
              <w:rPr>
                <w:sz w:val="21"/>
              </w:rPr>
              <w:t>鲜、冻动物性水产品》及产品明示质量标准的要求，其中关键指标见前文表</w:t>
            </w:r>
            <w:r>
              <w:rPr>
                <w:sz w:val="21"/>
              </w:rPr>
              <w:t>3。</w:t>
            </w:r>
          </w:p>
          <w:p>
            <w:pPr>
              <w:pStyle w:val="null3"/>
              <w:jc w:val="both"/>
            </w:pPr>
            <w:r>
              <w:rPr>
                <w:sz w:val="21"/>
              </w:rPr>
              <w:t>（三）冻品质量卫生标准除符合国家规定的质量卫生标准外，还应包括以下方面：</w:t>
            </w:r>
          </w:p>
          <w:p>
            <w:pPr>
              <w:pStyle w:val="null3"/>
              <w:jc w:val="both"/>
            </w:pPr>
            <w:r>
              <w:rPr>
                <w:sz w:val="21"/>
              </w:rPr>
              <w:t>①凡是冻品类产品必须包装完整并有生产厂址和生产日期；</w:t>
            </w:r>
          </w:p>
          <w:p>
            <w:pPr>
              <w:pStyle w:val="null3"/>
              <w:jc w:val="both"/>
            </w:pPr>
            <w:r>
              <w:rPr>
                <w:sz w:val="21"/>
              </w:rPr>
              <w:t>②冻品类产品质量必须合乎验收标准（如新鲜度等）；</w:t>
            </w:r>
          </w:p>
          <w:p>
            <w:pPr>
              <w:pStyle w:val="null3"/>
              <w:jc w:val="both"/>
            </w:pPr>
            <w:r>
              <w:rPr>
                <w:sz w:val="21"/>
              </w:rPr>
              <w:t>③冻品类产品中间不能有过多冰块；</w:t>
            </w:r>
          </w:p>
          <w:p>
            <w:pPr>
              <w:pStyle w:val="null3"/>
              <w:jc w:val="both"/>
            </w:pPr>
            <w:r>
              <w:rPr>
                <w:sz w:val="21"/>
              </w:rPr>
              <w:t>④冻品类产品重量必须和包装箱上标明的重量一致；</w:t>
            </w:r>
          </w:p>
          <w:p>
            <w:pPr>
              <w:pStyle w:val="null3"/>
              <w:jc w:val="both"/>
            </w:pPr>
            <w:r>
              <w:rPr>
                <w:sz w:val="21"/>
              </w:rPr>
              <w:t>⑤验货时，拆箱检查，如含水量多称重时按比例除冰块的重量。称重时要扣除纸箱、以货品净重为准。如果外包装箱上标有净重，按净重入库，如果没有净重标识，按5%扣除含冰量；</w:t>
            </w:r>
          </w:p>
          <w:p>
            <w:pPr>
              <w:pStyle w:val="null3"/>
              <w:jc w:val="both"/>
            </w:pPr>
            <w:r>
              <w:rPr>
                <w:sz w:val="21"/>
              </w:rPr>
              <w:t>⑥票证要求：生产厂家必须具有</w:t>
            </w:r>
            <w:r>
              <w:rPr>
                <w:sz w:val="21"/>
              </w:rPr>
              <w:t>有效的</w:t>
            </w:r>
            <w:r>
              <w:rPr>
                <w:sz w:val="21"/>
              </w:rPr>
              <w:t>《食品生产许可证》</w:t>
            </w:r>
            <w:r>
              <w:rPr>
                <w:sz w:val="21"/>
              </w:rPr>
              <w:t>，许可范围应包含所供产品的相应类别</w:t>
            </w:r>
            <w:r>
              <w:rPr>
                <w:sz w:val="21"/>
              </w:rPr>
              <w:t>。</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干货调料</w:t>
            </w:r>
          </w:p>
        </w:tc>
        <w:tc>
          <w:tcPr>
            <w:tcW w:type="dxa" w:w="6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（一）整体要求</w:t>
            </w:r>
          </w:p>
          <w:p>
            <w:pPr>
              <w:pStyle w:val="null3"/>
              <w:jc w:val="both"/>
            </w:pPr>
            <w:r>
              <w:rPr>
                <w:sz w:val="21"/>
              </w:rPr>
              <w:t>1.投标人需确保货物质优量足，达到采购人要求。提供的所有货物都应是制造厂原厂产品。</w:t>
            </w:r>
          </w:p>
          <w:p>
            <w:pPr>
              <w:pStyle w:val="null3"/>
              <w:jc w:val="both"/>
            </w:pPr>
            <w:r>
              <w:rPr>
                <w:sz w:val="21"/>
              </w:rPr>
              <w:t>2.提供的货物需具有固有的色泽和香味，无异味或霉变，无虫蛀</w:t>
            </w:r>
            <w:r>
              <w:rPr>
                <w:sz w:val="21"/>
              </w:rPr>
              <w:t>、</w:t>
            </w:r>
            <w:r>
              <w:rPr>
                <w:sz w:val="21"/>
              </w:rPr>
              <w:t>结块</w:t>
            </w:r>
            <w:r>
              <w:rPr>
                <w:sz w:val="21"/>
              </w:rPr>
              <w:t>、</w:t>
            </w:r>
            <w:r>
              <w:rPr>
                <w:sz w:val="21"/>
              </w:rPr>
              <w:t>挂丝或杂质，杂质不超标。</w:t>
            </w:r>
          </w:p>
          <w:p>
            <w:pPr>
              <w:pStyle w:val="null3"/>
              <w:jc w:val="both"/>
            </w:pPr>
            <w:r>
              <w:rPr>
                <w:sz w:val="21"/>
              </w:rPr>
              <w:t>3.标签标识：标明产品名称、净含量、生产者名称和地址、生产日期、保质期、产品标准号、质量等级、食品生产许可证编号、产品批号等内容。</w:t>
            </w:r>
          </w:p>
          <w:p>
            <w:pPr>
              <w:pStyle w:val="null3"/>
              <w:jc w:val="both"/>
            </w:pPr>
            <w:r>
              <w:rPr>
                <w:sz w:val="21"/>
              </w:rPr>
              <w:t>4.品牌要求：在满足质量要求的前提下，按照采购人每次下订单的要求提供指定品牌货品。</w:t>
            </w:r>
          </w:p>
          <w:p>
            <w:pPr>
              <w:pStyle w:val="null3"/>
              <w:jc w:val="both"/>
            </w:pPr>
            <w:r>
              <w:rPr>
                <w:sz w:val="21"/>
              </w:rPr>
              <w:t>5.质量要求：符合国家食品</w:t>
            </w:r>
            <w:r>
              <w:rPr>
                <w:sz w:val="21"/>
              </w:rPr>
              <w:t>安全</w:t>
            </w:r>
            <w:r>
              <w:rPr>
                <w:sz w:val="21"/>
              </w:rPr>
              <w:t>标准，尤其是二氧化硫残留量、总砷含量不超过国家卫生标准，采购人可根据实际情况对需要的干货制品进行品质抽检，对质量未达到国家标准的干货制品采购人有权拒绝接受，提供的货品剩余保存期不少于保质期的</w:t>
            </w:r>
            <w:r>
              <w:rPr>
                <w:sz w:val="21"/>
              </w:rPr>
              <w:t>三分之二</w:t>
            </w:r>
            <w:r>
              <w:rPr>
                <w:sz w:val="21"/>
              </w:rPr>
              <w:t>。</w:t>
            </w:r>
          </w:p>
          <w:p>
            <w:pPr>
              <w:pStyle w:val="null3"/>
              <w:jc w:val="both"/>
            </w:pPr>
            <w:r>
              <w:rPr>
                <w:sz w:val="21"/>
              </w:rPr>
              <w:t>（二）干货食材标准</w:t>
            </w:r>
          </w:p>
          <w:p>
            <w:pPr>
              <w:pStyle w:val="null3"/>
              <w:jc w:val="both"/>
            </w:pPr>
            <w:r>
              <w:rPr>
                <w:sz w:val="21"/>
              </w:rPr>
              <w:t>1.干货</w:t>
            </w:r>
            <w:r>
              <w:rPr>
                <w:sz w:val="21"/>
              </w:rPr>
              <w:t>：</w:t>
            </w:r>
            <w:r>
              <w:rPr>
                <w:sz w:val="21"/>
              </w:rPr>
              <w:t>如花生、黄豆、绿豆、木耳、冬菇、黄花菜、支竹、生粉。</w:t>
            </w:r>
          </w:p>
          <w:p>
            <w:pPr>
              <w:pStyle w:val="null3"/>
              <w:jc w:val="both"/>
            </w:pPr>
            <w:r>
              <w:rPr>
                <w:sz w:val="21"/>
              </w:rPr>
              <w:t>2.干制食用菌应符合GB 7096-2014《食品安全国家标准</w:t>
            </w:r>
            <w:r>
              <w:rPr>
                <w:sz w:val="19"/>
              </w:rPr>
              <w:t xml:space="preserve"> </w:t>
            </w:r>
            <w:r>
              <w:rPr>
                <w:sz w:val="21"/>
              </w:rPr>
              <w:t>食用菌及其制品》的要求；水产干制品应符合</w:t>
            </w:r>
            <w:r>
              <w:rPr>
                <w:sz w:val="21"/>
              </w:rPr>
              <w:t>GB 10136-2015《食品安全国家标准</w:t>
            </w:r>
            <w:r>
              <w:rPr>
                <w:sz w:val="19"/>
              </w:rPr>
              <w:t xml:space="preserve"> </w:t>
            </w:r>
            <w:r>
              <w:rPr>
                <w:sz w:val="21"/>
              </w:rPr>
              <w:t>动物性水产制品》的要求；藻类干制品（例如紫菜、干海带）应符合</w:t>
            </w:r>
            <w:r>
              <w:rPr>
                <w:sz w:val="21"/>
              </w:rPr>
              <w:t>GB 19643-2016《食品安全国家标准</w:t>
            </w:r>
            <w:r>
              <w:rPr>
                <w:sz w:val="19"/>
              </w:rPr>
              <w:t xml:space="preserve"> </w:t>
            </w:r>
            <w:r>
              <w:rPr>
                <w:sz w:val="21"/>
              </w:rPr>
              <w:t>藻类及其制品》的要求。关键指标见表</w:t>
            </w:r>
            <w:r>
              <w:rPr>
                <w:sz w:val="21"/>
              </w:rPr>
              <w:t>4。</w:t>
            </w:r>
          </w:p>
          <w:p>
            <w:pPr>
              <w:pStyle w:val="null3"/>
              <w:jc w:val="both"/>
            </w:pPr>
            <w:r>
              <w:rPr>
                <w:sz w:val="21"/>
              </w:rPr>
              <w:t>表</w:t>
            </w:r>
            <w:r>
              <w:rPr>
                <w:sz w:val="21"/>
              </w:rPr>
              <w:t>4 关键指标</w:t>
            </w:r>
          </w:p>
          <w:tbl>
            <w:tblPr>
              <w:tblBorders>
                <w:top w:val="none" w:color="000000" w:sz="4"/>
                <w:left w:val="none" w:color="000000" w:sz="4"/>
                <w:bottom w:val="none" w:color="000000" w:sz="4"/>
                <w:right w:val="none" w:color="000000" w:sz="4"/>
                <w:insideH w:val="none"/>
                <w:insideV w:val="none"/>
              </w:tblBorders>
            </w:tblPr>
            <w:tblGrid>
              <w:gridCol w:w="799"/>
              <w:gridCol w:w="2713"/>
              <w:gridCol w:w="2728"/>
            </w:tblGrid>
            <w:tr>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2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要求</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水分（</w:t>
                  </w:r>
                  <w:r>
                    <w:rPr>
                      <w:sz w:val="21"/>
                    </w:rPr>
                    <w:t>g/100g）≤</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13（香菇干制品）</w:t>
                  </w:r>
                </w:p>
                <w:p>
                  <w:pPr>
                    <w:pStyle w:val="null3"/>
                    <w:jc w:val="both"/>
                  </w:pPr>
                  <w:r>
                    <w:rPr>
                      <w:sz w:val="21"/>
                    </w:rPr>
                    <w:t>15（银耳干制品）</w:t>
                  </w:r>
                </w:p>
                <w:p>
                  <w:pPr>
                    <w:pStyle w:val="null3"/>
                    <w:jc w:val="both"/>
                  </w:pPr>
                  <w:r>
                    <w:rPr>
                      <w:sz w:val="21"/>
                    </w:rPr>
                    <w:t>12（其他食用菌干制品）</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米酵菌酸（</w:t>
                  </w:r>
                  <w:r>
                    <w:rPr>
                      <w:sz w:val="21"/>
                    </w:rPr>
                    <w:t>mg/kg）≤</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0.25（银耳及其制品）</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过氧化值（</w:t>
                  </w:r>
                  <w:r>
                    <w:rPr>
                      <w:sz w:val="21"/>
                    </w:rPr>
                    <w:t>g/100g）≤</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0.6（预制水产干制品）</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二氧化硫残留量（</w:t>
                  </w:r>
                  <w:r>
                    <w:rPr>
                      <w:sz w:val="21"/>
                    </w:rPr>
                    <w:t>g/kg）≤</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0.2（干制蔬菜）</w:t>
                  </w:r>
                </w:p>
                <w:p>
                  <w:pPr>
                    <w:pStyle w:val="null3"/>
                    <w:jc w:val="both"/>
                  </w:pPr>
                  <w:r>
                    <w:rPr>
                      <w:sz w:val="21"/>
                    </w:rPr>
                    <w:t>0.05（干制食用菌及藻类）</w:t>
                  </w:r>
                </w:p>
              </w:tc>
            </w:tr>
          </w:tbl>
          <w:p>
            <w:pPr>
              <w:pStyle w:val="null3"/>
              <w:jc w:val="both"/>
            </w:pPr>
            <w:r>
              <w:rPr>
                <w:sz w:val="21"/>
              </w:rPr>
              <w:t>（三）调料食材标准</w:t>
            </w:r>
          </w:p>
          <w:p>
            <w:pPr>
              <w:pStyle w:val="null3"/>
              <w:jc w:val="both"/>
            </w:pPr>
            <w:r>
              <w:rPr>
                <w:sz w:val="21"/>
              </w:rPr>
              <w:t>1.酱油：</w:t>
            </w:r>
          </w:p>
          <w:p>
            <w:pPr>
              <w:pStyle w:val="null3"/>
              <w:jc w:val="left"/>
            </w:pPr>
            <w:r>
              <w:rPr>
                <w:sz w:val="21"/>
              </w:rPr>
              <w:t>（</w:t>
            </w:r>
            <w:r>
              <w:rPr>
                <w:sz w:val="21"/>
              </w:rPr>
              <w:t>1）应为预包装产品，符合产品明示执行标准、明示指标及食品安全国家标准GB 2717-2018《食品安全国家</w:t>
            </w:r>
            <w:r>
              <w:rPr>
                <w:sz w:val="21"/>
              </w:rPr>
              <w:t xml:space="preserve"> </w:t>
            </w:r>
            <w:r>
              <w:rPr>
                <w:sz w:val="21"/>
              </w:rPr>
              <w:t>标准酱油》的要求，质量指标为</w:t>
            </w:r>
            <w:r>
              <w:rPr>
                <w:sz w:val="21"/>
              </w:rPr>
              <w:t>GB/T 18186-2000《酿造酱油》、GB/T 18186-2025《酱油质量通则》的特级酱油技术要求，特征指标（氨基酸态氮）≥0.8g/100mL。</w:t>
            </w:r>
          </w:p>
          <w:p>
            <w:pPr>
              <w:pStyle w:val="null3"/>
              <w:jc w:val="both"/>
            </w:pPr>
            <w:r>
              <w:rPr>
                <w:sz w:val="21"/>
              </w:rPr>
              <w:t>（</w:t>
            </w:r>
            <w:r>
              <w:rPr>
                <w:sz w:val="21"/>
              </w:rPr>
              <w:t>2）颜色比较红、亮，有光泽、透明，倒在瓶子里后，摇一下，产生的泡沫细腻持久且发</w:t>
            </w:r>
            <w:r>
              <w:rPr>
                <w:sz w:val="21"/>
              </w:rPr>
              <w:t>黏</w:t>
            </w:r>
            <w:r>
              <w:rPr>
                <w:sz w:val="21"/>
              </w:rPr>
              <w:t>挂壁。</w:t>
            </w:r>
          </w:p>
          <w:p>
            <w:pPr>
              <w:pStyle w:val="null3"/>
              <w:jc w:val="both"/>
            </w:pPr>
            <w:r>
              <w:rPr>
                <w:sz w:val="21"/>
              </w:rPr>
              <w:t>2.味精：</w:t>
            </w:r>
          </w:p>
          <w:p>
            <w:pPr>
              <w:pStyle w:val="null3"/>
              <w:jc w:val="both"/>
            </w:pPr>
            <w:r>
              <w:rPr>
                <w:sz w:val="21"/>
              </w:rPr>
              <w:t>无色至白色结晶或粉末，具有特殊的鲜味，无异味，无肉眼可见杂质。</w:t>
            </w:r>
          </w:p>
          <w:p>
            <w:pPr>
              <w:pStyle w:val="null3"/>
              <w:jc w:val="both"/>
            </w:pPr>
            <w:r>
              <w:rPr>
                <w:sz w:val="21"/>
              </w:rPr>
              <w:t>3.食醋：</w:t>
            </w:r>
          </w:p>
          <w:p>
            <w:pPr>
              <w:pStyle w:val="null3"/>
              <w:jc w:val="both"/>
            </w:pPr>
            <w:r>
              <w:rPr>
                <w:sz w:val="21"/>
              </w:rPr>
              <w:t>（</w:t>
            </w:r>
            <w:r>
              <w:rPr>
                <w:sz w:val="21"/>
              </w:rPr>
              <w:t>1）应为预包装产品，符合产品明示执行标准、明示指标及食品安全国家标准GB 2719-2018《食品安全国家标准</w:t>
            </w:r>
            <w:r>
              <w:rPr>
                <w:sz w:val="19"/>
              </w:rPr>
              <w:t xml:space="preserve"> </w:t>
            </w:r>
            <w:r>
              <w:rPr>
                <w:sz w:val="21"/>
              </w:rPr>
              <w:t>食醋》的要求，特征指标（总酸）</w:t>
            </w:r>
            <w:r>
              <w:rPr>
                <w:sz w:val="21"/>
              </w:rPr>
              <w:t>≥3.5g/100mL。</w:t>
            </w:r>
          </w:p>
          <w:p>
            <w:pPr>
              <w:pStyle w:val="null3"/>
              <w:jc w:val="both"/>
            </w:pPr>
            <w:r>
              <w:rPr>
                <w:sz w:val="21"/>
              </w:rPr>
              <w:t>（</w:t>
            </w:r>
            <w:r>
              <w:rPr>
                <w:sz w:val="21"/>
              </w:rPr>
              <w:t>2）具有正常食醋的色泽、气味和滋味，不涩，无其他不良气味与异味，无浮物，不浑浊，无沉淀，无异物，无醋鳗、醋虱。</w:t>
            </w:r>
          </w:p>
          <w:p>
            <w:pPr>
              <w:pStyle w:val="null3"/>
              <w:jc w:val="both"/>
            </w:pPr>
            <w:r>
              <w:rPr>
                <w:sz w:val="21"/>
              </w:rPr>
              <w:t>4.酱腌菜：</w:t>
            </w:r>
          </w:p>
          <w:p>
            <w:pPr>
              <w:pStyle w:val="null3"/>
              <w:jc w:val="both"/>
            </w:pPr>
            <w:r>
              <w:rPr>
                <w:sz w:val="21"/>
              </w:rPr>
              <w:t>具有酱腌菜固有的色、香、味，无杂质，无其他不良气味，不得有霉斑</w:t>
            </w:r>
            <w:r>
              <w:rPr>
                <w:sz w:val="21"/>
              </w:rPr>
              <w:t>、</w:t>
            </w:r>
            <w:r>
              <w:rPr>
                <w:sz w:val="21"/>
              </w:rPr>
              <w:t>白膜。</w:t>
            </w:r>
          </w:p>
          <w:p>
            <w:pPr>
              <w:pStyle w:val="null3"/>
              <w:jc w:val="both"/>
            </w:pPr>
            <w:r>
              <w:rPr>
                <w:sz w:val="21"/>
              </w:rPr>
              <w:t>5.酱类食品：具有正常酿造酱的色泽、气味和滋味，不涩，无其他不良气味，不得有酸、苦、焦糊及其</w:t>
            </w:r>
            <w:r>
              <w:rPr>
                <w:sz w:val="21"/>
              </w:rPr>
              <w:t>他</w:t>
            </w:r>
            <w:r>
              <w:rPr>
                <w:sz w:val="21"/>
              </w:rPr>
              <w:t>异味、异物。</w:t>
            </w:r>
          </w:p>
          <w:p>
            <w:pPr>
              <w:pStyle w:val="null3"/>
              <w:jc w:val="both"/>
            </w:pPr>
            <w:r>
              <w:rPr>
                <w:sz w:val="21"/>
              </w:rPr>
              <w:t>6.淀粉制品：</w:t>
            </w:r>
          </w:p>
          <w:p>
            <w:pPr>
              <w:pStyle w:val="null3"/>
              <w:jc w:val="both"/>
            </w:pPr>
            <w:r>
              <w:rPr>
                <w:sz w:val="21"/>
              </w:rPr>
              <w:t>具有各自品种固有的形态和色泽，不酸、不粘、不发霉，无变质，无异味，</w:t>
            </w:r>
            <w:r>
              <w:rPr>
                <w:sz w:val="21"/>
              </w:rPr>
              <w:t>无</w:t>
            </w:r>
            <w:r>
              <w:rPr>
                <w:sz w:val="21"/>
              </w:rPr>
              <w:t>杂质，口尝无砂质。</w:t>
            </w:r>
          </w:p>
          <w:p>
            <w:pPr>
              <w:pStyle w:val="null3"/>
              <w:jc w:val="both"/>
            </w:pPr>
            <w:r>
              <w:rPr>
                <w:sz w:val="21"/>
              </w:rPr>
              <w:t>7.食盐：</w:t>
            </w:r>
          </w:p>
          <w:p>
            <w:pPr>
              <w:pStyle w:val="null3"/>
              <w:jc w:val="both"/>
            </w:pPr>
            <w:r>
              <w:rPr>
                <w:sz w:val="21"/>
              </w:rPr>
              <w:t>（</w:t>
            </w:r>
            <w:r>
              <w:rPr>
                <w:sz w:val="21"/>
              </w:rPr>
              <w:t>1）应为预包装产品，符合产品明示执行标准、明示指标及食品安全国家标准GB 2721-2015《食品安全国家标准</w:t>
            </w:r>
            <w:r>
              <w:rPr>
                <w:sz w:val="19"/>
              </w:rPr>
              <w:t xml:space="preserve"> </w:t>
            </w:r>
            <w:r>
              <w:rPr>
                <w:sz w:val="21"/>
              </w:rPr>
              <w:t>食用盐》的要求。</w:t>
            </w:r>
          </w:p>
          <w:p>
            <w:pPr>
              <w:pStyle w:val="null3"/>
              <w:jc w:val="both"/>
            </w:pPr>
            <w:r>
              <w:rPr>
                <w:sz w:val="21"/>
              </w:rPr>
              <w:t>（</w:t>
            </w:r>
            <w:r>
              <w:rPr>
                <w:sz w:val="21"/>
              </w:rPr>
              <w:t>2）产品包装应完好，标签内容需清晰明确，明确标注食盐含量及碘含量（无碘盐除外），且食盐颜色洁白、颗粒大小均匀一致，结晶整齐一致，坚硬光滑，呈透明或半透明，不结块，无反卤吸潮现象，无杂质，沾取少许尝试具有纯正的咸味。</w:t>
            </w:r>
          </w:p>
          <w:p>
            <w:pPr>
              <w:pStyle w:val="null3"/>
              <w:jc w:val="both"/>
            </w:pPr>
            <w:r>
              <w:rPr>
                <w:sz w:val="21"/>
              </w:rPr>
              <w:t>8.油炸豆干：</w:t>
            </w:r>
          </w:p>
          <w:p>
            <w:pPr>
              <w:pStyle w:val="null3"/>
              <w:jc w:val="both"/>
            </w:pPr>
            <w:r>
              <w:rPr>
                <w:sz w:val="21"/>
              </w:rPr>
              <w:t>为金黄色或棕黄色，色彩鲜艳而有光泽，块形整齐，有弹性，皮脆，内质呈蜂窝状，不</w:t>
            </w:r>
            <w:r>
              <w:rPr>
                <w:sz w:val="21"/>
              </w:rPr>
              <w:t>黏</w:t>
            </w:r>
            <w:r>
              <w:rPr>
                <w:sz w:val="21"/>
              </w:rPr>
              <w:t>不散，无杂质，具有豆腐泡特有的清香风味，无其他任何不良气味，取样品细细咀嚼，外皮酥脆适口，泡内软嫩，咸香适度，具有豆腐泡固有的滋味。</w:t>
            </w:r>
          </w:p>
          <w:p>
            <w:pPr>
              <w:pStyle w:val="null3"/>
              <w:jc w:val="both"/>
            </w:pPr>
            <w:r>
              <w:rPr>
                <w:sz w:val="21"/>
              </w:rPr>
              <w:t>9.腐竹：</w:t>
            </w:r>
          </w:p>
          <w:p>
            <w:pPr>
              <w:pStyle w:val="null3"/>
              <w:jc w:val="both"/>
            </w:pPr>
            <w:r>
              <w:rPr>
                <w:sz w:val="21"/>
              </w:rPr>
              <w:t>为枝条或片叶状，质脆易折，条状折断有空心，无霉斑、无杂质、虫蛀。呈淡黄色，有光泽。具有腐竹固有的香味，无其他任何异味，取样品品尝其滋味，具有腐竹固有的鲜香滋味。</w:t>
            </w:r>
          </w:p>
          <w:p>
            <w:pPr>
              <w:pStyle w:val="null3"/>
              <w:jc w:val="both"/>
            </w:pPr>
            <w:r>
              <w:rPr>
                <w:sz w:val="21"/>
              </w:rPr>
              <w:t>10.腐乳：</w:t>
            </w:r>
          </w:p>
          <w:p>
            <w:pPr>
              <w:pStyle w:val="null3"/>
              <w:jc w:val="both"/>
            </w:pPr>
            <w:r>
              <w:rPr>
                <w:sz w:val="21"/>
              </w:rPr>
              <w:t>红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jc w:val="both"/>
            </w:pPr>
            <w:r>
              <w:rPr>
                <w:sz w:val="21"/>
              </w:rPr>
              <w:t>11.黄豆：</w:t>
            </w:r>
          </w:p>
          <w:p>
            <w:pPr>
              <w:pStyle w:val="null3"/>
              <w:jc w:val="both"/>
            </w:pPr>
            <w:r>
              <w:rPr>
                <w:sz w:val="21"/>
              </w:rPr>
              <w:t>大豆皮色呈各种大豆固有的颜色，光彩油亮，洁净而有光泽，颗粒饱满，整齐均匀，无虫蛀粒，无杂质，无霉变。</w:t>
            </w:r>
          </w:p>
          <w:p>
            <w:pPr>
              <w:pStyle w:val="null3"/>
              <w:jc w:val="both"/>
            </w:pPr>
            <w:r>
              <w:rPr>
                <w:sz w:val="21"/>
              </w:rPr>
              <w:t>12.花生：</w:t>
            </w:r>
          </w:p>
          <w:p>
            <w:pPr>
              <w:pStyle w:val="null3"/>
              <w:jc w:val="both"/>
            </w:pPr>
            <w:r>
              <w:rPr>
                <w:sz w:val="21"/>
              </w:rPr>
              <w:t>果荚呈土黄色或白色，果仁呈各不同品种所特有的颜色，色泽分布均匀一致，带荚花生和去荚果仁均颗粒饱满、形态完整、大小均匀，子叶肥厚而有光泽，无杂质，具有花生特有的气味、香味，无任何异味。</w:t>
            </w:r>
          </w:p>
          <w:p>
            <w:pPr>
              <w:pStyle w:val="null3"/>
              <w:jc w:val="both"/>
            </w:pPr>
            <w:r>
              <w:rPr>
                <w:sz w:val="21"/>
              </w:rPr>
              <w:t>13.食糖：</w:t>
            </w:r>
          </w:p>
          <w:p>
            <w:pPr>
              <w:pStyle w:val="null3"/>
              <w:jc w:val="both"/>
            </w:pPr>
            <w:r>
              <w:rPr>
                <w:sz w:val="21"/>
              </w:rPr>
              <w:t>食糖根据经营习惯分为白糖、红糖、冰糖、方糖等。</w:t>
            </w:r>
          </w:p>
          <w:p>
            <w:pPr>
              <w:pStyle w:val="null3"/>
              <w:jc w:val="both"/>
            </w:pPr>
            <w:r>
              <w:rPr>
                <w:sz w:val="21"/>
              </w:rPr>
              <w:t>(1)白糖的感官鉴别：色泽洁白明亮，有光泽，具有白糖的正常气味，无酸味、酒味或其他外来气味。</w:t>
            </w:r>
          </w:p>
          <w:p>
            <w:pPr>
              <w:pStyle w:val="null3"/>
              <w:jc w:val="both"/>
            </w:pPr>
            <w:r>
              <w:rPr>
                <w:sz w:val="21"/>
              </w:rPr>
              <w:t>白砂糖：颗粒大如砂粒，晶粒均匀整齐，晶面明显，无碎末，糖质坚硬。</w:t>
            </w:r>
          </w:p>
          <w:p>
            <w:pPr>
              <w:pStyle w:val="null3"/>
              <w:jc w:val="both"/>
            </w:pPr>
            <w:r>
              <w:rPr>
                <w:sz w:val="21"/>
              </w:rPr>
              <w:t>绵白糖：颗粒细小而均匀，质地绵软、潮润。</w:t>
            </w:r>
          </w:p>
          <w:p>
            <w:pPr>
              <w:pStyle w:val="null3"/>
              <w:jc w:val="both"/>
            </w:pPr>
            <w:r>
              <w:rPr>
                <w:sz w:val="21"/>
              </w:rPr>
              <w:t>冰糖：块形完整，个粒均匀，结晶组织严密，透明或半透明，无破碎。</w:t>
            </w:r>
          </w:p>
          <w:p>
            <w:pPr>
              <w:pStyle w:val="null3"/>
              <w:jc w:val="both"/>
            </w:pPr>
            <w:r>
              <w:rPr>
                <w:sz w:val="21"/>
              </w:rPr>
              <w:t>方糖：表面平整，无裂纹、</w:t>
            </w:r>
            <w:r>
              <w:rPr>
                <w:sz w:val="21"/>
              </w:rPr>
              <w:t>缺</w:t>
            </w:r>
            <w:r>
              <w:rPr>
                <w:sz w:val="21"/>
              </w:rPr>
              <w:t>边、断角，无突出砂粒，无霉斑。</w:t>
            </w:r>
          </w:p>
          <w:p>
            <w:pPr>
              <w:pStyle w:val="null3"/>
              <w:jc w:val="both"/>
            </w:pPr>
            <w:r>
              <w:rPr>
                <w:sz w:val="21"/>
              </w:rPr>
              <w:t>凡是白糖都应干燥，晶粒松散，不粘手，不结块，无肉眼可见的杂质，白糖的水溶液应清晰透明无杂质。</w:t>
            </w:r>
          </w:p>
          <w:p>
            <w:pPr>
              <w:pStyle w:val="null3"/>
              <w:jc w:val="both"/>
            </w:pPr>
            <w:r>
              <w:rPr>
                <w:sz w:val="21"/>
              </w:rPr>
              <w:t>(2)红糖的感官鉴别：呈晶粒状或粉末状，干燥而松散，不结块，不成团，无杂质，其水溶液清晰，无沉淀，无悬浮物，具有甘蔗汁的清香味，无酒味、酸味或其他外来不良气味，口味浓甜带鲜，微有糖蜜味，无焦苦味或其他外来异味。</w:t>
            </w:r>
          </w:p>
          <w:p>
            <w:pPr>
              <w:pStyle w:val="null3"/>
              <w:jc w:val="both"/>
            </w:pPr>
            <w:r>
              <w:rPr>
                <w:sz w:val="21"/>
              </w:rPr>
              <w:t>14.辛辣料：</w:t>
            </w:r>
          </w:p>
          <w:p>
            <w:pPr>
              <w:pStyle w:val="null3"/>
              <w:jc w:val="both"/>
            </w:pPr>
            <w:r>
              <w:rPr>
                <w:sz w:val="21"/>
              </w:rPr>
              <w:t>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jc w:val="both"/>
            </w:pPr>
            <w:r>
              <w:rPr>
                <w:sz w:val="21"/>
              </w:rPr>
              <w:t>15.香辛料：</w:t>
            </w:r>
          </w:p>
          <w:p>
            <w:pPr>
              <w:pStyle w:val="null3"/>
              <w:jc w:val="both"/>
            </w:pPr>
            <w:r>
              <w:rPr>
                <w:sz w:val="21"/>
              </w:rPr>
              <w:t>符合该产品应有的形态和特征，颜色、气味正常，无杂物，无发霉、结块等异常状况。</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蛋类</w:t>
            </w:r>
          </w:p>
        </w:tc>
        <w:tc>
          <w:tcPr>
            <w:tcW w:type="dxa" w:w="6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1.符合食品安全国家标准（GB 31650-2019《食品安全国家标准</w:t>
            </w:r>
            <w:r>
              <w:rPr>
                <w:sz w:val="19"/>
              </w:rPr>
              <w:t xml:space="preserve"> </w:t>
            </w:r>
            <w:r>
              <w:rPr>
                <w:sz w:val="21"/>
              </w:rPr>
              <w:t>食品中兽药最大残留限量》、</w:t>
            </w:r>
            <w:r>
              <w:rPr>
                <w:sz w:val="21"/>
              </w:rPr>
              <w:t>GB 31650.1-2022《食品安全国家标准 食品中41种兽药最大残留限量》、</w:t>
            </w:r>
            <w:r>
              <w:rPr>
                <w:sz w:val="21"/>
              </w:rPr>
              <w:t>GB 2762-2022/XG1-2025《食品安全国家标准</w:t>
            </w:r>
            <w:r>
              <w:rPr>
                <w:sz w:val="19"/>
              </w:rPr>
              <w:t xml:space="preserve"> </w:t>
            </w:r>
            <w:r>
              <w:rPr>
                <w:sz w:val="21"/>
              </w:rPr>
              <w:t>食品中污染物限量》、</w:t>
            </w:r>
            <w:r>
              <w:rPr>
                <w:sz w:val="21"/>
              </w:rPr>
              <w:t>GB 2762-2025《食品安全国家标准 食品中污染物限量》、</w:t>
            </w:r>
            <w:r>
              <w:rPr>
                <w:sz w:val="21"/>
              </w:rPr>
              <w:t>GB 2749-2015《食品安全国家标准</w:t>
            </w:r>
            <w:r>
              <w:rPr>
                <w:sz w:val="19"/>
              </w:rPr>
              <w:t xml:space="preserve"> </w:t>
            </w:r>
            <w:r>
              <w:rPr>
                <w:sz w:val="21"/>
              </w:rPr>
              <w:t>蛋与蛋制品》）及产品标签明示执行标准的要求，关键指标符合表</w:t>
            </w:r>
            <w:r>
              <w:rPr>
                <w:sz w:val="21"/>
              </w:rPr>
              <w:t>5的要求。</w:t>
            </w:r>
          </w:p>
          <w:p>
            <w:pPr>
              <w:pStyle w:val="null3"/>
              <w:jc w:val="both"/>
            </w:pPr>
            <w:r>
              <w:rPr>
                <w:sz w:val="21"/>
              </w:rPr>
              <w:t>表</w:t>
            </w:r>
            <w:r>
              <w:rPr>
                <w:sz w:val="21"/>
              </w:rPr>
              <w:t>5 关键指标</w:t>
            </w:r>
          </w:p>
          <w:tbl>
            <w:tblPr>
              <w:tblBorders>
                <w:top w:val="none" w:color="000000" w:sz="4"/>
                <w:left w:val="none" w:color="000000" w:sz="4"/>
                <w:bottom w:val="none" w:color="000000" w:sz="4"/>
                <w:right w:val="none" w:color="000000" w:sz="4"/>
                <w:insideH w:val="none"/>
                <w:insideV w:val="none"/>
              </w:tblBorders>
            </w:tblPr>
            <w:tblGrid>
              <w:gridCol w:w="829"/>
              <w:gridCol w:w="3104"/>
              <w:gridCol w:w="2306"/>
            </w:tblGrid>
            <w:tr>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2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要求</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铅（</w:t>
                  </w:r>
                  <w:r>
                    <w:rPr>
                      <w:sz w:val="21"/>
                    </w:rPr>
                    <w:t>mg/kg）≤</w:t>
                  </w:r>
                </w:p>
              </w:tc>
              <w:tc>
                <w:tcPr>
                  <w:tcW w:type="dxa" w:w="2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0.2（鲜蛋）</w:t>
                  </w:r>
                </w:p>
                <w:p>
                  <w:pPr>
                    <w:pStyle w:val="null3"/>
                  </w:pPr>
                  <w:r>
                    <w:rPr>
                      <w:sz w:val="21"/>
                    </w:rPr>
                    <w:t>0.5（皮蛋）</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恩诺沙星</w:t>
                  </w:r>
                  <w:r>
                    <w:rPr>
                      <w:sz w:val="21"/>
                    </w:rPr>
                    <w:t>（</w:t>
                  </w:r>
                  <w:r>
                    <w:rPr>
                      <w:sz w:val="21"/>
                    </w:rPr>
                    <w:t>恩诺沙星与环丙沙星之和</w:t>
                  </w:r>
                  <w:r>
                    <w:rPr>
                      <w:sz w:val="21"/>
                    </w:rPr>
                    <w:t>）</w:t>
                  </w:r>
                </w:p>
              </w:tc>
              <w:tc>
                <w:tcPr>
                  <w:tcW w:type="dxa" w:w="2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不得检出</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氟苯尼考</w:t>
                  </w:r>
                </w:p>
              </w:tc>
              <w:tc>
                <w:tcPr>
                  <w:tcW w:type="dxa" w:w="2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不得检出</w:t>
                  </w:r>
                </w:p>
              </w:tc>
            </w:tr>
          </w:tbl>
          <w:p>
            <w:pPr>
              <w:pStyle w:val="null3"/>
            </w:pPr>
            <w:r>
              <w:rPr>
                <w:sz w:val="21"/>
              </w:rPr>
              <w:t>2.产品标签内容清晰，明确标注产品的品名、商标、生产日期、保质期、产地、储存条件等相关信息，并与合同文件及供（送）货单内容一致。</w:t>
            </w:r>
          </w:p>
          <w:p>
            <w:pPr>
              <w:pStyle w:val="null3"/>
            </w:pPr>
            <w:r>
              <w:rPr>
                <w:sz w:val="21"/>
              </w:rPr>
              <w:t>3.具体感官描述</w:t>
            </w:r>
          </w:p>
          <w:p>
            <w:pPr>
              <w:pStyle w:val="null3"/>
            </w:pPr>
            <w:r>
              <w:rPr>
                <w:sz w:val="21"/>
              </w:rPr>
              <w:t>（</w:t>
            </w:r>
            <w:r>
              <w:rPr>
                <w:sz w:val="21"/>
              </w:rPr>
              <w:t>1）鲜蛋</w:t>
            </w:r>
            <w:r>
              <w:rPr>
                <w:sz w:val="21"/>
              </w:rPr>
              <w:t>：</w:t>
            </w:r>
          </w:p>
          <w:p>
            <w:pPr>
              <w:pStyle w:val="null3"/>
            </w:pPr>
            <w:r>
              <w:rPr>
                <w:sz w:val="21"/>
              </w:rPr>
              <w:t>蛋壳清洁完整，无裂纹，无霉斑，灯光透视时整个蛋呈微红色，蛋内无黑点及异物。</w:t>
            </w:r>
          </w:p>
          <w:p>
            <w:pPr>
              <w:pStyle w:val="null3"/>
              <w:jc w:val="both"/>
            </w:pPr>
            <w:r>
              <w:rPr>
                <w:sz w:val="21"/>
              </w:rPr>
              <w:t>（</w:t>
            </w:r>
            <w:r>
              <w:rPr>
                <w:sz w:val="21"/>
              </w:rPr>
              <w:t>2）鸡蛋：</w:t>
            </w:r>
          </w:p>
          <w:p>
            <w:pPr>
              <w:pStyle w:val="null3"/>
              <w:jc w:val="both"/>
            </w:pPr>
            <w:r>
              <w:rPr>
                <w:sz w:val="21"/>
              </w:rPr>
              <w:t>蛋壳清洁完整，色泽鲜明，无破损、裂纹，无霉斑，灯光透视时，整个蛋呈</w:t>
            </w:r>
            <w:r>
              <w:rPr>
                <w:sz w:val="21"/>
              </w:rPr>
              <w:t>橘</w:t>
            </w:r>
            <w:r>
              <w:rPr>
                <w:sz w:val="21"/>
              </w:rPr>
              <w:t>黄色至橙红色，蛋黄不见或略见阴影，没有霉味、酸味，臭味等不良气味，打开后蛋黄凸起、完整、有韧性，蛋白澄清、透明、稀稠分明，无异味。</w:t>
            </w:r>
          </w:p>
          <w:p>
            <w:pPr>
              <w:pStyle w:val="null3"/>
              <w:jc w:val="both"/>
            </w:pPr>
            <w:r>
              <w:rPr>
                <w:sz w:val="21"/>
              </w:rPr>
              <w:t>（</w:t>
            </w:r>
            <w:r>
              <w:rPr>
                <w:sz w:val="21"/>
              </w:rPr>
              <w:t>3）皮蛋：</w:t>
            </w:r>
          </w:p>
          <w:p>
            <w:pPr>
              <w:pStyle w:val="null3"/>
              <w:jc w:val="both"/>
            </w:pPr>
            <w:r>
              <w:rPr>
                <w:sz w:val="21"/>
              </w:rPr>
              <w:t>外表泥状包料完整、无霉斑，包料除掉后蛋壳亦完整无损，灯光透照蛋内容物凝固不动，打开观察，整个蛋凝固、不粘壳、清洁而有弹性，呈半透明的棕黄色，闻起来有芳香，无辛辣气</w:t>
            </w:r>
            <w:r>
              <w:rPr>
                <w:sz w:val="21"/>
              </w:rPr>
              <w:t>味</w:t>
            </w:r>
            <w:r>
              <w:rPr>
                <w:sz w:val="21"/>
              </w:rPr>
              <w:t>。</w:t>
            </w:r>
          </w:p>
          <w:p>
            <w:pPr>
              <w:pStyle w:val="null3"/>
              <w:jc w:val="both"/>
            </w:pPr>
            <w:r>
              <w:rPr>
                <w:sz w:val="21"/>
              </w:rPr>
              <w:t>（</w:t>
            </w:r>
            <w:r>
              <w:rPr>
                <w:sz w:val="21"/>
              </w:rPr>
              <w:t>4）咸蛋：</w:t>
            </w:r>
          </w:p>
          <w:p>
            <w:pPr>
              <w:pStyle w:val="null3"/>
              <w:jc w:val="both"/>
            </w:pPr>
            <w:r>
              <w:rPr>
                <w:sz w:val="21"/>
              </w:rPr>
              <w:t>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w:t>
            </w:r>
            <w:r>
              <w:rPr>
                <w:sz w:val="21"/>
              </w:rPr>
              <w:t>感</w:t>
            </w:r>
            <w:r>
              <w:rPr>
                <w:sz w:val="21"/>
              </w:rPr>
              <w:t>有细沙感，富于油脂，品尝则有咸蛋固有的香味。</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蔬菜</w:t>
            </w:r>
          </w:p>
        </w:tc>
        <w:tc>
          <w:tcPr>
            <w:tcW w:type="dxa" w:w="6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1.蔬菜新鲜，无明显黄叶、萎蔫、腐烂、发芽、畸形、虫蛀等异常情况，其中，叶菜类、豆类（荚不可食类除外）和净菜的整体利用率不得低于95%；蔬菜类感官基本要求见表6。</w:t>
            </w:r>
          </w:p>
          <w:p>
            <w:pPr>
              <w:pStyle w:val="null3"/>
              <w:jc w:val="both"/>
            </w:pPr>
            <w:r>
              <w:rPr>
                <w:sz w:val="21"/>
              </w:rPr>
              <w:t>表</w:t>
            </w:r>
            <w:r>
              <w:rPr>
                <w:sz w:val="21"/>
              </w:rPr>
              <w:t>6 蔬菜类感官要求</w:t>
            </w:r>
          </w:p>
          <w:tbl>
            <w:tblPr>
              <w:tblBorders>
                <w:top w:val="none" w:color="000000" w:sz="4"/>
                <w:left w:val="none" w:color="000000" w:sz="4"/>
                <w:bottom w:val="none" w:color="000000" w:sz="4"/>
                <w:right w:val="none" w:color="000000" w:sz="4"/>
                <w:insideH w:val="none"/>
                <w:insideV w:val="none"/>
              </w:tblBorders>
            </w:tblPr>
            <w:tblGrid>
              <w:gridCol w:w="1115"/>
              <w:gridCol w:w="2230"/>
              <w:gridCol w:w="2893"/>
            </w:tblGrid>
            <w:tr>
              <w:tc>
                <w:tcPr>
                  <w:tcW w:type="dxa" w:w="1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2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常见品种</w:t>
                  </w:r>
                </w:p>
              </w:tc>
              <w:tc>
                <w:tcPr>
                  <w:tcW w:type="dxa" w:w="2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感官要求</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叶菜类</w:t>
                  </w:r>
                </w:p>
              </w:tc>
              <w:tc>
                <w:tcPr>
                  <w:tcW w:type="dxa" w:w="2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大白菜、小白菜、菜心、生菜、油菜、菠菜等</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色泽鲜亮、切口不变色，叶片挺而不萎蔫，无明显黄叶、腐烂叶；质地脆嫩。</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根茎类</w:t>
                  </w:r>
                </w:p>
              </w:tc>
              <w:tc>
                <w:tcPr>
                  <w:tcW w:type="dxa" w:w="2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萝卜、土豆、红薯、芋头、莲藕、淮山等</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个体均匀，无发芽、变色等现象。</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瓜果类</w:t>
                  </w:r>
                </w:p>
              </w:tc>
              <w:tc>
                <w:tcPr>
                  <w:tcW w:type="dxa" w:w="2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南瓜、黄瓜、苦瓜、茄子、西红柿等</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无明显斑点、畸形、过熟；表皮无明显损伤、变色、生虫等现象。</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豆类</w:t>
                  </w:r>
                </w:p>
              </w:tc>
              <w:tc>
                <w:tcPr>
                  <w:tcW w:type="dxa" w:w="2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豌豆、扁豆、荷兰豆等</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色泽鲜绿，豆荚肉厚，无明显褐斑、畸形、生虫等现象。</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食用菌类</w:t>
                  </w:r>
                </w:p>
              </w:tc>
              <w:tc>
                <w:tcPr>
                  <w:tcW w:type="dxa" w:w="2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香菇、木耳、金针菇等</w:t>
                  </w:r>
                </w:p>
              </w:tc>
              <w:tc>
                <w:tcPr>
                  <w:tcW w:type="dxa" w:w="2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外形饱满</w:t>
                  </w:r>
                  <w:r>
                    <w:rPr>
                      <w:sz w:val="21"/>
                    </w:rPr>
                    <w:t>，</w:t>
                  </w:r>
                  <w:r>
                    <w:rPr>
                      <w:sz w:val="21"/>
                    </w:rPr>
                    <w:t>无明显失水、腐烂、发霉或变色等现象。</w:t>
                  </w:r>
                </w:p>
              </w:tc>
            </w:tr>
          </w:tbl>
          <w:p>
            <w:pPr>
              <w:pStyle w:val="null3"/>
            </w:pPr>
            <w:r>
              <w:rPr>
                <w:sz w:val="21"/>
              </w:rPr>
              <w:t>2.配送前采样检验，提供农药残留检测合格报告（农药残留快检项目应该参考表7）。</w:t>
            </w:r>
          </w:p>
          <w:p>
            <w:pPr>
              <w:pStyle w:val="null3"/>
              <w:jc w:val="both"/>
            </w:pPr>
            <w:r>
              <w:rPr>
                <w:sz w:val="21"/>
              </w:rPr>
              <w:t>表</w:t>
            </w:r>
            <w:r>
              <w:rPr>
                <w:sz w:val="21"/>
              </w:rPr>
              <w:t>7 蔬菜类农药残留快速检测项目</w:t>
            </w:r>
          </w:p>
          <w:tbl>
            <w:tblPr>
              <w:tblBorders>
                <w:top w:val="none" w:color="000000" w:sz="4"/>
                <w:left w:val="none" w:color="000000" w:sz="4"/>
                <w:bottom w:val="none" w:color="000000" w:sz="4"/>
                <w:right w:val="none" w:color="000000" w:sz="4"/>
                <w:insideH w:val="none"/>
                <w:insideV w:val="none"/>
              </w:tblBorders>
            </w:tblPr>
            <w:tblGrid>
              <w:gridCol w:w="1010"/>
              <w:gridCol w:w="2291"/>
              <w:gridCol w:w="2939"/>
            </w:tblGrid>
            <w:tr>
              <w:tc>
                <w:tcPr>
                  <w:tcW w:type="dxa" w:w="10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品种类别</w:t>
                  </w:r>
                </w:p>
              </w:tc>
              <w:tc>
                <w:tcPr>
                  <w:tcW w:type="dxa" w:w="2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检测项目</w:t>
                  </w:r>
                </w:p>
              </w:tc>
              <w:tc>
                <w:tcPr>
                  <w:tcW w:type="dxa" w:w="2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0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2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有机磷和氨基甲酸酯类</w:t>
                  </w:r>
                </w:p>
              </w:tc>
              <w:tc>
                <w:tcPr>
                  <w:tcW w:type="dxa" w:w="2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野菜例如香椿加检亚硝酸盐，多菌灵限韭菜、抱子甘蓝、结球莴苣、番茄、茄子、黄瓜、西葫芦、菜豆、芦笋、辣椒检测；百菌清限洋葱、抱子甘蓝、头状花序芸薹属类蔬菜、菠菜、普通白菜、叶用莴苣、芹菜、大白菜、番茄、樱桃番茄、茄子、辣椒、甜椒、黄瓜、西葫芦、节瓜、苦瓜、丝瓜、冬瓜、南瓜、笋瓜、豇豆、菜豆、食荚豌豆、菜用大豆、根茎类蔬菜、马铃薯检测。</w:t>
                  </w:r>
                </w:p>
              </w:tc>
            </w:tr>
            <w:tr>
              <w:tc>
                <w:tcPr>
                  <w:tcW w:type="dxa" w:w="1010"/>
                  <w:vMerge/>
                  <w:tcBorders>
                    <w:top w:val="none" w:color="000000" w:sz="4"/>
                    <w:left w:val="single" w:color="000000" w:sz="4"/>
                    <w:bottom w:val="single" w:color="000000" w:sz="4"/>
                    <w:right w:val="single" w:color="000000" w:sz="4"/>
                  </w:tcBorders>
                </w:tcPr>
                <w:p/>
              </w:tc>
              <w:tc>
                <w:tcPr>
                  <w:tcW w:type="dxa" w:w="2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毒死蜱（胶体金法）</w:t>
                  </w:r>
                </w:p>
              </w:tc>
              <w:tc>
                <w:tcPr>
                  <w:tcW w:type="dxa" w:w="2939"/>
                  <w:vMerge/>
                  <w:tcBorders>
                    <w:top w:val="none" w:color="000000" w:sz="4"/>
                    <w:left w:val="none" w:color="000000" w:sz="4"/>
                    <w:bottom w:val="single" w:color="000000" w:sz="4"/>
                    <w:right w:val="single" w:color="000000" w:sz="4"/>
                  </w:tcBorders>
                </w:tcPr>
                <w:p/>
              </w:tc>
            </w:tr>
            <w:tr>
              <w:tc>
                <w:tcPr>
                  <w:tcW w:type="dxa" w:w="1010"/>
                  <w:vMerge/>
                  <w:tcBorders>
                    <w:top w:val="none" w:color="000000" w:sz="4"/>
                    <w:left w:val="single" w:color="000000" w:sz="4"/>
                    <w:bottom w:val="single" w:color="000000" w:sz="4"/>
                    <w:right w:val="single" w:color="000000" w:sz="4"/>
                  </w:tcBorders>
                </w:tcPr>
                <w:p/>
              </w:tc>
              <w:tc>
                <w:tcPr>
                  <w:tcW w:type="dxa" w:w="2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克百威（胶体金法）</w:t>
                  </w:r>
                </w:p>
              </w:tc>
              <w:tc>
                <w:tcPr>
                  <w:tcW w:type="dxa" w:w="2939"/>
                  <w:vMerge/>
                  <w:tcBorders>
                    <w:top w:val="none" w:color="000000" w:sz="4"/>
                    <w:left w:val="none" w:color="000000" w:sz="4"/>
                    <w:bottom w:val="single" w:color="000000" w:sz="4"/>
                    <w:right w:val="single" w:color="000000" w:sz="4"/>
                  </w:tcBorders>
                </w:tcPr>
                <w:p/>
              </w:tc>
            </w:tr>
            <w:tr>
              <w:tc>
                <w:tcPr>
                  <w:tcW w:type="dxa" w:w="1010"/>
                  <w:vMerge/>
                  <w:tcBorders>
                    <w:top w:val="none" w:color="000000" w:sz="4"/>
                    <w:left w:val="single" w:color="000000" w:sz="4"/>
                    <w:bottom w:val="single" w:color="000000" w:sz="4"/>
                    <w:right w:val="single" w:color="000000" w:sz="4"/>
                  </w:tcBorders>
                </w:tcPr>
                <w:p/>
              </w:tc>
              <w:tc>
                <w:tcPr>
                  <w:tcW w:type="dxa" w:w="2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水胺硫磷（胶体金法）</w:t>
                  </w:r>
                </w:p>
              </w:tc>
              <w:tc>
                <w:tcPr>
                  <w:tcW w:type="dxa" w:w="2939"/>
                  <w:vMerge/>
                  <w:tcBorders>
                    <w:top w:val="none" w:color="000000" w:sz="4"/>
                    <w:left w:val="none" w:color="000000" w:sz="4"/>
                    <w:bottom w:val="single" w:color="000000" w:sz="4"/>
                    <w:right w:val="single" w:color="000000" w:sz="4"/>
                  </w:tcBorders>
                </w:tcPr>
                <w:p/>
              </w:tc>
            </w:tr>
            <w:tr>
              <w:tc>
                <w:tcPr>
                  <w:tcW w:type="dxa" w:w="1010"/>
                  <w:vMerge/>
                  <w:tcBorders>
                    <w:top w:val="none" w:color="000000" w:sz="4"/>
                    <w:left w:val="single" w:color="000000" w:sz="4"/>
                    <w:bottom w:val="single" w:color="000000" w:sz="4"/>
                    <w:right w:val="single" w:color="000000" w:sz="4"/>
                  </w:tcBorders>
                </w:tcPr>
                <w:p/>
              </w:tc>
              <w:tc>
                <w:tcPr>
                  <w:tcW w:type="dxa" w:w="2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多菌灵（胶体金法）</w:t>
                  </w:r>
                </w:p>
              </w:tc>
              <w:tc>
                <w:tcPr>
                  <w:tcW w:type="dxa" w:w="2939"/>
                  <w:vMerge/>
                  <w:tcBorders>
                    <w:top w:val="none" w:color="000000" w:sz="4"/>
                    <w:left w:val="none" w:color="000000" w:sz="4"/>
                    <w:bottom w:val="single" w:color="000000" w:sz="4"/>
                    <w:right w:val="single" w:color="000000" w:sz="4"/>
                  </w:tcBorders>
                </w:tcPr>
                <w:p/>
              </w:tc>
            </w:tr>
            <w:tr>
              <w:tc>
                <w:tcPr>
                  <w:tcW w:type="dxa" w:w="1010"/>
                  <w:vMerge/>
                  <w:tcBorders>
                    <w:top w:val="none" w:color="000000" w:sz="4"/>
                    <w:left w:val="single" w:color="000000" w:sz="4"/>
                    <w:bottom w:val="single" w:color="000000" w:sz="4"/>
                    <w:right w:val="single" w:color="000000" w:sz="4"/>
                  </w:tcBorders>
                </w:tcPr>
                <w:p/>
              </w:tc>
              <w:tc>
                <w:tcPr>
                  <w:tcW w:type="dxa" w:w="2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百菌清（胶体金法）</w:t>
                  </w:r>
                </w:p>
              </w:tc>
              <w:tc>
                <w:tcPr>
                  <w:tcW w:type="dxa" w:w="2939"/>
                  <w:vMerge/>
                  <w:tcBorders>
                    <w:top w:val="none" w:color="000000" w:sz="4"/>
                    <w:left w:val="none" w:color="000000" w:sz="4"/>
                    <w:bottom w:val="single" w:color="000000" w:sz="4"/>
                    <w:right w:val="single" w:color="000000" w:sz="4"/>
                  </w:tcBorders>
                </w:tcPr>
                <w:p/>
              </w:tc>
            </w:tr>
          </w:tbl>
          <w:p>
            <w:pPr>
              <w:pStyle w:val="null3"/>
              <w:jc w:val="both"/>
            </w:pPr>
            <w:r>
              <w:rPr>
                <w:sz w:val="21"/>
              </w:rPr>
              <w:t>检测指标要求：</w:t>
            </w:r>
          </w:p>
          <w:tbl>
            <w:tblPr>
              <w:tblBorders>
                <w:top w:val="none" w:color="000000" w:sz="4"/>
                <w:left w:val="none" w:color="000000" w:sz="4"/>
                <w:bottom w:val="none" w:color="000000" w:sz="4"/>
                <w:right w:val="none" w:color="000000" w:sz="4"/>
                <w:insideH w:val="none"/>
                <w:insideV w:val="none"/>
              </w:tblBorders>
            </w:tblPr>
            <w:tblGrid>
              <w:gridCol w:w="2120"/>
              <w:gridCol w:w="4119"/>
            </w:tblGrid>
            <w:tr>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4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w:t>
                  </w:r>
                  <w:r>
                    <w:rPr>
                      <w:sz w:val="21"/>
                    </w:rPr>
                    <w:t>（</w:t>
                  </w:r>
                  <w:r>
                    <w:rPr>
                      <w:sz w:val="21"/>
                    </w:rPr>
                    <w:t>mg/kg）</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甲胺磷</w:t>
                  </w:r>
                </w:p>
              </w:tc>
              <w:tc>
                <w:tcPr>
                  <w:tcW w:type="dxa" w:w="4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甲拌磷</w:t>
                  </w:r>
                </w:p>
              </w:tc>
              <w:tc>
                <w:tcPr>
                  <w:tcW w:type="dxa" w:w="4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氧化乐果</w:t>
                  </w:r>
                </w:p>
              </w:tc>
              <w:tc>
                <w:tcPr>
                  <w:tcW w:type="dxa" w:w="4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甲基对硫磷</w:t>
                  </w:r>
                </w:p>
              </w:tc>
              <w:tc>
                <w:tcPr>
                  <w:tcW w:type="dxa" w:w="4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呋喃丹</w:t>
                  </w:r>
                </w:p>
              </w:tc>
              <w:tc>
                <w:tcPr>
                  <w:tcW w:type="dxa" w:w="4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克百威</w:t>
                  </w:r>
                </w:p>
              </w:tc>
              <w:tc>
                <w:tcPr>
                  <w:tcW w:type="dxa" w:w="4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百菌清</w:t>
                  </w:r>
                </w:p>
              </w:tc>
              <w:tc>
                <w:tcPr>
                  <w:tcW w:type="dxa" w:w="4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多菌灵</w:t>
                  </w:r>
                </w:p>
              </w:tc>
              <w:tc>
                <w:tcPr>
                  <w:tcW w:type="dxa" w:w="4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毒死蜱</w:t>
                  </w:r>
                </w:p>
              </w:tc>
              <w:tc>
                <w:tcPr>
                  <w:tcW w:type="dxa" w:w="4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汞（以</w:t>
                  </w:r>
                  <w:r>
                    <w:rPr>
                      <w:sz w:val="21"/>
                    </w:rPr>
                    <w:t>Hg计）</w:t>
                  </w:r>
                </w:p>
              </w:tc>
              <w:tc>
                <w:tcPr>
                  <w:tcW w:type="dxa" w:w="4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≤0.01</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铅（以</w:t>
                  </w:r>
                  <w:r>
                    <w:rPr>
                      <w:sz w:val="21"/>
                    </w:rPr>
                    <w:t>P</w:t>
                  </w:r>
                  <w:r>
                    <w:rPr>
                      <w:sz w:val="21"/>
                    </w:rPr>
                    <w:t>b计）</w:t>
                  </w:r>
                </w:p>
              </w:tc>
              <w:tc>
                <w:tcPr>
                  <w:tcW w:type="dxa" w:w="4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砷（以</w:t>
                  </w:r>
                  <w:r>
                    <w:rPr>
                      <w:sz w:val="21"/>
                    </w:rPr>
                    <w:t>As计）</w:t>
                  </w:r>
                </w:p>
              </w:tc>
              <w:tc>
                <w:tcPr>
                  <w:tcW w:type="dxa" w:w="4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氟（以</w:t>
                  </w:r>
                  <w:r>
                    <w:rPr>
                      <w:sz w:val="21"/>
                    </w:rPr>
                    <w:t>F计）</w:t>
                  </w:r>
                </w:p>
              </w:tc>
              <w:tc>
                <w:tcPr>
                  <w:tcW w:type="dxa" w:w="4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硝酸盐（以</w:t>
                  </w:r>
                  <w:r>
                    <w:rPr>
                      <w:sz w:val="21"/>
                    </w:rPr>
                    <w:t>NaN</w:t>
                  </w:r>
                  <w:r>
                    <w:rPr>
                      <w:sz w:val="21"/>
                    </w:rPr>
                    <w:t>O</w:t>
                  </w:r>
                  <w:r>
                    <w:rPr>
                      <w:sz w:val="21"/>
                      <w:vertAlign w:val="subscript"/>
                    </w:rPr>
                    <w:t>3</w:t>
                  </w:r>
                  <w:r>
                    <w:rPr>
                      <w:sz w:val="21"/>
                    </w:rPr>
                    <w:t>计）</w:t>
                  </w:r>
                </w:p>
              </w:tc>
              <w:tc>
                <w:tcPr>
                  <w:tcW w:type="dxa" w:w="4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瓜果类</w:t>
                  </w:r>
                  <w:r>
                    <w:rPr>
                      <w:sz w:val="21"/>
                    </w:rPr>
                    <w:t>≤600，叶菜根茎类≤1200</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亚硝酸盐（以</w:t>
                  </w:r>
                  <w:r>
                    <w:rPr>
                      <w:sz w:val="21"/>
                    </w:rPr>
                    <w:t>NaN</w:t>
                  </w:r>
                  <w:r>
                    <w:rPr>
                      <w:sz w:val="21"/>
                    </w:rPr>
                    <w:t>O</w:t>
                  </w:r>
                  <w:r>
                    <w:rPr>
                      <w:sz w:val="21"/>
                      <w:vertAlign w:val="subscript"/>
                    </w:rPr>
                    <w:t>2</w:t>
                  </w:r>
                  <w:r>
                    <w:rPr>
                      <w:sz w:val="21"/>
                    </w:rPr>
                    <w:t>计）</w:t>
                  </w:r>
                </w:p>
              </w:tc>
              <w:tc>
                <w:tcPr>
                  <w:tcW w:type="dxa" w:w="4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.0</w:t>
                  </w:r>
                </w:p>
              </w:tc>
            </w:tr>
            <w:tr>
              <w:tc>
                <w:tcPr>
                  <w:tcW w:type="dxa" w:w="62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国家规定其他必检项目必须符合国家标准</w:t>
                  </w:r>
                </w:p>
              </w:tc>
            </w:tr>
          </w:tbl>
          <w:p>
            <w:pPr>
              <w:pStyle w:val="null3"/>
              <w:jc w:val="both"/>
            </w:pPr>
            <w:r>
              <w:rPr>
                <w:sz w:val="21"/>
              </w:rPr>
              <w:t>3.所有蔬菜在交付采购人前需经过前期处理，</w:t>
            </w:r>
            <w:r>
              <w:rPr>
                <w:sz w:val="21"/>
              </w:rPr>
              <w:t>食</w:t>
            </w:r>
            <w:r>
              <w:rPr>
                <w:sz w:val="21"/>
              </w:rPr>
              <w:t>用率达到</w:t>
            </w:r>
            <w:r>
              <w:rPr>
                <w:sz w:val="21"/>
              </w:rPr>
              <w:t>95%以上。</w:t>
            </w:r>
          </w:p>
          <w:p>
            <w:pPr>
              <w:pStyle w:val="null3"/>
              <w:jc w:val="both"/>
            </w:pPr>
            <w:r>
              <w:rPr>
                <w:sz w:val="21"/>
              </w:rPr>
              <w:t>4.食品供应链要求：所有食品的来源必须清晰。蔬菜来源应当受到地方政府部门监管的自有基地、货物菜基地或蔬菜专业流通市场，严禁收购散户农民的蔬菜供应。</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水果</w:t>
            </w:r>
          </w:p>
        </w:tc>
        <w:tc>
          <w:tcPr>
            <w:tcW w:type="dxa" w:w="6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1.所有水果必须符合国家有关标准，保证新鲜、无异味、无霉烂变质。</w:t>
            </w:r>
          </w:p>
          <w:p>
            <w:pPr>
              <w:pStyle w:val="null3"/>
            </w:pPr>
            <w:r>
              <w:rPr>
                <w:sz w:val="21"/>
              </w:rPr>
              <w:t>2.所有水果必须保证食用安全，绝无农药等有害物质的</w:t>
            </w:r>
            <w:r>
              <w:rPr>
                <w:sz w:val="21"/>
              </w:rPr>
              <w:t>残留</w:t>
            </w:r>
            <w:r>
              <w:rPr>
                <w:sz w:val="21"/>
              </w:rPr>
              <w:t>。中标人所提供的果品应符合国家规定的绿色果品要求。应是正规、洁净，</w:t>
            </w:r>
            <w:r>
              <w:rPr>
                <w:sz w:val="21"/>
              </w:rPr>
              <w:t>且</w:t>
            </w:r>
            <w:r>
              <w:rPr>
                <w:sz w:val="21"/>
              </w:rPr>
              <w:t>有毒有害物质</w:t>
            </w:r>
            <w:r>
              <w:rPr>
                <w:sz w:val="21"/>
              </w:rPr>
              <w:t>含量在国家</w:t>
            </w:r>
            <w:r>
              <w:rPr>
                <w:sz w:val="21"/>
              </w:rPr>
              <w:t>安全标准之下的果品，其品质、营养价值和卫生安全指标应严格符合国家的规定及相关食品卫生标准。</w:t>
            </w:r>
          </w:p>
          <w:p>
            <w:pPr>
              <w:pStyle w:val="null3"/>
            </w:pPr>
            <w:r>
              <w:rPr>
                <w:sz w:val="21"/>
              </w:rPr>
              <w:t>3.所有水果在交付采购人前必须经过前期处理，食用率达到95%以上。</w:t>
            </w:r>
          </w:p>
          <w:p>
            <w:pPr>
              <w:pStyle w:val="null3"/>
            </w:pPr>
            <w:r>
              <w:rPr>
                <w:sz w:val="21"/>
              </w:rPr>
              <w:t>4.水果检验标准</w:t>
            </w:r>
          </w:p>
          <w:p>
            <w:pPr>
              <w:pStyle w:val="null3"/>
            </w:pPr>
            <w:r>
              <w:rPr>
                <w:sz w:val="21"/>
              </w:rPr>
              <w:t>鲜果品的感官鉴别方法主要是目测、鼻嗅和口尝。</w:t>
            </w:r>
          </w:p>
          <w:p>
            <w:pPr>
              <w:pStyle w:val="null3"/>
            </w:pPr>
            <w:r>
              <w:rPr>
                <w:sz w:val="21"/>
              </w:rPr>
              <w:t>（</w:t>
            </w:r>
            <w:r>
              <w:rPr>
                <w:sz w:val="21"/>
              </w:rPr>
              <w:t>1）目测：果品的色泽需正常，展现该品种应有的色泽及形态特征；</w:t>
            </w:r>
          </w:p>
          <w:p>
            <w:pPr>
              <w:pStyle w:val="null3"/>
            </w:pPr>
            <w:r>
              <w:rPr>
                <w:sz w:val="21"/>
              </w:rPr>
              <w:t>成熟度需适中，避免果品过生导致的未成熟或过熟引起的品质下降；</w:t>
            </w:r>
          </w:p>
          <w:p>
            <w:pPr>
              <w:pStyle w:val="null3"/>
            </w:pPr>
            <w:r>
              <w:rPr>
                <w:sz w:val="21"/>
              </w:rPr>
              <w:t>果型应端正，个头大小保持基本一致，以确保产品外观的整齐划一。</w:t>
            </w:r>
          </w:p>
          <w:p>
            <w:pPr>
              <w:pStyle w:val="null3"/>
            </w:pPr>
            <w:r>
              <w:rPr>
                <w:sz w:val="21"/>
              </w:rPr>
              <w:t>果品表面需保持清洁新鲜，无任何病虫害、机械损伤、异常斑点、虫蛀或损伤的痕迹。</w:t>
            </w:r>
          </w:p>
          <w:p>
            <w:pPr>
              <w:pStyle w:val="null3"/>
            </w:pPr>
            <w:r>
              <w:rPr>
                <w:sz w:val="21"/>
              </w:rPr>
              <w:t>（</w:t>
            </w:r>
            <w:r>
              <w:rPr>
                <w:sz w:val="21"/>
              </w:rPr>
              <w:t>2）鼻嗅：果品应散发出本品种特有的芳香味，以验证其新鲜度和品种纯正性；避免果品因变质而产生的不良气味，如坚果的哈喇味或西瓜的馊味等。</w:t>
            </w:r>
          </w:p>
          <w:p>
            <w:pPr>
              <w:pStyle w:val="null3"/>
            </w:pPr>
            <w:r>
              <w:rPr>
                <w:sz w:val="21"/>
              </w:rPr>
              <w:t>（</w:t>
            </w:r>
            <w:r>
              <w:rPr>
                <w:sz w:val="21"/>
              </w:rPr>
              <w:t>3）口尝：果品的滋味需正常，无异常味道；果肉质地需良好，口感细腻，符合该品种特有的风味；确保果品无异味，保持其天然、纯净的口感。</w:t>
            </w:r>
          </w:p>
          <w:p>
            <w:pPr>
              <w:pStyle w:val="null3"/>
            </w:pPr>
            <w:r>
              <w:rPr>
                <w:sz w:val="21"/>
              </w:rPr>
              <w:t>5.配送前采样检验，提供农药残留检测合格报告（农药残留快检项目参考表8）。</w:t>
            </w:r>
          </w:p>
          <w:p>
            <w:pPr>
              <w:pStyle w:val="null3"/>
              <w:jc w:val="both"/>
            </w:pPr>
            <w:r>
              <w:rPr>
                <w:sz w:val="21"/>
              </w:rPr>
              <w:t>表</w:t>
            </w:r>
            <w:r>
              <w:rPr>
                <w:sz w:val="21"/>
              </w:rPr>
              <w:t>8 水果类农药残留快速检测项目</w:t>
            </w:r>
          </w:p>
          <w:tbl>
            <w:tblPr>
              <w:tblBorders>
                <w:top w:val="none" w:color="000000" w:sz="4"/>
                <w:left w:val="none" w:color="000000" w:sz="4"/>
                <w:bottom w:val="none" w:color="000000" w:sz="4"/>
                <w:right w:val="none" w:color="000000" w:sz="4"/>
                <w:insideH w:val="none"/>
                <w:insideV w:val="none"/>
              </w:tblBorders>
            </w:tblPr>
            <w:tblGrid>
              <w:gridCol w:w="1849"/>
              <w:gridCol w:w="4390"/>
            </w:tblGrid>
            <w:tr>
              <w:tc>
                <w:tcPr>
                  <w:tcW w:type="dxa" w:w="1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品种类别</w:t>
                  </w:r>
                </w:p>
              </w:tc>
              <w:tc>
                <w:tcPr>
                  <w:tcW w:type="dxa" w:w="4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检测项目</w:t>
                  </w:r>
                </w:p>
              </w:tc>
            </w:tr>
            <w:tr>
              <w:tc>
                <w:tcPr>
                  <w:tcW w:type="dxa" w:w="18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水果</w:t>
                  </w:r>
                </w:p>
              </w:tc>
              <w:tc>
                <w:tcPr>
                  <w:tcW w:type="dxa" w:w="4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有机磷和氨基甲酸酯类</w:t>
                  </w:r>
                </w:p>
              </w:tc>
            </w:tr>
            <w:tr>
              <w:tc>
                <w:tcPr>
                  <w:tcW w:type="dxa" w:w="1849"/>
                  <w:vMerge/>
                  <w:tcBorders>
                    <w:top w:val="none" w:color="000000" w:sz="4"/>
                    <w:left w:val="single" w:color="000000" w:sz="4"/>
                    <w:bottom w:val="single" w:color="000000" w:sz="4"/>
                    <w:right w:val="single" w:color="000000" w:sz="4"/>
                  </w:tcBorders>
                </w:tcPr>
                <w:p/>
              </w:tc>
              <w:tc>
                <w:tcPr>
                  <w:tcW w:type="dxa" w:w="4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毒死蜱（胶体金法）</w:t>
                  </w:r>
                </w:p>
              </w:tc>
            </w:tr>
            <w:tr>
              <w:tc>
                <w:tcPr>
                  <w:tcW w:type="dxa" w:w="1849"/>
                  <w:vMerge/>
                  <w:tcBorders>
                    <w:top w:val="none" w:color="000000" w:sz="4"/>
                    <w:left w:val="single" w:color="000000" w:sz="4"/>
                    <w:bottom w:val="single" w:color="000000" w:sz="4"/>
                    <w:right w:val="single" w:color="000000" w:sz="4"/>
                  </w:tcBorders>
                </w:tcPr>
                <w:p/>
              </w:tc>
              <w:tc>
                <w:tcPr>
                  <w:tcW w:type="dxa" w:w="4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克百威（胶体金法）</w:t>
                  </w:r>
                </w:p>
              </w:tc>
            </w:tr>
            <w:tr>
              <w:tc>
                <w:tcPr>
                  <w:tcW w:type="dxa" w:w="1849"/>
                  <w:vMerge/>
                  <w:tcBorders>
                    <w:top w:val="none" w:color="000000" w:sz="4"/>
                    <w:left w:val="single" w:color="000000" w:sz="4"/>
                    <w:bottom w:val="single" w:color="000000" w:sz="4"/>
                    <w:right w:val="single" w:color="000000" w:sz="4"/>
                  </w:tcBorders>
                </w:tcPr>
                <w:p/>
              </w:tc>
              <w:tc>
                <w:tcPr>
                  <w:tcW w:type="dxa" w:w="4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水胺硫磷（胶体金法）</w:t>
                  </w:r>
                </w:p>
              </w:tc>
            </w:tr>
          </w:tbl>
          <w:p>
            <w:pPr>
              <w:pStyle w:val="null3"/>
              <w:jc w:val="both"/>
            </w:pPr>
            <w:r>
              <w:rPr>
                <w:sz w:val="21"/>
              </w:rPr>
              <w:t>检测指标要求：</w:t>
            </w:r>
          </w:p>
          <w:tbl>
            <w:tblPr>
              <w:tblBorders>
                <w:top w:val="none" w:color="000000" w:sz="4"/>
                <w:left w:val="none" w:color="000000" w:sz="4"/>
                <w:bottom w:val="none" w:color="000000" w:sz="4"/>
                <w:right w:val="none" w:color="000000" w:sz="4"/>
                <w:insideH w:val="none"/>
                <w:insideV w:val="none"/>
              </w:tblBorders>
            </w:tblPr>
            <w:tblGrid>
              <w:gridCol w:w="2444"/>
              <w:gridCol w:w="3795"/>
            </w:tblGrid>
            <w:tr>
              <w:tc>
                <w:tcPr>
                  <w:tcW w:type="dxa" w:w="2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3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w:t>
                  </w:r>
                  <w:r>
                    <w:rPr>
                      <w:sz w:val="21"/>
                    </w:rPr>
                    <w:t>（</w:t>
                  </w:r>
                  <w:r>
                    <w:rPr>
                      <w:sz w:val="21"/>
                    </w:rPr>
                    <w:t>mg/kg）</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对硫磷</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甲拌磷</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甲胺磷</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久效磷</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氧化乐果</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克百威</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水胺硫磷</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≤0.02</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百菌清</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多菌灵</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砷（以</w:t>
                  </w:r>
                  <w:r>
                    <w:rPr>
                      <w:sz w:val="21"/>
                    </w:rPr>
                    <w:t>A</w:t>
                  </w:r>
                  <w:r>
                    <w:rPr>
                      <w:sz w:val="21"/>
                    </w:rPr>
                    <w:t>s</w:t>
                  </w:r>
                  <w:r>
                    <w:rPr>
                      <w:sz w:val="21"/>
                    </w:rPr>
                    <w:t>计）</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≤0.5</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汞（以</w:t>
                  </w:r>
                  <w:r>
                    <w:rPr>
                      <w:sz w:val="21"/>
                    </w:rPr>
                    <w:t>Hg计）</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≤0.01</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铅（以</w:t>
                  </w:r>
                  <w:r>
                    <w:rPr>
                      <w:sz w:val="21"/>
                    </w:rPr>
                    <w:t>Pb计）</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≤0.2</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铬（以</w:t>
                  </w:r>
                  <w:r>
                    <w:rPr>
                      <w:sz w:val="21"/>
                    </w:rPr>
                    <w:t>Cr计）</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≤0.5</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镉（以</w:t>
                  </w:r>
                  <w:r>
                    <w:rPr>
                      <w:sz w:val="21"/>
                    </w:rPr>
                    <w:t>Cd计）</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≤0.03</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氟（以</w:t>
                  </w:r>
                  <w:r>
                    <w:rPr>
                      <w:sz w:val="21"/>
                    </w:rPr>
                    <w:t>F计）</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≤0.5</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亚硝酸盐（以</w:t>
                  </w:r>
                  <w:r>
                    <w:rPr>
                      <w:sz w:val="21"/>
                    </w:rPr>
                    <w:t>NaNO</w:t>
                  </w:r>
                  <w:r>
                    <w:rPr>
                      <w:sz w:val="21"/>
                      <w:vertAlign w:val="subscript"/>
                    </w:rPr>
                    <w:t>2</w:t>
                  </w:r>
                  <w:r>
                    <w:rPr>
                      <w:sz w:val="21"/>
                    </w:rPr>
                    <w:t>计）</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≤4.0</w:t>
                  </w:r>
                </w:p>
              </w:tc>
            </w:tr>
            <w:tr>
              <w:tc>
                <w:tcPr>
                  <w:tcW w:type="dxa" w:w="244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硝酸盐（以</w:t>
                  </w:r>
                  <w:r>
                    <w:rPr>
                      <w:sz w:val="21"/>
                    </w:rPr>
                    <w:t>NaNO</w:t>
                  </w:r>
                  <w:r>
                    <w:rPr>
                      <w:sz w:val="21"/>
                      <w:vertAlign w:val="subscript"/>
                    </w:rPr>
                    <w:t>3</w:t>
                  </w:r>
                  <w:r>
                    <w:rPr>
                      <w:sz w:val="21"/>
                    </w:rPr>
                    <w:t>计）</w:t>
                  </w:r>
                </w:p>
              </w:tc>
              <w:tc>
                <w:tcPr>
                  <w:tcW w:type="dxa" w:w="379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≤400</w:t>
                  </w:r>
                </w:p>
              </w:tc>
            </w:tr>
            <w:tr>
              <w:tc>
                <w:tcPr>
                  <w:tcW w:type="dxa" w:w="62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国家规定其他必检项目必须符合国家标准</w:t>
                  </w:r>
                </w:p>
              </w:tc>
            </w:tr>
          </w:tbl>
          <w:p>
            <w:pPr>
              <w:pStyle w:val="null3"/>
              <w:jc w:val="both"/>
            </w:p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豆制品</w:t>
            </w:r>
          </w:p>
        </w:tc>
        <w:tc>
          <w:tcPr>
            <w:tcW w:type="dxa" w:w="6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1.质量符合食品安全国家标准GB 2712-2014《食品安全国家标准</w:t>
            </w:r>
            <w:r>
              <w:rPr>
                <w:sz w:val="19"/>
              </w:rPr>
              <w:t xml:space="preserve"> </w:t>
            </w:r>
            <w:r>
              <w:rPr>
                <w:sz w:val="21"/>
              </w:rPr>
              <w:t>豆制品》的要求。</w:t>
            </w:r>
          </w:p>
          <w:p>
            <w:pPr>
              <w:pStyle w:val="null3"/>
              <w:jc w:val="both"/>
            </w:pPr>
            <w:r>
              <w:rPr>
                <w:sz w:val="21"/>
              </w:rPr>
              <w:t>2.具有相应产品固有的色、香、味等状态，无杂质，无其他不良气味。</w:t>
            </w:r>
          </w:p>
          <w:p>
            <w:pPr>
              <w:pStyle w:val="null3"/>
              <w:jc w:val="both"/>
            </w:pPr>
            <w:r>
              <w:rPr>
                <w:sz w:val="21"/>
              </w:rPr>
              <w:t>3.豆制品色泽呈白色或微黄色，不发暗；无虫，无结块，无杂质，手指捻捏时呈细粉末状，无粗粒感，置手中紧捏后放开不成团；具有豆制品的正常气味，无霉臭味、酸味、煤油味及其他异味；尝之淡而微甜，没有发酸、刺喉、发苦、发甜及外来滋味。无禁用添加剂，符合国家食品安全标准。</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乳制品</w:t>
            </w:r>
          </w:p>
        </w:tc>
        <w:tc>
          <w:tcPr>
            <w:tcW w:type="dxa" w:w="6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1.统一配送纯牛奶或酸牛奶，配送的奶制品不得超过保质期的三分之一，且包装完好，表面无残留污物、无破损。</w:t>
            </w:r>
          </w:p>
          <w:p>
            <w:pPr>
              <w:pStyle w:val="null3"/>
              <w:jc w:val="both"/>
            </w:pPr>
            <w:r>
              <w:rPr>
                <w:sz w:val="21"/>
              </w:rPr>
              <w:t>2.以生牛乳为主要原料加工，不得使用、不得添加复原乳及营养强化剂。色泽乳白或微黄，具有新鲜乳香，无异味、霉味或发酵味，质地均匀无分层或沉积物，尝味纯正无异味。</w:t>
            </w:r>
          </w:p>
          <w:p>
            <w:pPr>
              <w:pStyle w:val="null3"/>
              <w:jc w:val="both"/>
            </w:pPr>
            <w:r>
              <w:rPr>
                <w:sz w:val="21"/>
              </w:rPr>
              <w:t>3.符合食品安全国家标准及产品标签明示执行标准的要求（参考表9），关键指标符合表10的要求。</w:t>
            </w:r>
          </w:p>
          <w:p>
            <w:pPr>
              <w:pStyle w:val="null3"/>
              <w:jc w:val="both"/>
            </w:pPr>
            <w:r>
              <w:rPr>
                <w:sz w:val="21"/>
              </w:rPr>
              <w:t>表</w:t>
            </w:r>
            <w:r>
              <w:rPr>
                <w:sz w:val="21"/>
              </w:rPr>
              <w:t>9乳制品相关标准</w:t>
            </w:r>
          </w:p>
          <w:tbl>
            <w:tblPr>
              <w:tblBorders>
                <w:top w:val="none" w:color="000000" w:sz="4"/>
                <w:left w:val="none" w:color="000000" w:sz="4"/>
                <w:bottom w:val="none" w:color="000000" w:sz="4"/>
                <w:right w:val="none" w:color="000000" w:sz="4"/>
                <w:insideH w:val="none"/>
                <w:insideV w:val="none"/>
              </w:tblBorders>
            </w:tblPr>
            <w:tblGrid>
              <w:gridCol w:w="722"/>
              <w:gridCol w:w="5517"/>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相关标准</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GB 19302-2025《食品安全国家标准</w:t>
                  </w:r>
                  <w:r>
                    <w:rPr>
                      <w:sz w:val="19"/>
                    </w:rPr>
                    <w:t xml:space="preserve"> </w:t>
                  </w:r>
                  <w:r>
                    <w:rPr>
                      <w:sz w:val="21"/>
                    </w:rPr>
                    <w:t>发酵乳》</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GB 19645-2010《食品安全国家标准</w:t>
                  </w:r>
                  <w:r>
                    <w:rPr>
                      <w:sz w:val="19"/>
                    </w:rPr>
                    <w:t xml:space="preserve"> </w:t>
                  </w:r>
                  <w:r>
                    <w:rPr>
                      <w:sz w:val="21"/>
                    </w:rPr>
                    <w:t>巴氏杀菌乳》</w:t>
                  </w:r>
                  <w:r>
                    <w:rPr>
                      <w:sz w:val="21"/>
                    </w:rPr>
                    <w:t>、</w:t>
                  </w:r>
                  <w:r>
                    <w:rPr>
                      <w:sz w:val="21"/>
                    </w:rPr>
                    <w:t>GB 19645-2025《食品安全国家标准 巴氏杀菌乳》</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GB 25190-2010《食品安全国家标准</w:t>
                  </w:r>
                  <w:r>
                    <w:rPr>
                      <w:sz w:val="19"/>
                    </w:rPr>
                    <w:t xml:space="preserve"> </w:t>
                  </w:r>
                  <w:r>
                    <w:rPr>
                      <w:sz w:val="21"/>
                    </w:rPr>
                    <w:t>灭菌乳》</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GB 25191-2010《食品安全国家标准</w:t>
                  </w:r>
                  <w:r>
                    <w:rPr>
                      <w:sz w:val="19"/>
                    </w:rPr>
                    <w:t xml:space="preserve"> </w:t>
                  </w:r>
                  <w:r>
                    <w:rPr>
                      <w:sz w:val="21"/>
                    </w:rPr>
                    <w:t>调制乳》</w:t>
                  </w:r>
                </w:p>
              </w:tc>
            </w:tr>
          </w:tbl>
          <w:p>
            <w:pPr>
              <w:pStyle w:val="null3"/>
              <w:jc w:val="both"/>
            </w:pPr>
            <w:r>
              <w:rPr>
                <w:sz w:val="21"/>
              </w:rPr>
              <w:t>表</w:t>
            </w:r>
            <w:r>
              <w:rPr>
                <w:sz w:val="21"/>
              </w:rPr>
              <w:t>10乳制品关键指标</w:t>
            </w:r>
          </w:p>
          <w:tbl>
            <w:tblPr>
              <w:tblBorders>
                <w:top w:val="none" w:color="000000" w:sz="4"/>
                <w:left w:val="none" w:color="000000" w:sz="4"/>
                <w:bottom w:val="none" w:color="000000" w:sz="4"/>
                <w:right w:val="none" w:color="000000" w:sz="4"/>
                <w:insideH w:val="none"/>
                <w:insideV w:val="none"/>
              </w:tblBorders>
            </w:tblPr>
            <w:tblGrid>
              <w:gridCol w:w="681"/>
              <w:gridCol w:w="1333"/>
              <w:gridCol w:w="1075"/>
              <w:gridCol w:w="984"/>
              <w:gridCol w:w="712"/>
              <w:gridCol w:w="878"/>
              <w:gridCol w:w="575"/>
            </w:tblGrid>
            <w:tr>
              <w:tc>
                <w:tcPr>
                  <w:tcW w:type="dxa" w:w="6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107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低温鲜牛奶（巴氏杀菌乳）</w:t>
                  </w:r>
                </w:p>
              </w:tc>
              <w:tc>
                <w:tcPr>
                  <w:tcW w:type="dxa" w:w="9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常温纯牛奶（灭菌乳）</w:t>
                  </w:r>
                </w:p>
              </w:tc>
              <w:tc>
                <w:tcPr>
                  <w:tcW w:type="dxa" w:w="15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低温酸牛奶</w:t>
                  </w:r>
                </w:p>
              </w:tc>
              <w:tc>
                <w:tcPr>
                  <w:tcW w:type="dxa" w:w="57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调制乳</w:t>
                  </w:r>
                </w:p>
              </w:tc>
            </w:tr>
            <w:tr>
              <w:tc>
                <w:tcPr>
                  <w:tcW w:type="dxa" w:w="681"/>
                  <w:vMerge/>
                  <w:tcBorders>
                    <w:top w:val="single" w:color="000000" w:sz="4"/>
                    <w:left w:val="single" w:color="000000" w:sz="4"/>
                    <w:bottom w:val="single" w:color="000000" w:sz="4"/>
                    <w:right w:val="single" w:color="000000" w:sz="4"/>
                  </w:tcBorders>
                </w:tcPr>
                <w:p/>
              </w:tc>
              <w:tc>
                <w:tcPr>
                  <w:tcW w:type="dxa" w:w="1333"/>
                  <w:vMerge/>
                  <w:tcBorders>
                    <w:top w:val="single" w:color="000000" w:sz="4"/>
                    <w:left w:val="none" w:color="000000" w:sz="4"/>
                    <w:bottom w:val="single" w:color="000000" w:sz="4"/>
                    <w:right w:val="single" w:color="000000" w:sz="4"/>
                  </w:tcBorders>
                </w:tcPr>
                <w:p/>
              </w:tc>
              <w:tc>
                <w:tcPr>
                  <w:tcW w:type="dxa" w:w="1075"/>
                  <w:vMerge/>
                  <w:tcBorders>
                    <w:top w:val="single" w:color="000000" w:sz="4"/>
                    <w:left w:val="none" w:color="000000" w:sz="4"/>
                    <w:bottom w:val="single" w:color="000000" w:sz="4"/>
                    <w:right w:val="single" w:color="000000" w:sz="4"/>
                  </w:tcBorders>
                </w:tcPr>
                <w:p/>
              </w:tc>
              <w:tc>
                <w:tcPr>
                  <w:tcW w:type="dxa" w:w="984"/>
                  <w:vMerge/>
                  <w:tcBorders>
                    <w:top w:val="single" w:color="000000" w:sz="4"/>
                    <w:left w:val="none" w:color="000000" w:sz="4"/>
                    <w:bottom w:val="single" w:color="000000" w:sz="4"/>
                    <w:right w:val="single" w:color="000000" w:sz="4"/>
                  </w:tcBorders>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发酵乳</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风味发酵乳</w:t>
                  </w:r>
                </w:p>
              </w:tc>
              <w:tc>
                <w:tcPr>
                  <w:tcW w:type="dxa" w:w="575"/>
                  <w:vMerge/>
                  <w:tcBorders>
                    <w:top w:val="single" w:color="000000" w:sz="4"/>
                    <w:left w:val="none" w:color="000000" w:sz="4"/>
                    <w:bottom w:val="single" w:color="000000" w:sz="4"/>
                    <w:right w:val="single" w:color="000000" w:sz="4"/>
                  </w:tcBorders>
                </w:tcP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脂肪</w:t>
                  </w:r>
                  <w:r>
                    <w:rPr>
                      <w:sz w:val="21"/>
                    </w:rPr>
                    <w:t>/（g/100g）≥</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蛋白质</w:t>
                  </w:r>
                  <w:r>
                    <w:rPr>
                      <w:sz w:val="21"/>
                    </w:rPr>
                    <w:t>/（g/100g）≥</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铅（</w:t>
                  </w:r>
                  <w:r>
                    <w:rPr>
                      <w:sz w:val="21"/>
                    </w:rPr>
                    <w:t>mg/kg）≤</w:t>
                  </w:r>
                </w:p>
              </w:tc>
              <w:tc>
                <w:tcPr>
                  <w:tcW w:type="dxa" w:w="422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0.02</w:t>
                  </w:r>
                </w:p>
              </w:tc>
            </w:tr>
            <w:tr>
              <w:tc>
                <w:tcPr>
                  <w:tcW w:type="dxa" w:w="62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注：脂肪指标仅适用于全脂巴氏杀菌乳、全脂灭菌乳以及调制乳和发酵乳的全脂产品。</w:t>
                  </w:r>
                </w:p>
              </w:tc>
            </w:tr>
          </w:tbl>
          <w:p>
            <w:pPr>
              <w:pStyle w:val="null3"/>
              <w:jc w:val="both"/>
            </w:p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粉面</w:t>
            </w:r>
          </w:p>
        </w:tc>
        <w:tc>
          <w:tcPr>
            <w:tcW w:type="dxa" w:w="6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（一）感官与质量要求</w:t>
            </w:r>
          </w:p>
          <w:p>
            <w:pPr>
              <w:pStyle w:val="null3"/>
              <w:jc w:val="both"/>
            </w:pPr>
            <w:r>
              <w:rPr>
                <w:sz w:val="21"/>
              </w:rPr>
              <w:t>1.色泽：呈原料固有的自然色泽（如大米、小麦粉的乳白、微黄色），颜色均匀，有光泽，无霉变或异常斑点。</w:t>
            </w:r>
          </w:p>
          <w:p>
            <w:pPr>
              <w:pStyle w:val="null3"/>
              <w:jc w:val="both"/>
            </w:pPr>
            <w:r>
              <w:rPr>
                <w:sz w:val="21"/>
              </w:rPr>
              <w:t>2.组织状态：</w:t>
            </w:r>
          </w:p>
          <w:p>
            <w:pPr>
              <w:pStyle w:val="null3"/>
              <w:jc w:val="both"/>
            </w:pPr>
            <w:r>
              <w:rPr>
                <w:sz w:val="21"/>
              </w:rPr>
              <w:t>干制品（如干米粉、挂面）：形态规整、均匀，无结块、无粘连、无肉眼可见杂质。</w:t>
            </w:r>
          </w:p>
          <w:p>
            <w:pPr>
              <w:pStyle w:val="null3"/>
              <w:jc w:val="both"/>
            </w:pPr>
            <w:r>
              <w:rPr>
                <w:sz w:val="21"/>
              </w:rPr>
              <w:t>湿制品（如鲜河粉、湿面条、湿米粉）：条型完整、有韧性、不粘连、不断条，手感爽滑，无酸败、发粘等变质现象。</w:t>
            </w:r>
          </w:p>
          <w:p>
            <w:pPr>
              <w:pStyle w:val="null3"/>
              <w:jc w:val="both"/>
            </w:pPr>
            <w:r>
              <w:rPr>
                <w:sz w:val="21"/>
              </w:rPr>
              <w:t>3.气味：具有米面制品应有的米香或麦香味，气味清新，无酸味、馊味、霉味或其他异味。</w:t>
            </w:r>
          </w:p>
          <w:p>
            <w:pPr>
              <w:pStyle w:val="null3"/>
              <w:jc w:val="both"/>
            </w:pPr>
            <w:r>
              <w:rPr>
                <w:sz w:val="21"/>
              </w:rPr>
              <w:t>4.口感：煮熟后口感爽滑、有嚼劲，不牙碜，无生涩感或其他不良滋味。</w:t>
            </w:r>
          </w:p>
          <w:p>
            <w:pPr>
              <w:pStyle w:val="null3"/>
              <w:jc w:val="both"/>
            </w:pPr>
            <w:r>
              <w:rPr>
                <w:sz w:val="21"/>
              </w:rPr>
              <w:t>（二）安全与卫生要求</w:t>
            </w:r>
          </w:p>
          <w:p>
            <w:pPr>
              <w:pStyle w:val="null3"/>
              <w:jc w:val="both"/>
            </w:pPr>
            <w:r>
              <w:rPr>
                <w:sz w:val="21"/>
              </w:rPr>
              <w:t>所有产品必须符合中国国家食品安全标准，至少包括但不限于以下标准：</w:t>
            </w:r>
          </w:p>
          <w:p>
            <w:pPr>
              <w:pStyle w:val="null3"/>
              <w:jc w:val="both"/>
            </w:pPr>
            <w:r>
              <w:rPr>
                <w:sz w:val="21"/>
              </w:rPr>
              <w:t>1.污染物限量：符合GB 2762-2022/XG1-2025《食品安全国家标准</w:t>
            </w:r>
            <w:r>
              <w:rPr>
                <w:sz w:val="19"/>
              </w:rPr>
              <w:t xml:space="preserve"> </w:t>
            </w:r>
            <w:r>
              <w:rPr>
                <w:sz w:val="21"/>
              </w:rPr>
              <w:t>食品中污染物限量》</w:t>
            </w:r>
            <w:r>
              <w:rPr>
                <w:sz w:val="21"/>
              </w:rPr>
              <w:t>、</w:t>
            </w:r>
            <w:r>
              <w:rPr>
                <w:sz w:val="21"/>
              </w:rPr>
              <w:t>GB 2762-2025《食品安全国家标准 食品中污染物限量》</w:t>
            </w:r>
            <w:r>
              <w:rPr>
                <w:sz w:val="21"/>
              </w:rPr>
              <w:t>的规定，严格控制铅、砷、镉、汞等重金属以及黄曲霉毒素</w:t>
            </w:r>
            <w:r>
              <w:rPr>
                <w:sz w:val="21"/>
              </w:rPr>
              <w:t>B</w:t>
            </w:r>
            <w:r>
              <w:rPr>
                <w:sz w:val="21"/>
                <w:vertAlign w:val="subscript"/>
              </w:rPr>
              <w:t>1</w:t>
            </w:r>
            <w:r>
              <w:rPr>
                <w:sz w:val="21"/>
              </w:rPr>
              <w:t>的限量。</w:t>
            </w:r>
          </w:p>
          <w:p>
            <w:pPr>
              <w:pStyle w:val="null3"/>
              <w:jc w:val="both"/>
            </w:pPr>
            <w:r>
              <w:rPr>
                <w:sz w:val="21"/>
              </w:rPr>
              <w:t>2.农药残留限量：符合GB 2763-202</w:t>
            </w:r>
            <w:r>
              <w:rPr>
                <w:sz w:val="21"/>
              </w:rPr>
              <w:t>6</w:t>
            </w:r>
            <w:r>
              <w:rPr>
                <w:sz w:val="21"/>
              </w:rPr>
              <w:t>《食品安全国家标准</w:t>
            </w:r>
            <w:r>
              <w:rPr>
                <w:sz w:val="21"/>
              </w:rPr>
              <w:t>食品中农药最大残留限量》的要求。</w:t>
            </w:r>
          </w:p>
          <w:p>
            <w:pPr>
              <w:pStyle w:val="null3"/>
              <w:jc w:val="both"/>
            </w:pPr>
            <w:r>
              <w:rPr>
                <w:sz w:val="21"/>
              </w:rPr>
              <w:t>3.食品添加剂：</w:t>
            </w:r>
          </w:p>
          <w:p>
            <w:pPr>
              <w:pStyle w:val="null3"/>
              <w:jc w:val="both"/>
            </w:pPr>
            <w:r>
              <w:rPr>
                <w:sz w:val="21"/>
              </w:rPr>
              <w:t>必须符合</w:t>
            </w:r>
            <w:r>
              <w:rPr>
                <w:sz w:val="21"/>
              </w:rPr>
              <w:t>GB 2760-2024《食品安全国家标准 食品添加剂使用标准》及其增补公告的规定。明确禁止使用富马酸二甲酯、硼酸、硼砂、吊白块等非法添加物。对允许使用的添加剂（如防腐剂、酸度调节剂、色素等）种类和用量必须严格在标准范围内。</w:t>
            </w:r>
          </w:p>
          <w:p>
            <w:pPr>
              <w:pStyle w:val="null3"/>
              <w:jc w:val="both"/>
            </w:pPr>
            <w:r>
              <w:rPr>
                <w:sz w:val="21"/>
              </w:rPr>
              <w:t>4.每季度须向采购人提供对应货品的重金属、食品添加剂检测报告，检测结果须符合国家及行业相关标准要求；批次交货时仍须随车提供齐全的其他合格证明文件。采购人可根据实际情况对需要的米面制品进行品质抽检，对质量未达到国家标准的米面制品，采购人有权拒绝接收。</w:t>
            </w:r>
          </w:p>
          <w:p>
            <w:pPr>
              <w:pStyle w:val="null3"/>
              <w:jc w:val="both"/>
            </w:pPr>
            <w:r>
              <w:rPr>
                <w:sz w:val="21"/>
              </w:rPr>
              <w:t>（三）包装、标识与储存要求</w:t>
            </w:r>
          </w:p>
          <w:p>
            <w:pPr>
              <w:pStyle w:val="null3"/>
              <w:jc w:val="both"/>
            </w:pPr>
            <w:r>
              <w:rPr>
                <w:sz w:val="21"/>
              </w:rPr>
              <w:t>1.包装材料清洁、卫生、无毒、无害，符合国家食品包装材料相关标准。</w:t>
            </w:r>
          </w:p>
          <w:p>
            <w:pPr>
              <w:pStyle w:val="null3"/>
              <w:jc w:val="both"/>
            </w:pPr>
            <w:r>
              <w:rPr>
                <w:sz w:val="21"/>
              </w:rPr>
              <w:t>2.包装完整性：包装密封完好，无破损、无漏气、无污染。特别是湿制品，包装内不应有过多游离水或冰晶。</w:t>
            </w:r>
          </w:p>
          <w:p>
            <w:pPr>
              <w:pStyle w:val="null3"/>
              <w:jc w:val="both"/>
            </w:pPr>
            <w:r>
              <w:rPr>
                <w:sz w:val="21"/>
              </w:rPr>
              <w:t>3.产品标识：标签清晰完整，内容至少包括产品名称、配料表、净含量、生产商信息、生产日期和保质期、产品执行标准号、贮存条件及食品生产许可证编号。</w:t>
            </w:r>
          </w:p>
          <w:p>
            <w:pPr>
              <w:pStyle w:val="null3"/>
              <w:jc w:val="both"/>
            </w:pPr>
            <w:r>
              <w:rPr>
                <w:sz w:val="21"/>
              </w:rPr>
              <w:t>4.储存与运输：</w:t>
            </w:r>
          </w:p>
          <w:p>
            <w:pPr>
              <w:pStyle w:val="null3"/>
              <w:jc w:val="both"/>
            </w:pPr>
            <w:r>
              <w:rPr>
                <w:sz w:val="21"/>
              </w:rPr>
              <w:t>干制品：应储存在阴凉、干燥、通风的仓库中，防止受潮、虫蛀。</w:t>
            </w:r>
          </w:p>
          <w:p>
            <w:pPr>
              <w:pStyle w:val="null3"/>
              <w:jc w:val="both"/>
            </w:pPr>
            <w:r>
              <w:rPr>
                <w:sz w:val="21"/>
              </w:rPr>
              <w:t>湿制品：必须全程冷链（</w:t>
            </w:r>
            <w:r>
              <w:rPr>
                <w:sz w:val="21"/>
              </w:rPr>
              <w:t>0-4℃）运输和储存，防止日晒、高温，确保产品新鲜。</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粮油</w:t>
            </w:r>
          </w:p>
        </w:tc>
        <w:tc>
          <w:tcPr>
            <w:tcW w:type="dxa" w:w="6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（一）大米</w:t>
            </w:r>
          </w:p>
          <w:p>
            <w:pPr>
              <w:pStyle w:val="null3"/>
              <w:jc w:val="both"/>
            </w:pPr>
            <w:r>
              <w:rPr>
                <w:sz w:val="21"/>
              </w:rPr>
              <w:t>1.大米应是当年或当期新米，米粒均匀、洁白，有清香味和光泽，无异味或霉味，无虫蛀、结块、挂丝或杂质异物。</w:t>
            </w:r>
          </w:p>
          <w:p>
            <w:pPr>
              <w:pStyle w:val="null3"/>
              <w:jc w:val="both"/>
            </w:pPr>
            <w:r>
              <w:rPr>
                <w:sz w:val="21"/>
              </w:rPr>
              <w:t>2.符合食品安全国家标准（GB 2715-2016《食品安全国家标准</w:t>
            </w:r>
            <w:r>
              <w:rPr>
                <w:sz w:val="19"/>
              </w:rPr>
              <w:t xml:space="preserve"> </w:t>
            </w:r>
            <w:r>
              <w:rPr>
                <w:sz w:val="21"/>
              </w:rPr>
              <w:t>粮食》、</w:t>
            </w:r>
            <w:r>
              <w:rPr>
                <w:sz w:val="21"/>
              </w:rPr>
              <w:t>GB 2762-2022/XG1-2025《食品安全国家标准</w:t>
            </w:r>
            <w:r>
              <w:rPr>
                <w:sz w:val="19"/>
              </w:rPr>
              <w:t xml:space="preserve"> </w:t>
            </w:r>
            <w:r>
              <w:rPr>
                <w:sz w:val="21"/>
              </w:rPr>
              <w:t>食品中污染物限量》、</w:t>
            </w:r>
            <w:r>
              <w:rPr>
                <w:sz w:val="21"/>
              </w:rPr>
              <w:t>GB 2762-2025《食品安全国家标准 食品中污染物限量》、</w:t>
            </w:r>
            <w:r>
              <w:rPr>
                <w:sz w:val="21"/>
              </w:rPr>
              <w:t>GB2763-202</w:t>
            </w:r>
            <w:r>
              <w:rPr>
                <w:sz w:val="21"/>
              </w:rPr>
              <w:t>6</w:t>
            </w:r>
            <w:r>
              <w:rPr>
                <w:sz w:val="21"/>
              </w:rPr>
              <w:t>《食品安全国家标准</w:t>
            </w:r>
            <w:r>
              <w:rPr>
                <w:sz w:val="19"/>
              </w:rPr>
              <w:t xml:space="preserve"> </w:t>
            </w:r>
            <w:r>
              <w:rPr>
                <w:sz w:val="21"/>
              </w:rPr>
              <w:t>食品中农药最大残留限量》等）及产品标签明示执行标准的要求。除此之外，还应符合</w:t>
            </w:r>
            <w:r>
              <w:rPr>
                <w:sz w:val="21"/>
              </w:rPr>
              <w:t>GB/T 1354-2018《大米》优质大米一级的要求，关键指标符合表</w:t>
            </w:r>
            <w:r>
              <w:rPr>
                <w:sz w:val="21"/>
              </w:rPr>
              <w:t>11</w:t>
            </w:r>
            <w:r>
              <w:rPr>
                <w:sz w:val="21"/>
              </w:rPr>
              <w:t>的要求。</w:t>
            </w:r>
          </w:p>
          <w:p>
            <w:pPr>
              <w:pStyle w:val="null3"/>
              <w:jc w:val="both"/>
            </w:pPr>
            <w:r>
              <w:rPr>
                <w:sz w:val="21"/>
              </w:rPr>
              <w:t>3.包装材料清洁、卫生，符合国家食品</w:t>
            </w:r>
            <w:r>
              <w:rPr>
                <w:sz w:val="21"/>
              </w:rPr>
              <w:t>安全</w:t>
            </w:r>
            <w:r>
              <w:rPr>
                <w:sz w:val="21"/>
              </w:rPr>
              <w:t>标准的规定。包装须完整密封、无泄漏，外观整洁。</w:t>
            </w:r>
          </w:p>
          <w:p>
            <w:pPr>
              <w:pStyle w:val="null3"/>
              <w:jc w:val="both"/>
            </w:pPr>
            <w:r>
              <w:rPr>
                <w:sz w:val="21"/>
              </w:rPr>
              <w:t>4.外包装标明产品名称、净含量、生产者名称和地址、生产日期、保质期、产品标准号、质量等级、食品生产许可证号、产品批号等内容。</w:t>
            </w:r>
          </w:p>
          <w:p>
            <w:pPr>
              <w:pStyle w:val="null3"/>
              <w:jc w:val="both"/>
            </w:pPr>
            <w:r>
              <w:rPr>
                <w:sz w:val="21"/>
              </w:rPr>
              <w:t>5.每季度提供重金属检测报告，检测项目包含汞、砷、铅、镉等重金属的检测。</w:t>
            </w:r>
          </w:p>
          <w:p>
            <w:pPr>
              <w:pStyle w:val="null3"/>
              <w:jc w:val="both"/>
            </w:pPr>
            <w:r>
              <w:rPr>
                <w:sz w:val="21"/>
              </w:rPr>
              <w:t>表</w:t>
            </w:r>
            <w:r>
              <w:rPr>
                <w:sz w:val="21"/>
              </w:rPr>
              <w:t>11</w:t>
            </w:r>
            <w:r>
              <w:rPr>
                <w:sz w:val="21"/>
              </w:rPr>
              <w:t xml:space="preserve"> </w:t>
            </w:r>
            <w:r>
              <w:rPr>
                <w:sz w:val="21"/>
              </w:rPr>
              <w:t>大米关键指标</w:t>
            </w:r>
          </w:p>
          <w:tbl>
            <w:tblPr>
              <w:tblBorders>
                <w:top w:val="none" w:color="000000" w:sz="4"/>
                <w:left w:val="none" w:color="000000" w:sz="4"/>
                <w:bottom w:val="none" w:color="000000" w:sz="4"/>
                <w:right w:val="none" w:color="000000" w:sz="4"/>
                <w:insideH w:val="none"/>
                <w:insideV w:val="none"/>
              </w:tblBorders>
            </w:tblPr>
            <w:tblGrid>
              <w:gridCol w:w="801"/>
              <w:gridCol w:w="801"/>
              <w:gridCol w:w="2493"/>
              <w:gridCol w:w="1042"/>
              <w:gridCol w:w="1103"/>
            </w:tblGrid>
            <w:tr>
              <w:tc>
                <w:tcPr>
                  <w:tcW w:type="dxa" w:w="80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294"/>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21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关键指标</w:t>
                  </w:r>
                </w:p>
              </w:tc>
            </w:tr>
            <w:tr>
              <w:tc>
                <w:tcPr>
                  <w:tcW w:type="dxa" w:w="801"/>
                  <w:vMerge/>
                  <w:tcBorders>
                    <w:top w:val="single" w:color="000000" w:sz="4"/>
                    <w:left w:val="single" w:color="000000" w:sz="4"/>
                    <w:bottom w:val="single" w:color="000000" w:sz="4"/>
                    <w:right w:val="single" w:color="000000" w:sz="4"/>
                  </w:tcBorders>
                </w:tcPr>
                <w:p/>
              </w:tc>
              <w:tc>
                <w:tcPr>
                  <w:tcW w:type="dxa" w:w="3294"/>
                  <w:gridSpan w:val="2"/>
                  <w:vMerge/>
                  <w:tcBorders>
                    <w:top w:val="single" w:color="000000" w:sz="4"/>
                    <w:left w:val="none" w:color="000000" w:sz="4"/>
                    <w:bottom w:val="single" w:color="000000" w:sz="4"/>
                    <w:right w:val="single" w:color="000000" w:sz="4"/>
                  </w:tcBorders>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优质籼米</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优质粳米</w:t>
                  </w:r>
                </w:p>
              </w:tc>
            </w:tr>
            <w:tr>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加工精度</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精碾</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精碾</w:t>
                  </w:r>
                </w:p>
              </w:tc>
            </w:tr>
            <w:tr>
              <w:tc>
                <w:tcPr>
                  <w:tcW w:type="dxa" w:w="8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碎米</w:t>
                  </w: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总量（</w:t>
                  </w:r>
                  <w:r>
                    <w:rPr>
                      <w:sz w:val="21"/>
                    </w:rPr>
                    <w:t>%）≤</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801"/>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2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其中：小碎米含量（</w:t>
                  </w:r>
                  <w:r>
                    <w:rPr>
                      <w:sz w:val="21"/>
                    </w:rPr>
                    <w:t>%）≤</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r>
            <w:tr>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2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黄粒米含量（</w:t>
                  </w:r>
                  <w:r>
                    <w:rPr>
                      <w:sz w:val="21"/>
                    </w:rPr>
                    <w:t>%）≤</w:t>
                  </w:r>
                </w:p>
              </w:tc>
              <w:tc>
                <w:tcPr>
                  <w:tcW w:type="dxa" w:w="21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r>
            <w:tr>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2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互混率（</w:t>
                  </w:r>
                  <w:r>
                    <w:rPr>
                      <w:sz w:val="21"/>
                    </w:rPr>
                    <w:t>%）≤</w:t>
                  </w:r>
                </w:p>
              </w:tc>
              <w:tc>
                <w:tcPr>
                  <w:tcW w:type="dxa" w:w="21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2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镉</w:t>
                  </w:r>
                  <w:r>
                    <w:rPr>
                      <w:sz w:val="21"/>
                    </w:rPr>
                    <w:t>(以Cd计)（mg/kg）≤</w:t>
                  </w:r>
                </w:p>
              </w:tc>
              <w:tc>
                <w:tcPr>
                  <w:tcW w:type="dxa" w:w="21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r>
            <w:tr>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2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铅（以</w:t>
                  </w:r>
                  <w:r>
                    <w:rPr>
                      <w:sz w:val="21"/>
                    </w:rPr>
                    <w:t>Pb计）（mg/kg）≤</w:t>
                  </w:r>
                </w:p>
              </w:tc>
              <w:tc>
                <w:tcPr>
                  <w:tcW w:type="dxa" w:w="21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r>
            <w:tr>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2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黄曲霉毒素</w:t>
                  </w:r>
                  <w:r>
                    <w:rPr>
                      <w:sz w:val="21"/>
                    </w:rPr>
                    <w:t>B</w:t>
                  </w:r>
                  <w:r>
                    <w:rPr>
                      <w:sz w:val="21"/>
                      <w:vertAlign w:val="subscript"/>
                    </w:rPr>
                    <w:t>1</w:t>
                  </w:r>
                  <w:r>
                    <w:rPr>
                      <w:sz w:val="21"/>
                    </w:rPr>
                    <w:t>（</w:t>
                  </w:r>
                  <w:r>
                    <w:rPr>
                      <w:sz w:val="21"/>
                    </w:rPr>
                    <w:t>μg/kg）≤</w:t>
                  </w:r>
                </w:p>
              </w:tc>
              <w:tc>
                <w:tcPr>
                  <w:tcW w:type="dxa" w:w="21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bl>
          <w:p>
            <w:pPr>
              <w:pStyle w:val="null3"/>
              <w:jc w:val="both"/>
            </w:pPr>
            <w:r>
              <w:rPr>
                <w:sz w:val="21"/>
              </w:rPr>
              <w:t>（二）食用油</w:t>
            </w:r>
          </w:p>
          <w:p>
            <w:pPr>
              <w:pStyle w:val="null3"/>
              <w:jc w:val="both"/>
            </w:pPr>
            <w:r>
              <w:rPr>
                <w:sz w:val="21"/>
              </w:rPr>
              <w:t>1.应为预包装食用植物油；建议使用非转基因植物油；食用油的食品安全指标应符合GB 2716-2018《食品安全国家标准</w:t>
            </w:r>
            <w:r>
              <w:rPr>
                <w:sz w:val="19"/>
              </w:rPr>
              <w:t xml:space="preserve"> </w:t>
            </w:r>
            <w:r>
              <w:rPr>
                <w:sz w:val="21"/>
              </w:rPr>
              <w:t>植物油》、</w:t>
            </w:r>
            <w:r>
              <w:rPr>
                <w:sz w:val="21"/>
              </w:rPr>
              <w:t>GB 2761-2017《食品安全国家标准</w:t>
            </w:r>
            <w:r>
              <w:rPr>
                <w:sz w:val="19"/>
              </w:rPr>
              <w:t xml:space="preserve"> </w:t>
            </w:r>
            <w:r>
              <w:rPr>
                <w:sz w:val="21"/>
              </w:rPr>
              <w:t>食品中真菌毒素限量》和</w:t>
            </w:r>
            <w:r>
              <w:rPr>
                <w:sz w:val="21"/>
              </w:rPr>
              <w:t>GB 2762-2022/XG1-2025《食品安全国家标准</w:t>
            </w:r>
            <w:r>
              <w:rPr>
                <w:sz w:val="19"/>
              </w:rPr>
              <w:t xml:space="preserve"> </w:t>
            </w:r>
            <w:r>
              <w:rPr>
                <w:sz w:val="21"/>
              </w:rPr>
              <w:t>食品中污染物限量》</w:t>
            </w:r>
            <w:r>
              <w:rPr>
                <w:sz w:val="21"/>
              </w:rPr>
              <w:t>、</w:t>
            </w:r>
            <w:r>
              <w:rPr>
                <w:sz w:val="21"/>
              </w:rPr>
              <w:t>GB 2762-2025《食品安全国家标准 食品中污染物限量》</w:t>
            </w:r>
            <w:r>
              <w:rPr>
                <w:sz w:val="21"/>
              </w:rPr>
              <w:t>的规定，其中关键技术指标见表</w:t>
            </w:r>
            <w:r>
              <w:rPr>
                <w:sz w:val="21"/>
              </w:rPr>
              <w:t>12</w:t>
            </w:r>
            <w:r>
              <w:rPr>
                <w:sz w:val="21"/>
              </w:rPr>
              <w:t>。</w:t>
            </w:r>
          </w:p>
          <w:p>
            <w:pPr>
              <w:pStyle w:val="null3"/>
              <w:jc w:val="both"/>
            </w:pPr>
            <w:r>
              <w:rPr>
                <w:sz w:val="21"/>
              </w:rPr>
              <w:t>表</w:t>
            </w:r>
            <w:r>
              <w:rPr>
                <w:sz w:val="21"/>
              </w:rPr>
              <w:t>12</w:t>
            </w:r>
            <w:r>
              <w:rPr>
                <w:sz w:val="21"/>
              </w:rPr>
              <w:t xml:space="preserve"> </w:t>
            </w:r>
            <w:r>
              <w:rPr>
                <w:sz w:val="21"/>
              </w:rPr>
              <w:t>食用油关键指标</w:t>
            </w:r>
          </w:p>
          <w:tbl>
            <w:tblPr>
              <w:tblBorders>
                <w:top w:val="none" w:color="000000" w:sz="4"/>
                <w:left w:val="none" w:color="000000" w:sz="4"/>
                <w:bottom w:val="none" w:color="000000" w:sz="4"/>
                <w:right w:val="none" w:color="000000" w:sz="4"/>
                <w:insideH w:val="none"/>
                <w:insideV w:val="none"/>
              </w:tblBorders>
            </w:tblPr>
            <w:tblGrid>
              <w:gridCol w:w="653"/>
              <w:gridCol w:w="1305"/>
              <w:gridCol w:w="713"/>
              <w:gridCol w:w="653"/>
              <w:gridCol w:w="774"/>
              <w:gridCol w:w="713"/>
              <w:gridCol w:w="713"/>
              <w:gridCol w:w="713"/>
            </w:tblGrid>
            <w:tr>
              <w:tc>
                <w:tcPr>
                  <w:tcW w:type="dxa" w:w="65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4279"/>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关键指标</w:t>
                  </w:r>
                </w:p>
              </w:tc>
            </w:tr>
            <w:tr>
              <w:tc>
                <w:tcPr>
                  <w:tcW w:type="dxa" w:w="653"/>
                  <w:vMerge/>
                  <w:tcBorders>
                    <w:top w:val="single" w:color="000000" w:sz="4"/>
                    <w:left w:val="single" w:color="000000" w:sz="4"/>
                    <w:bottom w:val="single" w:color="000000" w:sz="4"/>
                    <w:right w:val="single" w:color="000000" w:sz="4"/>
                  </w:tcBorders>
                </w:tcPr>
                <w:p/>
              </w:tc>
              <w:tc>
                <w:tcPr>
                  <w:tcW w:type="dxa" w:w="1305"/>
                  <w:vMerge/>
                  <w:tcBorders>
                    <w:top w:val="single" w:color="000000" w:sz="4"/>
                    <w:left w:val="none" w:color="000000" w:sz="4"/>
                    <w:bottom w:val="single" w:color="000000" w:sz="4"/>
                    <w:right w:val="single" w:color="000000" w:sz="4"/>
                  </w:tcBorders>
                </w:tcP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大豆油</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玉米油</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菜籽油</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米糠油</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调和油</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酸价（</w:t>
                  </w:r>
                  <w:r>
                    <w:rPr>
                      <w:sz w:val="21"/>
                    </w:rPr>
                    <w:t>KOH）（mg/g）≤</w:t>
                  </w:r>
                </w:p>
              </w:tc>
              <w:tc>
                <w:tcPr>
                  <w:tcW w:type="dxa" w:w="285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过氧化值（</w:t>
                  </w:r>
                  <w:r>
                    <w:rPr>
                      <w:sz w:val="21"/>
                    </w:rPr>
                    <w:t>g/100g）≤</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0.125</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0.13</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溶剂残留量（</w:t>
                  </w:r>
                  <w:r>
                    <w:rPr>
                      <w:sz w:val="21"/>
                    </w:rPr>
                    <w:t>mg/kg）</w:t>
                  </w:r>
                </w:p>
              </w:tc>
              <w:tc>
                <w:tcPr>
                  <w:tcW w:type="dxa" w:w="4279"/>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不得检出（即＜</w:t>
                  </w:r>
                  <w:r>
                    <w:rPr>
                      <w:sz w:val="21"/>
                    </w:rPr>
                    <w:t>10mg/kg）</w:t>
                  </w:r>
                </w:p>
              </w:tc>
            </w:tr>
            <w:tr>
              <w:tc>
                <w:tcPr>
                  <w:tcW w:type="dxa" w:w="623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注：除玉米油之外的产品检测溶剂残留量。</w:t>
                  </w:r>
                </w:p>
              </w:tc>
            </w:tr>
          </w:tbl>
          <w:p>
            <w:pPr>
              <w:pStyle w:val="null3"/>
              <w:jc w:val="both"/>
            </w:pPr>
            <w:r>
              <w:rPr>
                <w:sz w:val="21"/>
              </w:rPr>
              <w:t>2.大豆油</w:t>
            </w:r>
          </w:p>
          <w:p>
            <w:pPr>
              <w:pStyle w:val="null3"/>
              <w:jc w:val="both"/>
            </w:pPr>
            <w:r>
              <w:rPr>
                <w:sz w:val="21"/>
              </w:rPr>
              <w:t>（</w:t>
            </w:r>
            <w:r>
              <w:rPr>
                <w:sz w:val="21"/>
              </w:rPr>
              <w:t>1）整体呈淡黄色至橙黄色，澄清透明，油质均匀一致，无悬浮物或沉淀物；无异味。</w:t>
            </w:r>
          </w:p>
          <w:p>
            <w:pPr>
              <w:pStyle w:val="null3"/>
              <w:jc w:val="both"/>
            </w:pPr>
            <w:r>
              <w:rPr>
                <w:sz w:val="21"/>
              </w:rPr>
              <w:t>（</w:t>
            </w:r>
            <w:r>
              <w:rPr>
                <w:sz w:val="21"/>
              </w:rPr>
              <w:t>2）应按GB/T 1535-2017《大豆油》</w:t>
            </w:r>
            <w:r>
              <w:rPr>
                <w:sz w:val="21"/>
              </w:rPr>
              <w:t>、</w:t>
            </w:r>
            <w:r>
              <w:rPr>
                <w:sz w:val="21"/>
              </w:rPr>
              <w:t>GB/T 1535-2026《大豆油》</w:t>
            </w:r>
            <w:r>
              <w:rPr>
                <w:sz w:val="21"/>
              </w:rPr>
              <w:t>的要求选择一级的大豆油。</w:t>
            </w:r>
          </w:p>
          <w:p>
            <w:pPr>
              <w:pStyle w:val="null3"/>
              <w:jc w:val="both"/>
            </w:pPr>
            <w:r>
              <w:rPr>
                <w:sz w:val="21"/>
              </w:rPr>
              <w:t>3.玉米油</w:t>
            </w:r>
          </w:p>
          <w:p>
            <w:pPr>
              <w:pStyle w:val="null3"/>
              <w:jc w:val="both"/>
            </w:pPr>
            <w:r>
              <w:rPr>
                <w:sz w:val="21"/>
              </w:rPr>
              <w:t>（</w:t>
            </w:r>
            <w:r>
              <w:rPr>
                <w:sz w:val="21"/>
              </w:rPr>
              <w:t>1）整体呈淡黄色至橙黄色，澄清透明，油质均匀一致，无悬浮物或沉淀物；具有玉米的气味，无哈喇味和其他异味。</w:t>
            </w:r>
          </w:p>
          <w:p>
            <w:pPr>
              <w:pStyle w:val="null3"/>
              <w:jc w:val="both"/>
            </w:pPr>
            <w:r>
              <w:rPr>
                <w:sz w:val="21"/>
              </w:rPr>
              <w:t>（</w:t>
            </w:r>
            <w:r>
              <w:rPr>
                <w:sz w:val="21"/>
              </w:rPr>
              <w:t>2）玉米油的质量指标为GB/T 19111-2017《玉米油》</w:t>
            </w:r>
            <w:r>
              <w:rPr>
                <w:sz w:val="21"/>
              </w:rPr>
              <w:t>、</w:t>
            </w:r>
            <w:r>
              <w:rPr>
                <w:sz w:val="21"/>
              </w:rPr>
              <w:t>GB/T 19111-2026《玉米油》</w:t>
            </w:r>
            <w:r>
              <w:rPr>
                <w:sz w:val="21"/>
              </w:rPr>
              <w:t>的一级成品玉米油的技术要求。</w:t>
            </w:r>
          </w:p>
          <w:p>
            <w:pPr>
              <w:pStyle w:val="null3"/>
              <w:jc w:val="both"/>
            </w:pPr>
            <w:r>
              <w:rPr>
                <w:sz w:val="21"/>
              </w:rPr>
              <w:t>4.菜籽油</w:t>
            </w:r>
          </w:p>
          <w:p>
            <w:pPr>
              <w:pStyle w:val="null3"/>
              <w:jc w:val="both"/>
            </w:pPr>
            <w:r>
              <w:rPr>
                <w:sz w:val="21"/>
              </w:rPr>
              <w:t>（</w:t>
            </w:r>
            <w:r>
              <w:rPr>
                <w:sz w:val="21"/>
              </w:rPr>
              <w:t>1）整体呈淡黄色至橙黄色，澄清透明，油质均匀一致，无悬浮物或沉淀物；具有油菜籽的特殊气味，无异味。</w:t>
            </w:r>
          </w:p>
          <w:p>
            <w:pPr>
              <w:pStyle w:val="null3"/>
              <w:jc w:val="both"/>
            </w:pPr>
            <w:r>
              <w:rPr>
                <w:sz w:val="21"/>
              </w:rPr>
              <w:t>（</w:t>
            </w:r>
            <w:r>
              <w:rPr>
                <w:sz w:val="21"/>
              </w:rPr>
              <w:t>2）菜籽油的质量指标为 GB/T 1536-2021《菜籽油》的一级浸出成品菜籽油的技术要求。</w:t>
            </w:r>
          </w:p>
          <w:p>
            <w:pPr>
              <w:pStyle w:val="null3"/>
              <w:jc w:val="both"/>
            </w:pPr>
            <w:r>
              <w:rPr>
                <w:sz w:val="21"/>
              </w:rPr>
              <w:t>5.花生油</w:t>
            </w:r>
          </w:p>
          <w:p>
            <w:pPr>
              <w:pStyle w:val="null3"/>
              <w:jc w:val="both"/>
            </w:pPr>
            <w:r>
              <w:rPr>
                <w:sz w:val="21"/>
              </w:rPr>
              <w:t>（</w:t>
            </w:r>
            <w:r>
              <w:rPr>
                <w:sz w:val="21"/>
              </w:rPr>
              <w:t>1）常温下呈黄色至橙黄色，澄清透明，油质均匀一致，无悬浮物或沉淀物；具有花生香味，无异味。</w:t>
            </w:r>
          </w:p>
          <w:p>
            <w:pPr>
              <w:pStyle w:val="null3"/>
              <w:jc w:val="both"/>
            </w:pPr>
            <w:r>
              <w:rPr>
                <w:sz w:val="21"/>
              </w:rPr>
              <w:t>（</w:t>
            </w:r>
            <w:r>
              <w:rPr>
                <w:sz w:val="21"/>
              </w:rPr>
              <w:t>2）花生油的质量指标为GB/T 1534-2017《花生油》</w:t>
            </w:r>
            <w:r>
              <w:rPr>
                <w:sz w:val="21"/>
              </w:rPr>
              <w:t>、</w:t>
            </w:r>
            <w:r>
              <w:rPr>
                <w:sz w:val="21"/>
              </w:rPr>
              <w:t>GB/T 1534-2026《花生油》</w:t>
            </w:r>
            <w:r>
              <w:rPr>
                <w:sz w:val="21"/>
              </w:rPr>
              <w:t>的一级浸出成品花生油的技术要求。</w:t>
            </w:r>
          </w:p>
          <w:p>
            <w:pPr>
              <w:pStyle w:val="null3"/>
              <w:jc w:val="both"/>
            </w:pPr>
            <w:r>
              <w:rPr>
                <w:sz w:val="21"/>
              </w:rPr>
              <w:t>6.米糠油</w:t>
            </w:r>
          </w:p>
          <w:p>
            <w:pPr>
              <w:pStyle w:val="null3"/>
              <w:jc w:val="both"/>
            </w:pPr>
            <w:r>
              <w:rPr>
                <w:sz w:val="21"/>
              </w:rPr>
              <w:t>（</w:t>
            </w:r>
            <w:r>
              <w:rPr>
                <w:sz w:val="21"/>
              </w:rPr>
              <w:t>1）常温下呈浅黄色至黄色，澄清透明，油质均匀一致，无悬浮物或沉淀物；无异味。</w:t>
            </w:r>
          </w:p>
          <w:p>
            <w:pPr>
              <w:pStyle w:val="null3"/>
              <w:jc w:val="both"/>
            </w:pPr>
            <w:r>
              <w:rPr>
                <w:sz w:val="21"/>
              </w:rPr>
              <w:t>（</w:t>
            </w:r>
            <w:r>
              <w:rPr>
                <w:sz w:val="21"/>
              </w:rPr>
              <w:t>2）米糠油质量</w:t>
            </w:r>
            <w:r>
              <w:rPr>
                <w:sz w:val="21"/>
              </w:rPr>
              <w:t>应符合</w:t>
            </w:r>
            <w:r>
              <w:rPr>
                <w:sz w:val="21"/>
              </w:rPr>
              <w:t>GB/T 19112-2003《米糠油》一级的要求。</w:t>
            </w:r>
          </w:p>
          <w:p>
            <w:pPr>
              <w:pStyle w:val="null3"/>
              <w:jc w:val="both"/>
            </w:pPr>
            <w:r>
              <w:rPr>
                <w:sz w:val="21"/>
              </w:rPr>
              <w:t>7.调和油</w:t>
            </w:r>
          </w:p>
          <w:p>
            <w:pPr>
              <w:pStyle w:val="null3"/>
              <w:jc w:val="both"/>
            </w:pPr>
            <w:r>
              <w:rPr>
                <w:sz w:val="21"/>
              </w:rPr>
              <w:t>（</w:t>
            </w:r>
            <w:r>
              <w:rPr>
                <w:sz w:val="21"/>
              </w:rPr>
              <w:t>1）常温下呈浅黄色至深黄色，澄清透明，油质均匀一致，无悬浮物或沉淀物；无异味。</w:t>
            </w:r>
          </w:p>
          <w:p>
            <w:pPr>
              <w:pStyle w:val="null3"/>
              <w:jc w:val="both"/>
            </w:pPr>
            <w:r>
              <w:rPr>
                <w:sz w:val="21"/>
              </w:rPr>
              <w:t>（</w:t>
            </w:r>
            <w:r>
              <w:rPr>
                <w:sz w:val="21"/>
              </w:rPr>
              <w:t>2）调和油质量符合GB/T 40851-2021《食用调和油》的要求。</w:t>
            </w:r>
          </w:p>
          <w:p>
            <w:pPr>
              <w:pStyle w:val="null3"/>
              <w:jc w:val="both"/>
            </w:pPr>
            <w:r>
              <w:rPr>
                <w:sz w:val="21"/>
              </w:rPr>
              <w:t>（</w:t>
            </w:r>
            <w:r>
              <w:rPr>
                <w:sz w:val="21"/>
              </w:rPr>
              <w:t>3）标签或附带说明书应明确列出调和油的原料或配比。</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烘焙类</w:t>
            </w:r>
          </w:p>
        </w:tc>
        <w:tc>
          <w:tcPr>
            <w:tcW w:type="dxa" w:w="6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（一）感官与品质要求</w:t>
            </w:r>
          </w:p>
          <w:p>
            <w:pPr>
              <w:pStyle w:val="null3"/>
              <w:jc w:val="both"/>
            </w:pPr>
            <w:r>
              <w:rPr>
                <w:sz w:val="21"/>
              </w:rPr>
              <w:t>1.</w:t>
            </w:r>
            <w:r>
              <w:rPr>
                <w:sz w:val="21"/>
              </w:rPr>
              <w:t>外观：色泽：具有该品种特有的正常色泽（如面包表皮呈金黄色或棕黄色，蛋糕呈乳黄或浅褐色），色泽均匀，无焦糊、发黑。</w:t>
            </w:r>
          </w:p>
          <w:p>
            <w:pPr>
              <w:pStyle w:val="null3"/>
              <w:jc w:val="both"/>
            </w:pPr>
            <w:r>
              <w:rPr>
                <w:sz w:val="21"/>
              </w:rPr>
              <w:t>2.</w:t>
            </w:r>
            <w:r>
              <w:rPr>
                <w:sz w:val="21"/>
              </w:rPr>
              <w:t>风味：具有该品种特有的麦香、奶香、蛋香或辅料（如巧克力、水果）的自然香气。无异味，包括但不限于酸败味（哈喇味）、酒糟味（非发酵型产品）、霉味、苦味或其他不正常气味。</w:t>
            </w:r>
          </w:p>
          <w:p>
            <w:pPr>
              <w:pStyle w:val="null3"/>
              <w:jc w:val="both"/>
            </w:pPr>
            <w:r>
              <w:rPr>
                <w:sz w:val="21"/>
              </w:rPr>
              <w:t>3.</w:t>
            </w:r>
            <w:r>
              <w:rPr>
                <w:sz w:val="21"/>
              </w:rPr>
              <w:t>口感：面包类：外皮酥脆或软韧（视品种而定），内部松软有弹性，不粘牙，咀嚼时有适度阻力但不过硬。</w:t>
            </w:r>
          </w:p>
          <w:p>
            <w:pPr>
              <w:pStyle w:val="null3"/>
              <w:jc w:val="both"/>
            </w:pPr>
            <w:r>
              <w:rPr>
                <w:sz w:val="21"/>
              </w:rPr>
              <w:t>蛋糕</w:t>
            </w:r>
            <w:r>
              <w:rPr>
                <w:sz w:val="21"/>
              </w:rPr>
              <w:t>/糕点类：质地细腻，湿润度适中，入口即化或松软绵密，无颗粒感（除特定添加物外）。</w:t>
            </w:r>
          </w:p>
          <w:p>
            <w:pPr>
              <w:pStyle w:val="null3"/>
              <w:jc w:val="both"/>
            </w:pPr>
            <w:r>
              <w:rPr>
                <w:sz w:val="21"/>
              </w:rPr>
              <w:t>饼干类：酥脆或松化，无受潮变软现象</w:t>
            </w:r>
          </w:p>
          <w:p>
            <w:pPr>
              <w:pStyle w:val="null3"/>
              <w:jc w:val="both"/>
            </w:pPr>
            <w:r>
              <w:rPr>
                <w:sz w:val="21"/>
              </w:rPr>
              <w:t>（二）安全与卫生要求</w:t>
            </w:r>
          </w:p>
          <w:p>
            <w:pPr>
              <w:pStyle w:val="null3"/>
              <w:jc w:val="both"/>
            </w:pPr>
            <w:r>
              <w:rPr>
                <w:sz w:val="21"/>
              </w:rPr>
              <w:t>1.</w:t>
            </w:r>
            <w:r>
              <w:rPr>
                <w:sz w:val="21"/>
              </w:rPr>
              <w:t>所有预包装及散装烘焙食品必须符合</w:t>
            </w:r>
            <w:r>
              <w:rPr>
                <w:sz w:val="21"/>
              </w:rPr>
              <w:t>GB 7099-2015《食品安全国家标准 糕点、面包》。该标准明确了感官、理化指标（如酸价、过氧化值）、污染物限量及微生物限量要求。</w:t>
            </w:r>
          </w:p>
          <w:p>
            <w:pPr>
              <w:pStyle w:val="null3"/>
              <w:jc w:val="both"/>
            </w:pPr>
            <w:r>
              <w:rPr>
                <w:sz w:val="21"/>
              </w:rPr>
              <w:t>食品添加剂的使用必须严格符合</w:t>
            </w:r>
            <w:r>
              <w:rPr>
                <w:sz w:val="21"/>
              </w:rPr>
              <w:t>GB 2760-2024《食品安全国家标准 食品添加剂使用标准》，严禁超范围、超限量使用防腐剂（如脱氢乙酸钠、丙酸盐等）、着色剂和甜味剂。</w:t>
            </w:r>
          </w:p>
          <w:p>
            <w:pPr>
              <w:pStyle w:val="null3"/>
              <w:jc w:val="both"/>
            </w:pPr>
            <w:r>
              <w:rPr>
                <w:sz w:val="21"/>
              </w:rPr>
              <w:t>2.</w:t>
            </w:r>
            <w:r>
              <w:rPr>
                <w:sz w:val="21"/>
              </w:rPr>
              <w:t>原料要求：使用的面粉、油脂、鸡蛋、乳制品、糖等主要原料必须来自合规生产商，具有有效的生产许可证。</w:t>
            </w:r>
          </w:p>
          <w:p>
            <w:pPr>
              <w:pStyle w:val="null3"/>
              <w:jc w:val="both"/>
            </w:pPr>
            <w:r>
              <w:rPr>
                <w:sz w:val="21"/>
              </w:rPr>
              <w:t>油脂控制：严禁使用过期、变质油脂，反式脂肪酸含量应符合国家相关限制规定</w:t>
            </w:r>
            <w:r>
              <w:rPr>
                <w:sz w:val="21"/>
              </w:rPr>
              <w:t>。</w:t>
            </w:r>
          </w:p>
          <w:p>
            <w:pPr>
              <w:pStyle w:val="null3"/>
              <w:jc w:val="both"/>
            </w:pPr>
            <w:r>
              <w:rPr>
                <w:sz w:val="21"/>
              </w:rPr>
              <w:t>3.</w:t>
            </w:r>
            <w:r>
              <w:rPr>
                <w:sz w:val="21"/>
              </w:rPr>
              <w:t>检测与证明：每批货物必须随车提供厂家的《食品出厂检验合格证》及当批次检测报告。对于短保质期产品（如现烤面包、含奶油蛋糕），需提供当日生产证明。</w:t>
            </w:r>
          </w:p>
          <w:p>
            <w:pPr>
              <w:pStyle w:val="null3"/>
              <w:jc w:val="both"/>
            </w:pPr>
            <w:r>
              <w:rPr>
                <w:sz w:val="21"/>
              </w:rPr>
              <w:t>（三）包装、标识与储存要求</w:t>
            </w:r>
          </w:p>
          <w:p>
            <w:pPr>
              <w:pStyle w:val="null3"/>
              <w:jc w:val="both"/>
            </w:pPr>
            <w:r>
              <w:rPr>
                <w:sz w:val="21"/>
              </w:rPr>
              <w:t>1.包装材料清洁、卫生、无毒、无害，符合国家食品包装材料相关标准。</w:t>
            </w:r>
          </w:p>
          <w:p>
            <w:pPr>
              <w:pStyle w:val="null3"/>
              <w:jc w:val="both"/>
            </w:pPr>
            <w:r>
              <w:rPr>
                <w:sz w:val="21"/>
              </w:rPr>
              <w:t>2.预包装产品标签需符合 GB 7718-2011《食品安全国家标准 预包装食品标签通则》</w:t>
            </w:r>
            <w:r>
              <w:rPr>
                <w:sz w:val="21"/>
              </w:rPr>
              <w:t>、</w:t>
            </w:r>
            <w:r>
              <w:rPr>
                <w:sz w:val="21"/>
              </w:rPr>
              <w:t>GB 7718-20</w:t>
            </w:r>
            <w:r>
              <w:rPr>
                <w:sz w:val="21"/>
              </w:rPr>
              <w:t>25</w:t>
            </w:r>
            <w:r>
              <w:rPr>
                <w:sz w:val="21"/>
              </w:rPr>
              <w:t xml:space="preserve"> </w:t>
            </w:r>
            <w:r>
              <w:rPr>
                <w:sz w:val="21"/>
              </w:rPr>
              <w:t>《食品安全国家标准</w:t>
            </w:r>
            <w:r>
              <w:rPr>
                <w:sz w:val="21"/>
              </w:rPr>
              <w:t>预包装食品标签通则》，标明产品名称、配料表、净含量、生产商信息、生产日期和保质期、产品执行标准号、贮存条件及食品生产许可证编号。</w:t>
            </w:r>
          </w:p>
          <w:p>
            <w:pPr>
              <w:pStyle w:val="null3"/>
              <w:jc w:val="both"/>
            </w:pPr>
            <w:r>
              <w:rPr>
                <w:sz w:val="21"/>
              </w:rPr>
              <w:t>3.散装产品也需在盛放容器上显著标注产品名称、生产日期、保质期等信息。</w:t>
            </w:r>
          </w:p>
          <w:p>
            <w:pPr>
              <w:pStyle w:val="null3"/>
              <w:jc w:val="both"/>
            </w:pPr>
            <w:r>
              <w:rPr>
                <w:sz w:val="21"/>
              </w:rPr>
              <w:t>4.储存与运输：常温产品：运输和储存环境应干燥、通风、避光，温度控制在 25℃以下，相对湿度≤70%。</w:t>
            </w:r>
          </w:p>
          <w:p>
            <w:pPr>
              <w:pStyle w:val="null3"/>
              <w:jc w:val="both"/>
            </w:pPr>
            <w:r>
              <w:rPr>
                <w:sz w:val="21"/>
              </w:rPr>
              <w:t>冷链产品：含奶油、慕斯、冷冻面团等对温度敏感的产品，必须全程冷链运输（</w:t>
            </w:r>
            <w:r>
              <w:rPr>
                <w:sz w:val="21"/>
              </w:rPr>
              <w:t>其中冷藏产品温度应控制在</w:t>
            </w:r>
            <w:r>
              <w:rPr>
                <w:sz w:val="21"/>
              </w:rPr>
              <w:t>0℃-5℃</w:t>
            </w:r>
            <w:r>
              <w:rPr>
                <w:sz w:val="21"/>
              </w:rPr>
              <w:t>，冷冻产品储存温度应</w:t>
            </w:r>
            <w:r>
              <w:rPr>
                <w:sz w:val="21"/>
              </w:rPr>
              <w:t>控制在</w:t>
            </w:r>
            <w:r>
              <w:rPr>
                <w:sz w:val="21"/>
              </w:rPr>
              <w:t>-18℃以下）。</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3</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熟食</w:t>
            </w:r>
          </w:p>
        </w:tc>
        <w:tc>
          <w:tcPr>
            <w:tcW w:type="dxa" w:w="6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（一）感官与品质要求</w:t>
            </w:r>
          </w:p>
          <w:p>
            <w:pPr>
              <w:pStyle w:val="null3"/>
              <w:jc w:val="both"/>
            </w:pPr>
            <w:r>
              <w:rPr>
                <w:sz w:val="21"/>
              </w:rPr>
              <w:t>1.外观：色泽均匀自然（如枣红色、金黄</w:t>
            </w:r>
            <w:r>
              <w:rPr>
                <w:sz w:val="21"/>
              </w:rPr>
              <w:t>色</w:t>
            </w:r>
            <w:r>
              <w:rPr>
                <w:sz w:val="21"/>
              </w:rPr>
              <w:t>），无焦糊发黑。</w:t>
            </w:r>
          </w:p>
          <w:p>
            <w:pPr>
              <w:pStyle w:val="null3"/>
              <w:jc w:val="both"/>
            </w:pPr>
            <w:r>
              <w:rPr>
                <w:sz w:val="21"/>
              </w:rPr>
              <w:t>2.风味：具有特有的脂香和焦香，无异味（酸味、腐臭味）。</w:t>
            </w:r>
          </w:p>
          <w:p>
            <w:pPr>
              <w:pStyle w:val="null3"/>
              <w:jc w:val="both"/>
            </w:pPr>
            <w:r>
              <w:rPr>
                <w:sz w:val="21"/>
              </w:rPr>
              <w:t>3.口感：皮酥脆或软韧，肉质紧密有嚼劲，肥而不腻。</w:t>
            </w:r>
          </w:p>
          <w:p>
            <w:pPr>
              <w:pStyle w:val="null3"/>
              <w:jc w:val="both"/>
            </w:pPr>
            <w:r>
              <w:rPr>
                <w:sz w:val="21"/>
              </w:rPr>
              <w:t>（二）安全与卫生要求</w:t>
            </w:r>
          </w:p>
          <w:p>
            <w:pPr>
              <w:pStyle w:val="null3"/>
              <w:jc w:val="both"/>
            </w:pPr>
            <w:r>
              <w:rPr>
                <w:sz w:val="21"/>
              </w:rPr>
              <w:t>1.所有预包装熟肉制品（包括烧鹅、烧鸭、烧肉等）需符合 GB 2726-2016《食品安全国家标准 熟肉制品》，该标准涵盖酱卤肉、熏烧烤肉、油炸肉、熟肉干等类别，明确污染物、致病菌、添加剂等限量要求。</w:t>
            </w:r>
          </w:p>
          <w:p>
            <w:pPr>
              <w:pStyle w:val="null3"/>
              <w:jc w:val="both"/>
            </w:pPr>
            <w:r>
              <w:rPr>
                <w:sz w:val="21"/>
              </w:rPr>
              <w:t>2.原料要求：使用的禽、畜肉必须来自合规屠宰厂，并具有有效的《动物检疫合格证明》和《肉品品质检验合格证明》。原料肉必须新鲜，无变质、无污染。</w:t>
            </w:r>
          </w:p>
          <w:p>
            <w:pPr>
              <w:pStyle w:val="null3"/>
              <w:jc w:val="both"/>
            </w:pPr>
            <w:r>
              <w:rPr>
                <w:sz w:val="21"/>
              </w:rPr>
              <w:t>3.每批货物必须随车提供《动物检疫合格证明》（原料证明）和厂家的《</w:t>
            </w:r>
            <w:r>
              <w:rPr>
                <w:sz w:val="21"/>
              </w:rPr>
              <w:t>食品</w:t>
            </w:r>
            <w:r>
              <w:rPr>
                <w:sz w:val="21"/>
              </w:rPr>
              <w:t>出厂检验合格证》。</w:t>
            </w:r>
            <w:r>
              <w:rPr>
                <w:sz w:val="21"/>
              </w:rPr>
              <w:t>中标人</w:t>
            </w:r>
            <w:r>
              <w:rPr>
                <w:sz w:val="21"/>
              </w:rPr>
              <w:t>需定期（如每季度）提供第三方出具的全面检测报告，内容包括微生物、重金属和添加剂等项目，证明产品持续合规。</w:t>
            </w:r>
          </w:p>
          <w:p>
            <w:pPr>
              <w:pStyle w:val="null3"/>
              <w:jc w:val="both"/>
            </w:pPr>
            <w:r>
              <w:rPr>
                <w:sz w:val="21"/>
              </w:rPr>
              <w:t>（三）包装、标识与储存要求</w:t>
            </w:r>
          </w:p>
          <w:p>
            <w:pPr>
              <w:pStyle w:val="null3"/>
              <w:jc w:val="both"/>
            </w:pPr>
            <w:r>
              <w:rPr>
                <w:sz w:val="21"/>
              </w:rPr>
              <w:t>1.包装材料清洁、卫生、无毒、无害，符合国家食品包装材料相关标准。</w:t>
            </w:r>
          </w:p>
          <w:p>
            <w:pPr>
              <w:pStyle w:val="null3"/>
              <w:jc w:val="both"/>
            </w:pPr>
            <w:r>
              <w:rPr>
                <w:sz w:val="21"/>
              </w:rPr>
              <w:t>2.预包装产品标签需符合 GB 7718-2011《食品安全国家标准 预包装食品标签通则》</w:t>
            </w:r>
            <w:r>
              <w:rPr>
                <w:sz w:val="21"/>
              </w:rPr>
              <w:t>、</w:t>
            </w:r>
            <w:r>
              <w:rPr>
                <w:sz w:val="21"/>
              </w:rPr>
              <w:t>GB 7718-20</w:t>
            </w:r>
            <w:r>
              <w:rPr>
                <w:sz w:val="21"/>
              </w:rPr>
              <w:t>25</w:t>
            </w:r>
            <w:r>
              <w:rPr>
                <w:sz w:val="21"/>
              </w:rPr>
              <w:t xml:space="preserve"> </w:t>
            </w:r>
            <w:r>
              <w:rPr>
                <w:sz w:val="21"/>
              </w:rPr>
              <w:t>《食品安全国家标准</w:t>
            </w:r>
            <w:r>
              <w:rPr>
                <w:sz w:val="21"/>
              </w:rPr>
              <w:t>预包装食品标签通则》，标明产品名称、配料表、净含量、生产商信息、生产日期和保质期、产品执行标准号、贮存条件及食品生产许可证编号。</w:t>
            </w:r>
          </w:p>
          <w:p>
            <w:pPr>
              <w:pStyle w:val="null3"/>
              <w:jc w:val="both"/>
            </w:pPr>
            <w:r>
              <w:rPr>
                <w:sz w:val="21"/>
              </w:rPr>
              <w:t>3.散装产品也需在盛放容器上显著标注产品名称、生产日期、保质期等信息。</w:t>
            </w:r>
          </w:p>
          <w:p>
            <w:pPr>
              <w:pStyle w:val="null3"/>
              <w:jc w:val="both"/>
            </w:pPr>
            <w:r>
              <w:rPr>
                <w:sz w:val="21"/>
              </w:rPr>
              <w:t>4.储存与运输：冷链 储存和运输，保持清洁，温度可控，防止与其他物品混放造成污染。严禁在常温下长时间裸露放置，以防微生物大量繁殖。</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4</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腊味</w:t>
            </w:r>
          </w:p>
        </w:tc>
        <w:tc>
          <w:tcPr>
            <w:tcW w:type="dxa" w:w="6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1.腌腊肉制品应符合食品安全国家标准GB 2730-2015《食品安全国家标准</w:t>
            </w:r>
            <w:r>
              <w:rPr>
                <w:sz w:val="19"/>
              </w:rPr>
              <w:t xml:space="preserve"> </w:t>
            </w:r>
            <w:r>
              <w:rPr>
                <w:sz w:val="21"/>
              </w:rPr>
              <w:t>腌腊肉制品》及产品明示质量标准的要求，其中关键指标见表</w:t>
            </w:r>
            <w:r>
              <w:rPr>
                <w:sz w:val="21"/>
              </w:rPr>
              <w:t>13</w:t>
            </w:r>
            <w:r>
              <w:rPr>
                <w:sz w:val="21"/>
              </w:rPr>
              <w:t>。</w:t>
            </w:r>
          </w:p>
          <w:p>
            <w:pPr>
              <w:pStyle w:val="null3"/>
              <w:jc w:val="both"/>
            </w:pPr>
            <w:r>
              <w:rPr>
                <w:sz w:val="21"/>
              </w:rPr>
              <w:t>表</w:t>
            </w:r>
            <w:r>
              <w:rPr>
                <w:sz w:val="21"/>
              </w:rPr>
              <w:t>13</w:t>
            </w:r>
            <w:r>
              <w:rPr>
                <w:sz w:val="21"/>
              </w:rPr>
              <w:t xml:space="preserve"> </w:t>
            </w:r>
            <w:r>
              <w:rPr>
                <w:sz w:val="21"/>
              </w:rPr>
              <w:t>腌腊肉制品关键指标</w:t>
            </w:r>
          </w:p>
          <w:tbl>
            <w:tblPr>
              <w:tblBorders>
                <w:top w:val="none" w:color="000000" w:sz="4"/>
                <w:left w:val="none" w:color="000000" w:sz="4"/>
                <w:bottom w:val="none" w:color="000000" w:sz="4"/>
                <w:right w:val="none" w:color="000000" w:sz="4"/>
                <w:insideH w:val="none"/>
                <w:insideV w:val="none"/>
              </w:tblBorders>
            </w:tblPr>
            <w:tblGrid>
              <w:gridCol w:w="874"/>
              <w:gridCol w:w="2682"/>
              <w:gridCol w:w="2682"/>
            </w:tblGrid>
            <w:tr>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2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关键指标</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过氧化值（</w:t>
                  </w:r>
                  <w:r>
                    <w:rPr>
                      <w:sz w:val="21"/>
                    </w:rPr>
                    <w:t>g/100g）≤</w:t>
                  </w: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0.5（火腿、腊肉、腊肠）</w:t>
                  </w:r>
                </w:p>
                <w:p>
                  <w:pPr>
                    <w:pStyle w:val="null3"/>
                    <w:jc w:val="both"/>
                  </w:pPr>
                  <w:r>
                    <w:rPr>
                      <w:sz w:val="21"/>
                    </w:rPr>
                    <w:t>1.5（腌腊禽制品）</w:t>
                  </w:r>
                </w:p>
              </w:tc>
            </w:tr>
            <w:tr>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三甲胺氮（</w:t>
                  </w:r>
                  <w:r>
                    <w:rPr>
                      <w:sz w:val="21"/>
                    </w:rPr>
                    <w:t>mg/100g）≤</w:t>
                  </w: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r>
          </w:tbl>
          <w:p>
            <w:pPr>
              <w:pStyle w:val="null3"/>
              <w:jc w:val="both"/>
            </w:pPr>
            <w:r>
              <w:rPr>
                <w:sz w:val="21"/>
              </w:rPr>
              <w:t>2.腊肉色泽鲜明，肌肉暗红色，脂肪透明呈乳白色，肉干燥结实，带有固有的腊香味；腊肠的肠衣干燥，无发霉，无粘液，肠衣与肉馅紧密相连在一起，表面紧而有弹性，色泽均匀，肥肉色白，瘦肉色红，无灰色斑点，气味芳香。</w:t>
            </w:r>
          </w:p>
        </w:tc>
      </w:tr>
    </w:tbl>
    <w:p>
      <w:pPr>
        <w:pStyle w:val="null3"/>
        <w:jc w:val="both"/>
        <w:outlineLvl w:val="1"/>
      </w:pPr>
      <w:r>
        <w:rPr>
          <w:sz w:val="21"/>
          <w:b/>
        </w:rPr>
        <w:t>（三）包装要求</w:t>
      </w:r>
    </w:p>
    <w:p>
      <w:pPr>
        <w:pStyle w:val="null3"/>
        <w:jc w:val="both"/>
      </w:pPr>
      <w:r>
        <w:rPr>
          <w:sz w:val="21"/>
        </w:rPr>
        <w:t>1.中标人供应的各类食品需符合国家《中华人民共和国产品质量法》《中华人民共和国食品安全法》等相关法律法规的要求，确保所供副食品优质新鲜，符合卫生防疫部门、检验检疫部门的各项合格指标，并有完整的销售合格标注或证书。</w:t>
      </w:r>
    </w:p>
    <w:p>
      <w:pPr>
        <w:pStyle w:val="null3"/>
        <w:jc w:val="both"/>
      </w:pPr>
      <w:r>
        <w:rPr>
          <w:sz w:val="21"/>
        </w:rPr>
        <w:t>2.如出现质量问题或保质期不足的情况，采购人有权拒绝接受所提供的物品或食品。若因食品质量引起食物中毒（经市场监管、卫生防疫部门鉴定），中标人应承担全部法律责任，采购人有权取消其供应资格。如果没有提及适用标准，则应符合中华人民共和国国家标准或行业标准；如果中华人民共和国没有相关标准的，则采用货物来源国适用的官方标准。这些标准必须是有关机构发布的最新版本的标准。</w:t>
      </w:r>
    </w:p>
    <w:p>
      <w:pPr>
        <w:pStyle w:val="null3"/>
        <w:jc w:val="both"/>
      </w:pPr>
      <w:r>
        <w:rPr>
          <w:sz w:val="21"/>
        </w:rPr>
        <w:t>3</w:t>
      </w:r>
      <w:r>
        <w:rPr>
          <w:sz w:val="21"/>
        </w:rPr>
        <w:t>.</w:t>
      </w:r>
      <w:r>
        <w:rPr>
          <w:sz w:val="21"/>
        </w:rPr>
        <w:t>包装：容器</w:t>
      </w:r>
      <w:r>
        <w:rPr>
          <w:sz w:val="21"/>
        </w:rPr>
        <w:t>（</w:t>
      </w:r>
      <w:r>
        <w:rPr>
          <w:sz w:val="21"/>
        </w:rPr>
        <w:t>框、箱、袋</w:t>
      </w:r>
      <w:r>
        <w:rPr>
          <w:sz w:val="21"/>
        </w:rPr>
        <w:t>）</w:t>
      </w:r>
      <w:r>
        <w:rPr>
          <w:sz w:val="21"/>
        </w:rPr>
        <w:t>要求清洁、干燥、牢固、透气，无污染、无异味、无霉变现象。</w:t>
      </w:r>
    </w:p>
    <w:p>
      <w:pPr>
        <w:pStyle w:val="null3"/>
        <w:jc w:val="both"/>
      </w:pPr>
      <w:r>
        <w:rPr>
          <w:sz w:val="21"/>
        </w:rPr>
        <w:t>4</w:t>
      </w:r>
      <w:r>
        <w:rPr>
          <w:sz w:val="21"/>
        </w:rPr>
        <w:t>.</w:t>
      </w:r>
      <w:r>
        <w:rPr>
          <w:sz w:val="21"/>
        </w:rPr>
        <w:t>标志：每件包装需按《农产品包装和标识管理办法》贴标签，并标明产地、品种、净含量、生产单位及地址和采收日期。</w:t>
      </w:r>
    </w:p>
    <w:p>
      <w:pPr>
        <w:pStyle w:val="null3"/>
        <w:jc w:val="both"/>
      </w:pPr>
      <w:r>
        <w:rPr>
          <w:sz w:val="21"/>
        </w:rPr>
        <w:t>5</w:t>
      </w:r>
      <w:r>
        <w:rPr>
          <w:sz w:val="21"/>
        </w:rPr>
        <w:t>.</w:t>
      </w:r>
      <w:r>
        <w:rPr>
          <w:sz w:val="21"/>
        </w:rPr>
        <w:t>采购人有权拒收包装不整齐、已拆封的商品。</w:t>
      </w:r>
    </w:p>
    <w:p>
      <w:pPr>
        <w:pStyle w:val="null3"/>
        <w:jc w:val="both"/>
      </w:pPr>
      <w:r>
        <w:rPr>
          <w:sz w:val="21"/>
        </w:rPr>
        <w:t>6</w:t>
      </w:r>
      <w:r>
        <w:rPr>
          <w:sz w:val="21"/>
        </w:rPr>
        <w:t>.</w:t>
      </w:r>
      <w:r>
        <w:rPr>
          <w:sz w:val="21"/>
        </w:rPr>
        <w:t>采购人发现商品出现损坏（包括表面损坏），或出现水渍、串味、受潮等导致货物性质改变的现象，</w:t>
      </w:r>
      <w:r>
        <w:rPr>
          <w:sz w:val="21"/>
        </w:rPr>
        <w:t>中标人</w:t>
      </w:r>
      <w:r>
        <w:rPr>
          <w:sz w:val="21"/>
        </w:rPr>
        <w:t>需无条件退货或更换商品。</w:t>
      </w:r>
    </w:p>
    <w:p>
      <w:pPr>
        <w:pStyle w:val="null3"/>
        <w:jc w:val="both"/>
      </w:pPr>
      <w:r>
        <w:rPr>
          <w:sz w:val="21"/>
        </w:rPr>
        <w:t>7.中标人应能够配合采购人及时更新所提供的符合市场监管部门的有效证明材料，如有效的营业执照、产品合格证等。</w:t>
      </w:r>
    </w:p>
    <w:p>
      <w:pPr>
        <w:pStyle w:val="null3"/>
        <w:jc w:val="both"/>
        <w:outlineLvl w:val="1"/>
      </w:pPr>
      <w:r>
        <w:rPr>
          <w:sz w:val="21"/>
          <w:b/>
        </w:rPr>
        <w:t>（四）供货要求</w:t>
      </w:r>
    </w:p>
    <w:p>
      <w:pPr>
        <w:pStyle w:val="null3"/>
        <w:jc w:val="both"/>
      </w:pPr>
      <w:r>
        <w:rPr>
          <w:sz w:val="21"/>
        </w:rPr>
        <w:t>1.交货期：每次收到采购人订购单通知订购品种、数量后，24小时内免费送货到采购人指定地点，采购人工作人员过秤验收并记录。具体送货时间由采购人通知时约定。</w:t>
      </w:r>
    </w:p>
    <w:p>
      <w:pPr>
        <w:pStyle w:val="null3"/>
        <w:jc w:val="both"/>
      </w:pPr>
      <w:r>
        <w:rPr>
          <w:sz w:val="21"/>
          <w:b/>
        </w:rPr>
        <w:t>2.为保障供货过程的透明化和可追溯性，提供便捷的采购管理与费用管控措施，投标人应具备自有、外购或租赁的信息化管理系统（如APP、微信小程序、网页等），并实现以下功能：</w:t>
      </w:r>
    </w:p>
    <w:p>
      <w:pPr>
        <w:pStyle w:val="null3"/>
        <w:jc w:val="both"/>
      </w:pPr>
      <w:r>
        <w:rPr>
          <w:sz w:val="21"/>
          <w:b/>
        </w:rPr>
        <w:t>订单管理：</w:t>
      </w:r>
      <w:r>
        <w:rPr>
          <w:sz w:val="21"/>
        </w:rPr>
        <w:t>支持采购人</w:t>
      </w:r>
      <w:r>
        <w:rPr>
          <w:sz w:val="21"/>
        </w:rPr>
        <w:t>实时</w:t>
      </w:r>
      <w:r>
        <w:rPr>
          <w:sz w:val="21"/>
        </w:rPr>
        <w:t>在线下单、订单状态跟踪</w:t>
      </w:r>
      <w:r>
        <w:rPr>
          <w:sz w:val="21"/>
        </w:rPr>
        <w:t>、</w:t>
      </w:r>
      <w:r>
        <w:rPr>
          <w:sz w:val="21"/>
        </w:rPr>
        <w:t>订单确认及历史订单查询；</w:t>
      </w:r>
    </w:p>
    <w:p>
      <w:pPr>
        <w:pStyle w:val="null3"/>
        <w:jc w:val="both"/>
      </w:pPr>
      <w:r>
        <w:rPr>
          <w:sz w:val="21"/>
          <w:b/>
        </w:rPr>
        <w:t>验收与资料管理：</w:t>
      </w:r>
      <w:r>
        <w:rPr>
          <w:sz w:val="21"/>
        </w:rPr>
        <w:t>支持自动上传称重验收复核数据，支持随货票证（如动物检疫合格证明、食品出厂检验合格证、检测报告等）电子化上传、存档及在线核验</w:t>
      </w:r>
      <w:r>
        <w:rPr>
          <w:sz w:val="21"/>
        </w:rPr>
        <w:t>；</w:t>
      </w:r>
    </w:p>
    <w:p>
      <w:pPr>
        <w:pStyle w:val="null3"/>
        <w:jc w:val="both"/>
      </w:pPr>
      <w:r>
        <w:rPr>
          <w:sz w:val="21"/>
          <w:b/>
        </w:rPr>
        <w:t>价格与费用管理：</w:t>
      </w:r>
      <w:r>
        <w:rPr>
          <w:sz w:val="21"/>
        </w:rPr>
        <w:t>支持</w:t>
      </w:r>
      <w:r>
        <w:rPr>
          <w:sz w:val="21"/>
        </w:rPr>
        <w:t>费用结算</w:t>
      </w:r>
      <w:r>
        <w:rPr>
          <w:sz w:val="21"/>
        </w:rPr>
        <w:t>、</w:t>
      </w:r>
      <w:r>
        <w:rPr>
          <w:sz w:val="21"/>
        </w:rPr>
        <w:t>预算使用进度</w:t>
      </w:r>
      <w:r>
        <w:rPr>
          <w:sz w:val="21"/>
        </w:rPr>
        <w:t>的</w:t>
      </w:r>
      <w:r>
        <w:rPr>
          <w:sz w:val="21"/>
        </w:rPr>
        <w:t>实时查看以及月度食材配送报告的生成与分析。</w:t>
      </w:r>
    </w:p>
    <w:p>
      <w:pPr>
        <w:pStyle w:val="null3"/>
        <w:jc w:val="both"/>
      </w:pPr>
      <w:r>
        <w:rPr>
          <w:sz w:val="21"/>
        </w:rPr>
        <w:t>3</w:t>
      </w:r>
      <w:r>
        <w:rPr>
          <w:sz w:val="21"/>
        </w:rPr>
        <w:t>.交货地点：按采购人指定的地点。</w:t>
      </w:r>
    </w:p>
    <w:p>
      <w:pPr>
        <w:pStyle w:val="null3"/>
        <w:jc w:val="both"/>
      </w:pPr>
      <w:r>
        <w:rPr>
          <w:sz w:val="21"/>
        </w:rPr>
        <w:t>★</w:t>
      </w:r>
      <w:r>
        <w:rPr>
          <w:sz w:val="21"/>
        </w:rPr>
        <w:t>4</w:t>
      </w:r>
      <w:r>
        <w:rPr>
          <w:sz w:val="21"/>
        </w:rPr>
        <w:t>.交货要求：</w:t>
      </w:r>
      <w:r>
        <w:rPr>
          <w:sz w:val="21"/>
        </w:rPr>
        <w:t>中标人</w:t>
      </w:r>
      <w:r>
        <w:rPr>
          <w:sz w:val="21"/>
        </w:rPr>
        <w:t>所供货物的卫生、质量、包装等需符合</w:t>
      </w:r>
      <w:r>
        <w:rPr>
          <w:sz w:val="21"/>
        </w:rPr>
        <w:t>《中华人民共和国</w:t>
      </w:r>
      <w:r>
        <w:rPr>
          <w:sz w:val="21"/>
        </w:rPr>
        <w:t>食品安全法</w:t>
      </w:r>
      <w:r>
        <w:rPr>
          <w:sz w:val="21"/>
        </w:rPr>
        <w:t>》</w:t>
      </w:r>
      <w:r>
        <w:rPr>
          <w:sz w:val="21"/>
        </w:rPr>
        <w:t>和食</w:t>
      </w:r>
      <w:r>
        <w:rPr>
          <w:sz w:val="21"/>
        </w:rPr>
        <w:t>品</w:t>
      </w:r>
      <w:r>
        <w:rPr>
          <w:sz w:val="21"/>
        </w:rPr>
        <w:t>药</w:t>
      </w:r>
      <w:r>
        <w:rPr>
          <w:sz w:val="21"/>
        </w:rPr>
        <w:t>品</w:t>
      </w:r>
      <w:r>
        <w:rPr>
          <w:sz w:val="21"/>
        </w:rPr>
        <w:t>监</w:t>
      </w:r>
      <w:r>
        <w:rPr>
          <w:sz w:val="21"/>
        </w:rPr>
        <w:t>督管理部门的</w:t>
      </w:r>
      <w:r>
        <w:rPr>
          <w:sz w:val="21"/>
        </w:rPr>
        <w:t>质量要求，配送时需有该批次货物的合格证明或检验检疫证明。</w:t>
      </w:r>
      <w:r>
        <w:rPr>
          <w:sz w:val="21"/>
        </w:rPr>
        <w:t>中标人</w:t>
      </w:r>
      <w:r>
        <w:rPr>
          <w:sz w:val="21"/>
        </w:rPr>
        <w:t>应充分理解并认真遵循本招标文件的要求，并按本招标文件的要求提供货物，需保证供应的货品均为正规生产并经检验合格，保证货品新鲜（冰鲜除外）、无毒、无辐射、无侵权。在有效期控制方面，货品的剩余有效期不得少于标注有效期的</w:t>
      </w:r>
      <w:r>
        <w:rPr>
          <w:sz w:val="21"/>
        </w:rPr>
        <w:t>50</w:t>
      </w:r>
      <w:r>
        <w:rPr>
          <w:sz w:val="21"/>
        </w:rPr>
        <w:t>%</w:t>
      </w:r>
      <w:r>
        <w:rPr>
          <w:sz w:val="21"/>
        </w:rPr>
        <w:t>（如上文其他货品保质期有其他明确要求的，从其规定）</w:t>
      </w:r>
      <w:r>
        <w:rPr>
          <w:sz w:val="21"/>
        </w:rPr>
        <w:t>。</w:t>
      </w:r>
      <w:r>
        <w:rPr>
          <w:sz w:val="21"/>
          <w:b/>
        </w:rPr>
        <w:t>（</w:t>
      </w:r>
      <w:r>
        <w:rPr>
          <w:sz w:val="21"/>
          <w:b/>
        </w:rPr>
        <w:t>投标人需提供承诺函</w:t>
      </w:r>
      <w:r>
        <w:rPr>
          <w:sz w:val="21"/>
          <w:b/>
        </w:rPr>
        <w:t>，格式自拟，可参考</w:t>
      </w:r>
      <w:r>
        <w:rPr>
          <w:sz w:val="21"/>
          <w:b/>
        </w:rPr>
        <w:t>投标文件格式</w:t>
      </w:r>
      <w:r>
        <w:rPr>
          <w:sz w:val="21"/>
          <w:b/>
        </w:rPr>
        <w:t>十一</w:t>
      </w:r>
      <w:r>
        <w:rPr>
          <w:sz w:val="21"/>
          <w:b/>
        </w:rPr>
        <w:t>）</w:t>
      </w:r>
    </w:p>
    <w:p>
      <w:pPr>
        <w:pStyle w:val="null3"/>
        <w:jc w:val="both"/>
      </w:pPr>
      <w:r>
        <w:rPr>
          <w:sz w:val="21"/>
        </w:rPr>
        <w:t>5</w:t>
      </w:r>
      <w:r>
        <w:rPr>
          <w:sz w:val="21"/>
        </w:rPr>
        <w:t>.货物配送要求</w:t>
      </w:r>
    </w:p>
    <w:p>
      <w:pPr>
        <w:pStyle w:val="null3"/>
        <w:ind w:left="15"/>
        <w:jc w:val="both"/>
      </w:pPr>
      <w:r>
        <w:rPr>
          <w:sz w:val="21"/>
        </w:rPr>
        <w:t>（</w:t>
      </w:r>
      <w:r>
        <w:rPr>
          <w:sz w:val="21"/>
        </w:rPr>
        <w:t>1）</w:t>
      </w:r>
      <w:r>
        <w:rPr>
          <w:sz w:val="21"/>
        </w:rPr>
        <w:t>所有货物运输必须是封闭的运载工具，并且要保持清洁和定期消毒。运输车厢的内仓，包括地面、墙面和顶，应使用抗腐蚀、防潮，易清洁消毒的材料。车厢内无不良气味、异味。</w:t>
      </w:r>
    </w:p>
    <w:p>
      <w:pPr>
        <w:pStyle w:val="null3"/>
        <w:ind w:left="15"/>
        <w:jc w:val="both"/>
      </w:pPr>
      <w:r>
        <w:rPr>
          <w:sz w:val="21"/>
        </w:rPr>
        <w:t>（</w:t>
      </w:r>
      <w:r>
        <w:rPr>
          <w:sz w:val="21"/>
        </w:rPr>
        <w:t>2）</w:t>
      </w:r>
      <w:r>
        <w:rPr>
          <w:sz w:val="21"/>
        </w:rPr>
        <w:t>整个运输过程应科学合理，运输车辆应定期清洁，保持性能稳定。货物要分类堆放，防止交叉污染。鲜肉类、鲜果蔬、冷藏冷冻食品，必须使用具备保温（制冷）装置</w:t>
      </w:r>
      <w:r>
        <w:rPr>
          <w:sz w:val="21"/>
        </w:rPr>
        <w:t>正常</w:t>
      </w:r>
      <w:r>
        <w:rPr>
          <w:sz w:val="21"/>
        </w:rPr>
        <w:t>的车辆</w:t>
      </w:r>
      <w:r>
        <w:rPr>
          <w:sz w:val="21"/>
        </w:rPr>
        <w:t>，且运输过程必须开启</w:t>
      </w:r>
      <w:r>
        <w:rPr>
          <w:sz w:val="21"/>
        </w:rPr>
        <w:t>保温（制冷）</w:t>
      </w:r>
      <w:r>
        <w:rPr>
          <w:sz w:val="21"/>
        </w:rPr>
        <w:t>功能</w:t>
      </w:r>
      <w:r>
        <w:rPr>
          <w:sz w:val="21"/>
        </w:rPr>
        <w:t>。</w:t>
      </w:r>
    </w:p>
    <w:p>
      <w:pPr>
        <w:pStyle w:val="null3"/>
        <w:jc w:val="both"/>
      </w:pPr>
      <w:r>
        <w:rPr>
          <w:sz w:val="21"/>
        </w:rPr>
        <w:t>（</w:t>
      </w:r>
      <w:r>
        <w:rPr>
          <w:sz w:val="21"/>
        </w:rPr>
        <w:t>3）</w:t>
      </w:r>
      <w:r>
        <w:rPr>
          <w:sz w:val="21"/>
        </w:rPr>
        <w:t>卸货要求</w:t>
      </w:r>
      <w:r>
        <w:rPr>
          <w:sz w:val="21"/>
        </w:rPr>
        <w:t>:送货车辆应保持清洁；食品堆放科学合理，避免造成食品的交叉污染。</w:t>
      </w:r>
    </w:p>
    <w:p>
      <w:pPr>
        <w:pStyle w:val="null3"/>
        <w:jc w:val="both"/>
      </w:pPr>
      <w:r>
        <w:rPr>
          <w:sz w:val="21"/>
        </w:rPr>
        <w:t>（</w:t>
      </w:r>
      <w:r>
        <w:rPr>
          <w:sz w:val="21"/>
        </w:rPr>
        <w:t>4）</w:t>
      </w:r>
      <w:r>
        <w:rPr>
          <w:sz w:val="21"/>
        </w:rPr>
        <w:t>在配送总重量不变情况下，采购人根据中标人各供货点择优配选上述货物按期出供货计划，中标人应灵活地配合和按时备齐货物。</w:t>
      </w:r>
    </w:p>
    <w:p>
      <w:pPr>
        <w:pStyle w:val="null3"/>
        <w:jc w:val="both"/>
      </w:pPr>
      <w:r>
        <w:rPr>
          <w:sz w:val="21"/>
        </w:rPr>
        <w:t>6</w:t>
      </w:r>
      <w:r>
        <w:rPr>
          <w:sz w:val="21"/>
        </w:rPr>
        <w:t>.中标人应根据采购人要求对指定食材进行免费粗加工，保证可食用率达95%以上。</w:t>
      </w:r>
    </w:p>
    <w:p>
      <w:pPr>
        <w:pStyle w:val="null3"/>
        <w:jc w:val="both"/>
      </w:pPr>
      <w:r>
        <w:rPr>
          <w:sz w:val="21"/>
        </w:rPr>
        <w:t>7</w:t>
      </w:r>
      <w:r>
        <w:rPr>
          <w:sz w:val="21"/>
        </w:rPr>
        <w:t>.中标人应安排配送专员及专车负责送货，须向采购人提供相关资料进行备案，指定的配送专员必须穿着便于辨认的工衣和</w:t>
      </w:r>
      <w:r>
        <w:rPr>
          <w:sz w:val="21"/>
        </w:rPr>
        <w:t>佩</w:t>
      </w:r>
      <w:r>
        <w:rPr>
          <w:sz w:val="21"/>
        </w:rPr>
        <w:t>戴胸卡，且持有效餐饮从业人员健康证上岗。中标人必须为配送专员购买个人社保或商业意外险。配送专员在采购人指定范围内活动时必须严格遵守采购人的各项规章制度，不得有损采购人形象和利益。服务期间发生的一切工伤事故均由中标人自行承担责任，采购人不承担任何责任。</w:t>
      </w:r>
    </w:p>
    <w:p>
      <w:pPr>
        <w:pStyle w:val="null3"/>
        <w:jc w:val="both"/>
      </w:pPr>
      <w:r>
        <w:rPr>
          <w:sz w:val="21"/>
        </w:rPr>
        <w:t>8</w:t>
      </w:r>
      <w:r>
        <w:rPr>
          <w:sz w:val="21"/>
        </w:rPr>
        <w:t>.</w:t>
      </w:r>
      <w:r>
        <w:rPr>
          <w:sz w:val="21"/>
        </w:rPr>
        <w:t>中标人</w:t>
      </w:r>
      <w:r>
        <w:rPr>
          <w:sz w:val="21"/>
        </w:rPr>
        <w:t>提供假冒伪劣、过期、变质、有毒食品的，一经发现，采购人除有权要求无条件退货或换货外，</w:t>
      </w:r>
      <w:r>
        <w:rPr>
          <w:sz w:val="21"/>
          <w:b/>
        </w:rPr>
        <w:t>每次从履约保证金扣款</w:t>
      </w:r>
      <w:r>
        <w:rPr>
          <w:sz w:val="21"/>
          <w:b/>
        </w:rPr>
        <w:t>2000元，情节严重的</w:t>
      </w:r>
      <w:r>
        <w:rPr>
          <w:sz w:val="21"/>
          <w:b/>
        </w:rPr>
        <w:t>还有权立即终止合同</w:t>
      </w:r>
      <w:r>
        <w:rPr>
          <w:sz w:val="21"/>
        </w:rPr>
        <w:t>，且履约保证金不予退还。如发生食品安全事故，</w:t>
      </w:r>
      <w:r>
        <w:rPr>
          <w:sz w:val="21"/>
        </w:rPr>
        <w:t>中标人</w:t>
      </w:r>
      <w:r>
        <w:rPr>
          <w:sz w:val="21"/>
        </w:rPr>
        <w:t>将承担法律和经济等所有责任，且履约保证金不予退还。</w:t>
      </w:r>
    </w:p>
    <w:p>
      <w:pPr>
        <w:pStyle w:val="null3"/>
        <w:jc w:val="both"/>
      </w:pPr>
      <w:r>
        <w:rPr>
          <w:sz w:val="21"/>
        </w:rPr>
        <w:t>9</w:t>
      </w:r>
      <w:r>
        <w:rPr>
          <w:sz w:val="21"/>
        </w:rPr>
        <w:t>.</w:t>
      </w:r>
      <w:r>
        <w:rPr>
          <w:sz w:val="21"/>
        </w:rPr>
        <w:t>中标人</w:t>
      </w:r>
      <w:r>
        <w:rPr>
          <w:sz w:val="21"/>
        </w:rPr>
        <w:t>应按合同约定供货，</w:t>
      </w:r>
      <w:r>
        <w:rPr>
          <w:sz w:val="21"/>
        </w:rPr>
        <w:t>中标人</w:t>
      </w:r>
      <w:r>
        <w:rPr>
          <w:sz w:val="21"/>
        </w:rPr>
        <w:t>不得转包，否则采购人有权单方面终止合同，项目另行处理，</w:t>
      </w:r>
      <w:r>
        <w:rPr>
          <w:sz w:val="21"/>
        </w:rPr>
        <w:t>中标人</w:t>
      </w:r>
      <w:r>
        <w:rPr>
          <w:sz w:val="21"/>
        </w:rPr>
        <w:t>承担由此造成的经济损失，全部履约保证金不退还。</w:t>
      </w:r>
    </w:p>
    <w:p>
      <w:pPr>
        <w:pStyle w:val="null3"/>
        <w:jc w:val="both"/>
      </w:pPr>
      <w:r>
        <w:rPr>
          <w:sz w:val="21"/>
        </w:rPr>
        <w:t>10</w:t>
      </w:r>
      <w:r>
        <w:rPr>
          <w:sz w:val="21"/>
        </w:rPr>
        <w:t>.</w:t>
      </w:r>
      <w:r>
        <w:rPr>
          <w:sz w:val="21"/>
        </w:rPr>
        <w:t>中标人</w:t>
      </w:r>
      <w:r>
        <w:rPr>
          <w:sz w:val="21"/>
        </w:rPr>
        <w:t>需负责货物的运输、质量检测等工作，所产生的费用由</w:t>
      </w:r>
      <w:r>
        <w:rPr>
          <w:sz w:val="21"/>
        </w:rPr>
        <w:t>中标人</w:t>
      </w:r>
      <w:r>
        <w:rPr>
          <w:sz w:val="21"/>
        </w:rPr>
        <w:t>负责。</w:t>
      </w:r>
    </w:p>
    <w:p>
      <w:pPr>
        <w:pStyle w:val="null3"/>
        <w:jc w:val="both"/>
      </w:pPr>
      <w:r>
        <w:rPr>
          <w:sz w:val="21"/>
        </w:rPr>
        <w:t>11</w:t>
      </w:r>
      <w:r>
        <w:rPr>
          <w:sz w:val="21"/>
        </w:rPr>
        <w:t>.货物具体需求量以实际供应前1天采购人通知的为准。采购人</w:t>
      </w:r>
      <w:r>
        <w:rPr>
          <w:sz w:val="21"/>
        </w:rPr>
        <w:t>前</w:t>
      </w:r>
      <w:r>
        <w:rPr>
          <w:sz w:val="21"/>
        </w:rPr>
        <w:t>1天</w:t>
      </w:r>
      <w:r>
        <w:rPr>
          <w:sz w:val="21"/>
        </w:rPr>
        <w:t>16:00（特殊紧急情况除外）前以书面、传真、微信、邮件、电话等方式其中之一向</w:t>
      </w:r>
      <w:r>
        <w:rPr>
          <w:sz w:val="21"/>
        </w:rPr>
        <w:t>中标人</w:t>
      </w:r>
      <w:r>
        <w:rPr>
          <w:sz w:val="21"/>
        </w:rPr>
        <w:t>下订单，订单内容应包含品名、数量、时间及特殊要求等。</w:t>
      </w:r>
    </w:p>
    <w:p>
      <w:pPr>
        <w:pStyle w:val="null3"/>
        <w:jc w:val="both"/>
      </w:pPr>
      <w:r>
        <w:rPr>
          <w:sz w:val="21"/>
        </w:rPr>
        <w:t>12</w:t>
      </w:r>
      <w:r>
        <w:rPr>
          <w:sz w:val="21"/>
        </w:rPr>
        <w:t>.</w:t>
      </w:r>
      <w:r>
        <w:rPr>
          <w:sz w:val="21"/>
        </w:rPr>
        <w:t>中标人</w:t>
      </w:r>
      <w:r>
        <w:rPr>
          <w:sz w:val="21"/>
        </w:rPr>
        <w:t>不得私自变更</w:t>
      </w:r>
      <w:r>
        <w:rPr>
          <w:sz w:val="21"/>
        </w:rPr>
        <w:t>货</w:t>
      </w:r>
      <w:r>
        <w:rPr>
          <w:sz w:val="21"/>
        </w:rPr>
        <w:t>品的品种质量，应严格按招标要求（含商标、名称、产地、规格和重量等）供应，否则采购人有权拒收。如因市场流通问题确实需要变更的，应提前以书面、传真、微信、邮件、电话等方式</w:t>
      </w:r>
      <w:r>
        <w:rPr>
          <w:sz w:val="21"/>
        </w:rPr>
        <w:t>其中之一</w:t>
      </w:r>
      <w:r>
        <w:rPr>
          <w:sz w:val="21"/>
        </w:rPr>
        <w:t>向采购人申请，获得采购人确认后方可组织供应。</w:t>
      </w:r>
    </w:p>
    <w:p>
      <w:pPr>
        <w:pStyle w:val="null3"/>
        <w:jc w:val="both"/>
      </w:pPr>
      <w:r>
        <w:rPr>
          <w:sz w:val="21"/>
        </w:rPr>
        <w:t>13</w:t>
      </w:r>
      <w:r>
        <w:rPr>
          <w:sz w:val="21"/>
        </w:rPr>
        <w:t>.</w:t>
      </w:r>
      <w:r>
        <w:rPr>
          <w:sz w:val="21"/>
        </w:rPr>
        <w:t>中标人</w:t>
      </w:r>
      <w:r>
        <w:rPr>
          <w:sz w:val="21"/>
        </w:rPr>
        <w:t>未能履行招标文件和合同所定事项，或供应不合格的、假冒伪劣、以次充好的商品或供货时的商品与市场调查时的样板不符的，采购人退货后将记录在案，并对</w:t>
      </w:r>
      <w:r>
        <w:rPr>
          <w:sz w:val="21"/>
        </w:rPr>
        <w:t>中标人</w:t>
      </w:r>
      <w:r>
        <w:rPr>
          <w:sz w:val="21"/>
        </w:rPr>
        <w:t>予以处罚，除要承担因此产生的一切损失和费用外，采购人保留取消其供应资格的权利。</w:t>
      </w:r>
    </w:p>
    <w:p>
      <w:pPr>
        <w:pStyle w:val="null3"/>
        <w:jc w:val="both"/>
      </w:pPr>
      <w:r>
        <w:rPr>
          <w:sz w:val="21"/>
        </w:rPr>
        <w:t>14</w:t>
      </w:r>
      <w:r>
        <w:rPr>
          <w:sz w:val="21"/>
        </w:rPr>
        <w:t>.</w:t>
      </w:r>
      <w:r>
        <w:rPr>
          <w:sz w:val="21"/>
        </w:rPr>
        <w:t>中标人</w:t>
      </w:r>
      <w:r>
        <w:rPr>
          <w:sz w:val="21"/>
        </w:rPr>
        <w:t>对采购人提出的临时性服务要求应按时、按质、按量将货品送到指定地点，</w:t>
      </w:r>
      <w:r>
        <w:rPr>
          <w:sz w:val="21"/>
        </w:rPr>
        <w:t>中标人</w:t>
      </w:r>
      <w:r>
        <w:rPr>
          <w:sz w:val="21"/>
        </w:rPr>
        <w:t>除不可抗力外，不得因其他任何理由延迟送货。</w:t>
      </w:r>
      <w:r>
        <w:rPr>
          <w:sz w:val="21"/>
        </w:rPr>
        <w:t>中标人</w:t>
      </w:r>
      <w:r>
        <w:rPr>
          <w:sz w:val="21"/>
        </w:rPr>
        <w:t>如遇特殊情况需推迟送货，应提前通知采购人。因</w:t>
      </w:r>
      <w:r>
        <w:rPr>
          <w:sz w:val="21"/>
        </w:rPr>
        <w:t>中标人</w:t>
      </w:r>
      <w:r>
        <w:rPr>
          <w:sz w:val="21"/>
        </w:rPr>
        <w:t>原因延误交货日期的（采购单位要求推迟的除外），采购人有权自行采购，并由</w:t>
      </w:r>
      <w:r>
        <w:rPr>
          <w:sz w:val="21"/>
        </w:rPr>
        <w:t>中标人</w:t>
      </w:r>
      <w:r>
        <w:rPr>
          <w:sz w:val="21"/>
        </w:rPr>
        <w:t>承担由此产生的一切损失和费用，直接在履约保证金中扣除。</w:t>
      </w:r>
    </w:p>
    <w:p>
      <w:pPr>
        <w:pStyle w:val="null3"/>
        <w:jc w:val="both"/>
      </w:pPr>
      <w:r>
        <w:rPr>
          <w:sz w:val="21"/>
        </w:rPr>
        <w:t>15</w:t>
      </w:r>
      <w:r>
        <w:rPr>
          <w:sz w:val="21"/>
        </w:rPr>
        <w:t>.</w:t>
      </w:r>
      <w:r>
        <w:rPr>
          <w:sz w:val="21"/>
        </w:rPr>
        <w:t>中标人</w:t>
      </w:r>
      <w:r>
        <w:rPr>
          <w:sz w:val="21"/>
        </w:rPr>
        <w:t>提供的货品若导致采购人有任何食物安全事件出现，由</w:t>
      </w:r>
      <w:r>
        <w:rPr>
          <w:sz w:val="21"/>
        </w:rPr>
        <w:t>中标人</w:t>
      </w:r>
      <w:r>
        <w:rPr>
          <w:sz w:val="21"/>
        </w:rPr>
        <w:t>承担全部责任及赔偿采购人一切损失，采购人保留法律追究权利。</w:t>
      </w:r>
    </w:p>
    <w:p>
      <w:pPr>
        <w:pStyle w:val="null3"/>
        <w:jc w:val="both"/>
      </w:pPr>
      <w:r>
        <w:rPr>
          <w:sz w:val="21"/>
        </w:rPr>
        <w:t>16</w:t>
      </w:r>
      <w:r>
        <w:rPr>
          <w:sz w:val="21"/>
        </w:rPr>
        <w:t>.</w:t>
      </w:r>
      <w:r>
        <w:rPr>
          <w:sz w:val="21"/>
        </w:rPr>
        <w:t>中标人</w:t>
      </w:r>
      <w:r>
        <w:rPr>
          <w:sz w:val="21"/>
        </w:rPr>
        <w:t>的供货价应包含交付给采购人前的所有一切费用，包括运输费、储存费等，并承担送货途中的一切风险。</w:t>
      </w:r>
    </w:p>
    <w:p>
      <w:pPr>
        <w:pStyle w:val="null3"/>
        <w:jc w:val="both"/>
      </w:pPr>
      <w:r>
        <w:rPr>
          <w:sz w:val="21"/>
        </w:rPr>
        <w:t>1</w:t>
      </w:r>
      <w:r>
        <w:rPr>
          <w:sz w:val="21"/>
        </w:rPr>
        <w:t>7</w:t>
      </w:r>
      <w:r>
        <w:rPr>
          <w:sz w:val="21"/>
        </w:rPr>
        <w:t>.未列入物资明细表内又需要购买的货品，其单价由采购人、中标人双方协商定价原则确定供货价格。</w:t>
      </w:r>
    </w:p>
    <w:p>
      <w:pPr>
        <w:pStyle w:val="null3"/>
        <w:jc w:val="both"/>
      </w:pPr>
      <w:r>
        <w:rPr>
          <w:sz w:val="21"/>
        </w:rPr>
        <w:t>1</w:t>
      </w:r>
      <w:r>
        <w:rPr>
          <w:sz w:val="21"/>
        </w:rPr>
        <w:t>8</w:t>
      </w:r>
      <w:r>
        <w:rPr>
          <w:sz w:val="21"/>
        </w:rPr>
        <w:t>.</w:t>
      </w:r>
      <w:r>
        <w:rPr>
          <w:sz w:val="21"/>
        </w:rPr>
        <w:t>中标人</w:t>
      </w:r>
      <w:r>
        <w:rPr>
          <w:sz w:val="21"/>
        </w:rPr>
        <w:t>工作人员进入采购人工作范围内需遵守采购人有关规定，不得影响采购人的正常工作，由于</w:t>
      </w:r>
      <w:r>
        <w:rPr>
          <w:sz w:val="21"/>
        </w:rPr>
        <w:t>中标人</w:t>
      </w:r>
      <w:r>
        <w:rPr>
          <w:sz w:val="21"/>
        </w:rPr>
        <w:t>的过失造成采购人受到直接经济损失的，则要</w:t>
      </w:r>
      <w:r>
        <w:rPr>
          <w:sz w:val="21"/>
        </w:rPr>
        <w:t>中标人</w:t>
      </w:r>
      <w:r>
        <w:rPr>
          <w:sz w:val="21"/>
        </w:rPr>
        <w:t>承担全部责任并赔偿采购人一切损失。</w:t>
      </w:r>
    </w:p>
    <w:p>
      <w:pPr>
        <w:pStyle w:val="null3"/>
        <w:jc w:val="both"/>
      </w:pPr>
      <w:r>
        <w:rPr>
          <w:sz w:val="21"/>
        </w:rPr>
        <w:t>1</w:t>
      </w:r>
      <w:r>
        <w:rPr>
          <w:sz w:val="21"/>
        </w:rPr>
        <w:t>9</w:t>
      </w:r>
      <w:r>
        <w:rPr>
          <w:sz w:val="21"/>
        </w:rPr>
        <w:t>.</w:t>
      </w:r>
      <w:r>
        <w:rPr>
          <w:sz w:val="21"/>
        </w:rPr>
        <w:t>中标人</w:t>
      </w:r>
      <w:r>
        <w:rPr>
          <w:sz w:val="21"/>
        </w:rPr>
        <w:t>需具有固定的配送车辆及专业的配送能力，有专业的检疫人员及财务人员，有专门的财务室、检疫室，持有相关资质文件，建立内部管理制度。</w:t>
      </w:r>
    </w:p>
    <w:p>
      <w:pPr>
        <w:pStyle w:val="null3"/>
        <w:jc w:val="both"/>
      </w:pPr>
      <w:r>
        <w:rPr>
          <w:sz w:val="21"/>
        </w:rPr>
        <w:t>20</w:t>
      </w:r>
      <w:r>
        <w:rPr>
          <w:sz w:val="21"/>
        </w:rPr>
        <w:t>.</w:t>
      </w:r>
      <w:r>
        <w:rPr>
          <w:sz w:val="21"/>
        </w:rPr>
        <w:t>中标人</w:t>
      </w:r>
      <w:r>
        <w:rPr>
          <w:sz w:val="21"/>
        </w:rPr>
        <w:t>需具有良好的质量控制和售后服务体系，提供的产品和服务符合国家的技术、卫生、安全和环境保护标准。</w:t>
      </w:r>
    </w:p>
    <w:p>
      <w:pPr>
        <w:pStyle w:val="null3"/>
        <w:jc w:val="both"/>
      </w:pPr>
      <w:r>
        <w:rPr>
          <w:sz w:val="21"/>
        </w:rPr>
        <w:t>21</w:t>
      </w:r>
      <w:r>
        <w:rPr>
          <w:sz w:val="21"/>
        </w:rPr>
        <w:t>.中标人</w:t>
      </w:r>
      <w:r>
        <w:rPr>
          <w:sz w:val="21"/>
        </w:rPr>
        <w:t>需无条件响应采购人本项目供应范围内应急服务。</w:t>
      </w:r>
    </w:p>
    <w:p>
      <w:pPr>
        <w:pStyle w:val="null3"/>
        <w:jc w:val="both"/>
      </w:pPr>
      <w:r>
        <w:rPr>
          <w:sz w:val="21"/>
        </w:rPr>
        <w:t>22</w:t>
      </w:r>
      <w:r>
        <w:rPr>
          <w:sz w:val="21"/>
        </w:rPr>
        <w:t>.中标人</w:t>
      </w:r>
      <w:r>
        <w:rPr>
          <w:sz w:val="21"/>
        </w:rPr>
        <w:t>需按采购人要求确定固定联系负责人员，随时处置各种意外情况（投标文件中需提供固定联系负责人员在本单位购买的社保证明文件扫描件）。</w:t>
      </w:r>
    </w:p>
    <w:p>
      <w:pPr>
        <w:pStyle w:val="null3"/>
        <w:jc w:val="both"/>
      </w:pPr>
      <w:r>
        <w:rPr>
          <w:sz w:val="21"/>
        </w:rPr>
        <w:t>23</w:t>
      </w:r>
      <w:r>
        <w:rPr>
          <w:sz w:val="21"/>
        </w:rPr>
        <w:t>.中标人</w:t>
      </w:r>
      <w:r>
        <w:rPr>
          <w:sz w:val="21"/>
        </w:rPr>
        <w:t>需指定</w:t>
      </w:r>
      <w:r>
        <w:rPr>
          <w:sz w:val="21"/>
        </w:rPr>
        <w:t>1名人员作为项目联系人，指定1名人员作为配送人员，指定的人员应当保持相对稳定。项目联系人主要负责与采购人联系供货的相关事宜；配送人员主要负责每日的货物配送。</w:t>
      </w:r>
    </w:p>
    <w:p>
      <w:pPr>
        <w:pStyle w:val="null3"/>
        <w:jc w:val="both"/>
      </w:pPr>
      <w:r>
        <w:rPr>
          <w:sz w:val="21"/>
        </w:rPr>
        <w:t>24</w:t>
      </w:r>
      <w:r>
        <w:rPr>
          <w:sz w:val="21"/>
        </w:rPr>
        <w:t>.中标人</w:t>
      </w:r>
      <w:r>
        <w:rPr>
          <w:sz w:val="21"/>
        </w:rPr>
        <w:t>指定的人员（项目联系人和配送人），需具备有效的健康证，并无条件配合采购人的防疫防控要求。</w:t>
      </w:r>
    </w:p>
    <w:p>
      <w:pPr>
        <w:pStyle w:val="null3"/>
        <w:jc w:val="both"/>
      </w:pPr>
      <w:r>
        <w:rPr>
          <w:sz w:val="21"/>
        </w:rPr>
        <w:t>25</w:t>
      </w:r>
      <w:r>
        <w:rPr>
          <w:sz w:val="21"/>
        </w:rPr>
        <w:t>.中标人</w:t>
      </w:r>
      <w:r>
        <w:rPr>
          <w:sz w:val="21"/>
        </w:rPr>
        <w:t>需变更项目联系人或配送人员的，应当提前</w:t>
      </w:r>
      <w:r>
        <w:rPr>
          <w:sz w:val="21"/>
        </w:rPr>
        <w:t>30日书面通知采购人，并在征得采购人同意后方可办理工作交接手续。</w:t>
      </w:r>
    </w:p>
    <w:p>
      <w:pPr>
        <w:pStyle w:val="null3"/>
        <w:jc w:val="both"/>
      </w:pPr>
      <w:r>
        <w:rPr>
          <w:sz w:val="21"/>
        </w:rPr>
        <w:t>26</w:t>
      </w:r>
      <w:r>
        <w:rPr>
          <w:sz w:val="21"/>
        </w:rPr>
        <w:t>.中标人</w:t>
      </w:r>
      <w:r>
        <w:rPr>
          <w:sz w:val="21"/>
        </w:rPr>
        <w:t>指派的项目联系人和配送人员，如不能胜任工作，采购人可以要求</w:t>
      </w:r>
      <w:r>
        <w:rPr>
          <w:sz w:val="21"/>
        </w:rPr>
        <w:t>中</w:t>
      </w:r>
      <w:r>
        <w:rPr>
          <w:sz w:val="21"/>
        </w:rPr>
        <w:t>标人调换。</w:t>
      </w:r>
    </w:p>
    <w:p>
      <w:pPr>
        <w:pStyle w:val="null3"/>
        <w:jc w:val="both"/>
        <w:outlineLvl w:val="1"/>
      </w:pPr>
      <w:r>
        <w:rPr>
          <w:sz w:val="21"/>
          <w:b/>
        </w:rPr>
        <w:t>（五）食品卫生安全要求</w:t>
      </w:r>
    </w:p>
    <w:p>
      <w:pPr>
        <w:pStyle w:val="null3"/>
        <w:jc w:val="both"/>
      </w:pPr>
      <w:r>
        <w:rPr>
          <w:sz w:val="21"/>
        </w:rPr>
        <w:t>1.食品运输需采用符合卫生标准的外包装和运载工具，保证运输工具的清洁卫生无污染，做到按时清洁和定期消毒。运输车厢的内仓，包括地面、墙面和车顶，应使用抗腐蚀、防潮，易清洁消毒的材料。</w:t>
      </w:r>
      <w:r>
        <w:rPr>
          <w:sz w:val="21"/>
        </w:rPr>
        <w:t>中标人</w:t>
      </w:r>
      <w:r>
        <w:rPr>
          <w:sz w:val="21"/>
        </w:rPr>
        <w:t>应保证车厢内无不良气体和异味；运输途中严防日晒、雨淋，注意通风散热，并严防车辆机械损伤，车厢内食品堆放科学合理，避免造成食品的交叉污染。</w:t>
      </w:r>
    </w:p>
    <w:p>
      <w:pPr>
        <w:pStyle w:val="null3"/>
        <w:jc w:val="both"/>
      </w:pPr>
      <w:r>
        <w:rPr>
          <w:sz w:val="21"/>
        </w:rPr>
        <w:t>2.采购人发现采购货物不能正常食用的，</w:t>
      </w:r>
      <w:r>
        <w:rPr>
          <w:sz w:val="21"/>
        </w:rPr>
        <w:t>中标人</w:t>
      </w:r>
      <w:r>
        <w:rPr>
          <w:sz w:val="21"/>
        </w:rPr>
        <w:t>应无条件退换。</w:t>
      </w:r>
      <w:r>
        <w:rPr>
          <w:sz w:val="21"/>
        </w:rPr>
        <w:t>中标人</w:t>
      </w:r>
      <w:r>
        <w:rPr>
          <w:sz w:val="21"/>
        </w:rPr>
        <w:t>未能履行招标文件和合同所定事项，或供应不合格、假冒伪劣、以次充好的商品，采购人除做退货处理外，并有权对</w:t>
      </w:r>
      <w:r>
        <w:rPr>
          <w:sz w:val="21"/>
        </w:rPr>
        <w:t>中标人</w:t>
      </w:r>
      <w:r>
        <w:rPr>
          <w:sz w:val="21"/>
        </w:rPr>
        <w:t>予以处罚，</w:t>
      </w:r>
      <w:r>
        <w:rPr>
          <w:sz w:val="21"/>
        </w:rPr>
        <w:t>中标人</w:t>
      </w:r>
      <w:r>
        <w:rPr>
          <w:sz w:val="21"/>
        </w:rPr>
        <w:t>需承担因此产生的一切损失和费用，情节严重的采购人可取消其供应资格。</w:t>
      </w:r>
    </w:p>
    <w:p>
      <w:pPr>
        <w:pStyle w:val="null3"/>
        <w:jc w:val="both"/>
      </w:pPr>
      <w:r>
        <w:rPr>
          <w:sz w:val="21"/>
        </w:rPr>
        <w:t>3.中标商品在保质期出现损坏的，</w:t>
      </w:r>
      <w:r>
        <w:rPr>
          <w:sz w:val="21"/>
        </w:rPr>
        <w:t>中标人</w:t>
      </w:r>
      <w:r>
        <w:rPr>
          <w:sz w:val="21"/>
        </w:rPr>
        <w:t>应承诺提供替换服务，因替换货物产生的费用由</w:t>
      </w:r>
      <w:r>
        <w:rPr>
          <w:sz w:val="21"/>
        </w:rPr>
        <w:t>中标人</w:t>
      </w:r>
      <w:r>
        <w:rPr>
          <w:sz w:val="21"/>
        </w:rPr>
        <w:t>负责。</w:t>
      </w:r>
    </w:p>
    <w:p>
      <w:pPr>
        <w:pStyle w:val="null3"/>
        <w:jc w:val="both"/>
      </w:pPr>
      <w:r>
        <w:rPr>
          <w:sz w:val="21"/>
        </w:rPr>
        <w:t>4.</w:t>
      </w:r>
      <w:r>
        <w:rPr>
          <w:sz w:val="21"/>
        </w:rPr>
        <w:t>中标人</w:t>
      </w:r>
      <w:r>
        <w:rPr>
          <w:sz w:val="21"/>
        </w:rPr>
        <w:t>指定的送货专员需佩戴口罩、穿着便于辨认的工衣并佩戴胸卡，送货专员在采购人单位活动需严格遵守采购人单位各项规章制度，不得做出有损采购人形象和利益的事情。</w:t>
      </w:r>
    </w:p>
    <w:p>
      <w:pPr>
        <w:pStyle w:val="null3"/>
        <w:jc w:val="both"/>
      </w:pPr>
      <w:r>
        <w:rPr>
          <w:sz w:val="21"/>
        </w:rPr>
        <w:t>5.</w:t>
      </w:r>
      <w:r>
        <w:rPr>
          <w:sz w:val="21"/>
        </w:rPr>
        <w:t>中标人</w:t>
      </w:r>
      <w:r>
        <w:rPr>
          <w:sz w:val="21"/>
        </w:rPr>
        <w:t>应严格遵守《中华人民共和国食品安全法》和《动物检疫</w:t>
      </w:r>
      <w:r>
        <w:rPr>
          <w:sz w:val="21"/>
        </w:rPr>
        <w:t>管理办</w:t>
      </w:r>
      <w:r>
        <w:rPr>
          <w:sz w:val="21"/>
        </w:rPr>
        <w:t>法》等相关规定，一经发现供应以下食品，除全部退货外，</w:t>
      </w:r>
      <w:r>
        <w:rPr>
          <w:sz w:val="21"/>
          <w:b/>
        </w:rPr>
        <w:t>每次从履约保证金扣款</w:t>
      </w:r>
      <w:r>
        <w:rPr>
          <w:sz w:val="21"/>
          <w:b/>
        </w:rPr>
        <w:t>2000元，情节严重的采购人有权</w:t>
      </w:r>
      <w:r>
        <w:rPr>
          <w:sz w:val="21"/>
          <w:b/>
        </w:rPr>
        <w:t>取消中标人的供货资格</w:t>
      </w:r>
      <w:r>
        <w:rPr>
          <w:sz w:val="21"/>
        </w:rPr>
        <w:t>，并由中标人承担由此造成的经济责任和法律责任：</w:t>
      </w:r>
    </w:p>
    <w:p>
      <w:pPr>
        <w:pStyle w:val="null3"/>
        <w:jc w:val="both"/>
      </w:pPr>
      <w:r>
        <w:rPr>
          <w:sz w:val="21"/>
        </w:rPr>
        <w:t>（</w:t>
      </w:r>
      <w:r>
        <w:rPr>
          <w:sz w:val="21"/>
        </w:rPr>
        <w:t>1）腐败变质、油脂酸败、霉变、生虫、污秽不洁、混有异物或者其他感官性状异常，对人体健康有害的；</w:t>
      </w:r>
    </w:p>
    <w:p>
      <w:pPr>
        <w:pStyle w:val="null3"/>
        <w:jc w:val="both"/>
      </w:pPr>
      <w:r>
        <w:rPr>
          <w:sz w:val="21"/>
        </w:rPr>
        <w:t>（</w:t>
      </w:r>
      <w:r>
        <w:rPr>
          <w:sz w:val="21"/>
        </w:rPr>
        <w:t>2）含有毒、有害物质或者被有害物质污染，对人体健康有害的；</w:t>
      </w:r>
    </w:p>
    <w:p>
      <w:pPr>
        <w:pStyle w:val="null3"/>
        <w:jc w:val="both"/>
      </w:pPr>
      <w:r>
        <w:rPr>
          <w:sz w:val="21"/>
        </w:rPr>
        <w:t>（</w:t>
      </w:r>
      <w:r>
        <w:rPr>
          <w:sz w:val="21"/>
        </w:rPr>
        <w:t>3）含有致病性寄生虫、微生物或者微生物含量超过国家限定标准的；</w:t>
      </w:r>
    </w:p>
    <w:p>
      <w:pPr>
        <w:pStyle w:val="null3"/>
        <w:jc w:val="both"/>
      </w:pPr>
      <w:r>
        <w:rPr>
          <w:sz w:val="21"/>
        </w:rPr>
        <w:t>（</w:t>
      </w:r>
      <w:r>
        <w:rPr>
          <w:sz w:val="21"/>
        </w:rPr>
        <w:t>4）未经动物检疫部门检疫、检验或者检疫、检验不合格的肉类及其制品；</w:t>
      </w:r>
    </w:p>
    <w:p>
      <w:pPr>
        <w:pStyle w:val="null3"/>
        <w:jc w:val="both"/>
      </w:pPr>
      <w:r>
        <w:rPr>
          <w:sz w:val="21"/>
        </w:rPr>
        <w:t>（</w:t>
      </w:r>
      <w:r>
        <w:rPr>
          <w:sz w:val="21"/>
        </w:rPr>
        <w:t>5）病死、毒死或者死因不明的禽、畜、兽、水产动物等及其制品；</w:t>
      </w:r>
    </w:p>
    <w:p>
      <w:pPr>
        <w:pStyle w:val="null3"/>
        <w:jc w:val="both"/>
      </w:pPr>
      <w:r>
        <w:rPr>
          <w:sz w:val="21"/>
        </w:rPr>
        <w:t>（</w:t>
      </w:r>
      <w:r>
        <w:rPr>
          <w:sz w:val="21"/>
        </w:rPr>
        <w:t>6）掺假、掺杂、伪造，影响营养、卫生的；</w:t>
      </w:r>
    </w:p>
    <w:p>
      <w:pPr>
        <w:pStyle w:val="null3"/>
        <w:jc w:val="both"/>
      </w:pPr>
      <w:r>
        <w:rPr>
          <w:sz w:val="21"/>
        </w:rPr>
        <w:t>（</w:t>
      </w:r>
      <w:r>
        <w:rPr>
          <w:sz w:val="21"/>
        </w:rPr>
        <w:t>7）用非食品原料加工的，加入非食品用化学物质或者将非食品当作食品的；</w:t>
      </w:r>
    </w:p>
    <w:p>
      <w:pPr>
        <w:pStyle w:val="null3"/>
        <w:jc w:val="both"/>
      </w:pPr>
      <w:r>
        <w:rPr>
          <w:sz w:val="21"/>
        </w:rPr>
        <w:t>（</w:t>
      </w:r>
      <w:r>
        <w:rPr>
          <w:sz w:val="21"/>
        </w:rPr>
        <w:t>8）超过保质期限的。</w:t>
      </w:r>
    </w:p>
    <w:p>
      <w:pPr>
        <w:pStyle w:val="null3"/>
        <w:jc w:val="both"/>
        <w:outlineLvl w:val="1"/>
      </w:pPr>
      <w:r>
        <w:rPr>
          <w:sz w:val="21"/>
          <w:b/>
        </w:rPr>
        <w:t>（</w:t>
      </w:r>
      <w:r>
        <w:rPr>
          <w:sz w:val="21"/>
          <w:b/>
        </w:rPr>
        <w:t>六</w:t>
      </w:r>
      <w:r>
        <w:rPr>
          <w:sz w:val="21"/>
          <w:b/>
        </w:rPr>
        <w:t>）</w:t>
      </w:r>
      <w:r>
        <w:rPr>
          <w:sz w:val="21"/>
          <w:b/>
        </w:rPr>
        <w:t>食品溯源要求</w:t>
      </w:r>
    </w:p>
    <w:p>
      <w:pPr>
        <w:pStyle w:val="null3"/>
        <w:jc w:val="both"/>
        <w:outlineLvl w:val="1"/>
      </w:pPr>
      <w:r>
        <w:rPr>
          <w:sz w:val="21"/>
          <w:b/>
        </w:rPr>
        <w:t>中标人</w:t>
      </w:r>
      <w:r>
        <w:rPr>
          <w:sz w:val="21"/>
          <w:b/>
        </w:rPr>
        <w:t>对食品供应链进行明确，所有食品的来源必须清晰，包装食品要有</w:t>
      </w:r>
      <w:r>
        <w:rPr>
          <w:sz w:val="21"/>
          <w:b/>
        </w:rPr>
        <w:t>SC标志。生产食品的源头与</w:t>
      </w:r>
      <w:r>
        <w:rPr>
          <w:sz w:val="21"/>
          <w:b/>
        </w:rPr>
        <w:t>中标人</w:t>
      </w:r>
      <w:r>
        <w:rPr>
          <w:sz w:val="21"/>
          <w:b/>
        </w:rPr>
        <w:t>要有固定的合法的供应关系，严禁收购非标准产品供应。交货时应提供本批次的出厂（库）产品合格证、检验单等相关票证。</w:t>
      </w:r>
    </w:p>
    <w:p>
      <w:pPr>
        <w:pStyle w:val="null3"/>
        <w:jc w:val="both"/>
        <w:outlineLvl w:val="1"/>
      </w:pPr>
      <w:r>
        <w:rPr>
          <w:sz w:val="21"/>
          <w:b/>
        </w:rPr>
        <w:t>（</w:t>
      </w:r>
      <w:r>
        <w:rPr>
          <w:sz w:val="21"/>
          <w:b/>
        </w:rPr>
        <w:t>七</w:t>
      </w:r>
      <w:r>
        <w:rPr>
          <w:sz w:val="21"/>
          <w:b/>
        </w:rPr>
        <w:t>）食材验收程序及标准</w:t>
      </w:r>
    </w:p>
    <w:p>
      <w:pPr>
        <w:pStyle w:val="null3"/>
        <w:jc w:val="both"/>
      </w:pPr>
      <w:r>
        <w:rPr>
          <w:sz w:val="21"/>
        </w:rPr>
        <w:t>1.</w:t>
      </w:r>
      <w:r>
        <w:rPr>
          <w:sz w:val="21"/>
        </w:rPr>
        <w:t>中标人</w:t>
      </w:r>
      <w:r>
        <w:rPr>
          <w:sz w:val="21"/>
        </w:rPr>
        <w:t>送来货物时由验收小组根据供货单位的送货单核对货品名称、重量，然后签收单据。</w:t>
      </w:r>
    </w:p>
    <w:p>
      <w:pPr>
        <w:pStyle w:val="null3"/>
        <w:jc w:val="both"/>
      </w:pPr>
      <w:r>
        <w:rPr>
          <w:sz w:val="21"/>
        </w:rPr>
        <w:t>2.检查食品原料数量，通过点数、称量，对所有到货的数量进行核对。</w:t>
      </w:r>
      <w:r>
        <w:rPr>
          <w:sz w:val="21"/>
        </w:rPr>
        <w:t>中标人</w:t>
      </w:r>
      <w:r>
        <w:rPr>
          <w:sz w:val="21"/>
        </w:rPr>
        <w:t>送交的货物需是定量包装，要求称量需与包装袋上标明的重量一致，按实际称重结算。</w:t>
      </w:r>
    </w:p>
    <w:p>
      <w:pPr>
        <w:pStyle w:val="null3"/>
        <w:jc w:val="both"/>
      </w:pPr>
      <w:r>
        <w:rPr>
          <w:sz w:val="21"/>
        </w:rPr>
        <w:t>3.所有货物需符合国家有关标准，保证无异味、无霉烂变质。肉类供货时需提供当批次有效的动物检疫合格证</w:t>
      </w:r>
      <w:r>
        <w:rPr>
          <w:sz w:val="21"/>
        </w:rPr>
        <w:t>明</w:t>
      </w:r>
      <w:r>
        <w:rPr>
          <w:sz w:val="21"/>
        </w:rPr>
        <w:t>，供货时原件备查。</w:t>
      </w:r>
    </w:p>
    <w:p>
      <w:pPr>
        <w:pStyle w:val="null3"/>
        <w:jc w:val="both"/>
      </w:pPr>
      <w:r>
        <w:rPr>
          <w:sz w:val="21"/>
        </w:rPr>
        <w:t>4.如</w:t>
      </w:r>
      <w:r>
        <w:rPr>
          <w:sz w:val="21"/>
        </w:rPr>
        <w:t>中标人</w:t>
      </w:r>
      <w:r>
        <w:rPr>
          <w:sz w:val="21"/>
        </w:rPr>
        <w:t>不能按时、保质、保量供货，</w:t>
      </w:r>
      <w:r>
        <w:rPr>
          <w:sz w:val="21"/>
        </w:rPr>
        <w:t>中标人</w:t>
      </w:r>
      <w:r>
        <w:rPr>
          <w:sz w:val="21"/>
        </w:rPr>
        <w:t>承担采购人另行采购产生的费用和由此造成的经济损失。</w:t>
      </w:r>
    </w:p>
    <w:p>
      <w:pPr>
        <w:pStyle w:val="null3"/>
        <w:jc w:val="both"/>
      </w:pPr>
      <w:r>
        <w:rPr>
          <w:sz w:val="21"/>
        </w:rPr>
        <w:t>5.肉类生产企业的资质证明：《企业法人营业执照》、《动物防疫条件合格证》、</w:t>
      </w:r>
      <w:r>
        <w:rPr>
          <w:sz w:val="21"/>
        </w:rPr>
        <w:t>《食品生产许可证》或</w:t>
      </w:r>
      <w:r>
        <w:rPr>
          <w:sz w:val="21"/>
        </w:rPr>
        <w:t>《食品经营许可证》</w:t>
      </w:r>
      <w:r>
        <w:rPr>
          <w:sz w:val="21"/>
        </w:rPr>
        <w:t>，</w:t>
      </w:r>
      <w:r>
        <w:rPr>
          <w:sz w:val="21"/>
        </w:rPr>
        <w:t>以及根据屠宰企业所在地政策规定应取得的定点屠宰证明</w:t>
      </w:r>
      <w:r>
        <w:rPr>
          <w:sz w:val="21"/>
        </w:rPr>
        <w:t>（</w:t>
      </w:r>
      <w:r>
        <w:rPr>
          <w:sz w:val="21"/>
        </w:rPr>
        <w:t>生猪类提供《生猪定点屠宰证书》；牛、羊、禽类根据所在省份规定提供《畜禽定点屠宰证书》或同等效力的证明文件），首次供应时提供相关资质证明。</w:t>
      </w:r>
    </w:p>
    <w:p>
      <w:pPr>
        <w:pStyle w:val="null3"/>
        <w:jc w:val="both"/>
      </w:pPr>
      <w:r>
        <w:rPr>
          <w:sz w:val="21"/>
        </w:rPr>
        <w:t>6.每次交货时需提供本批次产品的检测报告，如有异议需提供第三方或具备相应资质机构出具的检测报告。</w:t>
      </w:r>
    </w:p>
    <w:p>
      <w:pPr>
        <w:pStyle w:val="null3"/>
        <w:jc w:val="both"/>
      </w:pPr>
      <w:r>
        <w:rPr>
          <w:sz w:val="21"/>
        </w:rPr>
        <w:t>7.在验收小组确定这批食品原料的价格、数量及质量全部符合要求后，验收人员在送货单上签名确认。</w:t>
      </w:r>
      <w:r>
        <w:rPr>
          <w:sz w:val="21"/>
        </w:rPr>
        <w:t>中标人</w:t>
      </w:r>
      <w:r>
        <w:rPr>
          <w:sz w:val="21"/>
        </w:rPr>
        <w:t>将到货送到仓库、厨房或者采购人指定的地点。</w:t>
      </w:r>
    </w:p>
    <w:p>
      <w:pPr>
        <w:pStyle w:val="null3"/>
        <w:jc w:val="both"/>
      </w:pPr>
      <w:r>
        <w:rPr>
          <w:sz w:val="21"/>
        </w:rPr>
        <w:t>8.采购人验货人员可以根据国家质量要求、市场约定俗成的质量验收标准，以及个人感官及经验判断对</w:t>
      </w:r>
      <w:r>
        <w:rPr>
          <w:sz w:val="21"/>
        </w:rPr>
        <w:t>中标人</w:t>
      </w:r>
      <w:r>
        <w:rPr>
          <w:sz w:val="21"/>
        </w:rPr>
        <w:t>所送货物进行质量评定。</w:t>
      </w:r>
      <w:r>
        <w:rPr>
          <w:sz w:val="21"/>
        </w:rPr>
        <w:t>中标人</w:t>
      </w:r>
      <w:r>
        <w:rPr>
          <w:sz w:val="21"/>
        </w:rPr>
        <w:t>所送货物在采购人收货验收小组人员认为质量不符合要求、存在质量问题时，需在</w:t>
      </w:r>
      <w:r>
        <w:rPr>
          <w:sz w:val="21"/>
        </w:rPr>
        <w:t>2小时内更换符合规定的同等数量的货物，对拒不更换的，采购人将不支付该批货物任何货款</w:t>
      </w:r>
      <w:r>
        <w:rPr>
          <w:sz w:val="21"/>
        </w:rPr>
        <w:t>并有权</w:t>
      </w:r>
      <w:r>
        <w:rPr>
          <w:sz w:val="21"/>
        </w:rPr>
        <w:t>直接解除合同。</w:t>
      </w:r>
    </w:p>
    <w:p>
      <w:pPr>
        <w:pStyle w:val="null3"/>
        <w:jc w:val="both"/>
        <w:outlineLvl w:val="0"/>
      </w:pPr>
      <w:r>
        <w:rPr>
          <w:sz w:val="21"/>
          <w:b/>
        </w:rPr>
        <w:t>四、商务要求</w:t>
      </w:r>
    </w:p>
    <w:p>
      <w:pPr>
        <w:pStyle w:val="null3"/>
        <w:jc w:val="both"/>
      </w:pPr>
      <w:r>
        <w:rPr>
          <w:sz w:val="21"/>
        </w:rPr>
        <w:t>★</w:t>
      </w:r>
      <w:r>
        <w:rPr>
          <w:sz w:val="21"/>
        </w:rPr>
        <w:t>（一）</w:t>
      </w:r>
      <w:r>
        <w:rPr>
          <w:sz w:val="21"/>
        </w:rPr>
        <w:t>本项目采用投报</w:t>
      </w:r>
      <w:r>
        <w:rPr>
          <w:sz w:val="21"/>
        </w:rPr>
        <w:t>“结算折扣率”的方式进行投标报价。根据采购人的</w:t>
      </w:r>
      <w:r>
        <w:rPr>
          <w:sz w:val="21"/>
        </w:rPr>
        <w:t>每月</w:t>
      </w:r>
      <w:r>
        <w:rPr>
          <w:sz w:val="21"/>
        </w:rPr>
        <w:t>食材</w:t>
      </w:r>
      <w:r>
        <w:rPr>
          <w:sz w:val="21"/>
        </w:rPr>
        <w:t>采购</w:t>
      </w:r>
      <w:r>
        <w:rPr>
          <w:sz w:val="21"/>
        </w:rPr>
        <w:t>项目清单，每月</w:t>
      </w:r>
      <w:r>
        <w:rPr/>
        <w:t xml:space="preserve"> </w:t>
      </w:r>
      <w:r>
        <w:rPr>
          <w:sz w:val="21"/>
          <w:b/>
        </w:rPr>
        <w:t xml:space="preserve">20 </w:t>
      </w:r>
      <w:r>
        <w:rPr>
          <w:sz w:val="21"/>
        </w:rPr>
        <w:t>日</w:t>
      </w:r>
      <w:r>
        <w:rPr>
          <w:sz w:val="21"/>
        </w:rPr>
        <w:t>中标人</w:t>
      </w:r>
      <w:r>
        <w:rPr>
          <w:sz w:val="21"/>
        </w:rPr>
        <w:t>报</w:t>
      </w:r>
      <w:r>
        <w:rPr>
          <w:sz w:val="21"/>
        </w:rPr>
        <w:t>本月食材供货基准</w:t>
      </w:r>
      <w:r>
        <w:rPr>
          <w:sz w:val="21"/>
        </w:rPr>
        <w:t>价格，以</w:t>
      </w:r>
      <w:r>
        <w:rPr>
          <w:sz w:val="21"/>
        </w:rPr>
        <w:t>当月</w:t>
      </w:r>
      <w:r>
        <w:rPr/>
        <w:t xml:space="preserve"> </w:t>
      </w:r>
      <w:r>
        <w:rPr>
          <w:sz w:val="21"/>
        </w:rPr>
        <w:t>15</w:t>
      </w:r>
      <w:r>
        <w:rPr/>
        <w:t xml:space="preserve"> </w:t>
      </w:r>
      <w:r>
        <w:rPr>
          <w:sz w:val="21"/>
        </w:rPr>
        <w:t>日</w:t>
      </w:r>
      <w:r>
        <w:rPr>
          <w:sz w:val="21"/>
        </w:rPr>
        <w:t>佛山市发展和改革局发布的南海区《农副产品市场零售价格表》</w:t>
      </w:r>
      <w:r>
        <w:rPr>
          <w:sz w:val="21"/>
        </w:rPr>
        <w:t>（查询网址：</w:t>
      </w:r>
      <w:r>
        <w:rPr>
          <w:sz w:val="21"/>
        </w:rPr>
        <w:t>http://fsdr.foshan.gov.cn/fsfgj/fhj/bmcx/jgcx/nfcp/tqjg/）</w:t>
      </w:r>
      <w:r>
        <w:rPr>
          <w:sz w:val="21"/>
        </w:rPr>
        <w:t>公布价格</w:t>
      </w:r>
      <w:r>
        <w:rPr>
          <w:sz w:val="21"/>
        </w:rPr>
        <w:t>（当日无公布的，顺延至有公布日）</w:t>
      </w:r>
      <w:r>
        <w:rPr>
          <w:sz w:val="21"/>
        </w:rPr>
        <w:t>为供货基准价格。没有公布价格的，</w:t>
      </w:r>
      <w:r>
        <w:rPr>
          <w:sz w:val="21"/>
          <w:b/>
        </w:rPr>
        <w:t>以采购人周边主要的农贸市场</w:t>
      </w:r>
      <w:r>
        <w:rPr>
          <w:sz w:val="21"/>
          <w:b/>
        </w:rPr>
        <w:t>等</w:t>
      </w:r>
      <w:r>
        <w:rPr>
          <w:sz w:val="21"/>
          <w:b/>
        </w:rPr>
        <w:t>零售价作为供货基准价。</w:t>
      </w:r>
      <w:r>
        <w:rPr>
          <w:sz w:val="21"/>
          <w:b/>
        </w:rPr>
        <w:t>采购人每月指定不少于</w:t>
      </w:r>
      <w:r>
        <w:rPr>
          <w:sz w:val="21"/>
          <w:b/>
        </w:rPr>
        <w:t>10 种食材（须包含肉类、蔬菜类以及干货调料类中主要采购的食材）的报价进行市场询价审核，</w:t>
      </w:r>
      <w:r>
        <w:rPr>
          <w:sz w:val="21"/>
        </w:rPr>
        <w:t>中标人当期报价不得</w:t>
      </w:r>
      <w:r>
        <w:rPr>
          <w:sz w:val="21"/>
        </w:rPr>
        <w:t>超出</w:t>
      </w:r>
      <w:r>
        <w:rPr>
          <w:sz w:val="21"/>
        </w:rPr>
        <w:t>抽样食材供货基准价格</w:t>
      </w:r>
      <w:r>
        <w:rPr>
          <w:sz w:val="21"/>
        </w:rPr>
        <w:t>10</w:t>
      </w:r>
      <w:r>
        <w:rPr>
          <w:sz w:val="21"/>
        </w:rPr>
        <w:t>5%，否则在投标折扣率的基础上，按溢价食材占抽样食材的比例对相同比例的货款进行扣减，扣减率为抽样食材中的平均溢价率（示例：采购人当月抽取 10 种食材审核，其中 2 种食材报价超出基准价</w:t>
      </w:r>
      <w:r>
        <w:rPr>
          <w:sz w:val="21"/>
        </w:rPr>
        <w:t>10</w:t>
      </w:r>
      <w:r>
        <w:rPr>
          <w:sz w:val="21"/>
        </w:rPr>
        <w:t>5%，该 2 种</w:t>
      </w:r>
      <w:r>
        <w:rPr>
          <w:sz w:val="21"/>
        </w:rPr>
        <w:t>溢价</w:t>
      </w:r>
      <w:r>
        <w:rPr>
          <w:sz w:val="21"/>
        </w:rPr>
        <w:t>食材平均溢价率为</w:t>
      </w:r>
      <w:r>
        <w:rPr>
          <w:sz w:val="21"/>
        </w:rPr>
        <w:t>15%，溢价食材占抽样食材比例为 20%，则</w:t>
      </w:r>
      <w:r>
        <w:rPr>
          <w:sz w:val="21"/>
        </w:rPr>
        <w:t>当月</w:t>
      </w:r>
      <w:r>
        <w:rPr>
          <w:sz w:val="21"/>
        </w:rPr>
        <w:t>货款的</w:t>
      </w:r>
      <w:r>
        <w:rPr>
          <w:sz w:val="21"/>
        </w:rPr>
        <w:t>20% 部分按 15% 予以扣减，剩余 80% 货款按原结算价执行）。</w:t>
      </w:r>
      <w:r>
        <w:rPr>
          <w:sz w:val="21"/>
        </w:rPr>
        <w:t>中标人未有报当月食材供货基准价格之前，以上月报价（合同履行首月参照当前市场价）计算采购人每日采购食材总价，以供采购人参考。</w:t>
      </w:r>
    </w:p>
    <w:p>
      <w:pPr>
        <w:pStyle w:val="null3"/>
        <w:jc w:val="both"/>
      </w:pPr>
      <w:r>
        <w:rPr>
          <w:sz w:val="21"/>
        </w:rPr>
        <w:t>★（二）投标人在填报投标报价时，应根据企业自身的成本核算情况，充分考虑市场价格的波动风险。一经投标，即认为该投标人已充分考虑有关风险，愿意承担因这些风险所造成的一切经济损失，并放弃因此造成的损失求偿权。中标后，中标结算折扣率在服务资格有效期限内不得调整。投标人的结算折扣率报价最多可保留小数点后两位（举例：供货基准价为10元，投标人所报结算折扣率为90%，则实际结算价=10×90%=9元）。</w:t>
      </w:r>
    </w:p>
    <w:p>
      <w:pPr>
        <w:pStyle w:val="null3"/>
        <w:jc w:val="both"/>
      </w:pPr>
      <w:r>
        <w:rPr>
          <w:sz w:val="21"/>
        </w:rPr>
        <w:t>（三）</w:t>
      </w:r>
      <w:r>
        <w:rPr>
          <w:sz w:val="21"/>
        </w:rPr>
        <w:t>实际结算金额</w:t>
      </w:r>
      <w:r>
        <w:rPr>
          <w:sz w:val="21"/>
        </w:rPr>
        <w:t>=</w:t>
      </w:r>
      <w:r>
        <w:rPr>
          <w:sz w:val="21"/>
        </w:rPr>
        <w:t>供货基准价</w:t>
      </w:r>
      <w:r>
        <w:rPr>
          <w:sz w:val="21"/>
        </w:rPr>
        <w:t>×结算折扣率×</w:t>
      </w:r>
      <w:r>
        <w:rPr>
          <w:sz w:val="21"/>
        </w:rPr>
        <w:t>食材</w:t>
      </w:r>
      <w:r>
        <w:rPr>
          <w:sz w:val="21"/>
        </w:rPr>
        <w:t>供货量</w:t>
      </w:r>
      <w:r>
        <w:rPr>
          <w:sz w:val="21"/>
        </w:rPr>
        <w:t>×</w:t>
      </w:r>
      <w:r>
        <w:rPr>
          <w:sz w:val="21"/>
        </w:rPr>
        <w:t>（</w:t>
      </w:r>
      <w:r>
        <w:rPr>
          <w:sz w:val="21"/>
        </w:rPr>
        <w:t>1-溢价食材占抽样食材比例×平均溢价率）</w:t>
      </w:r>
      <w:r>
        <w:rPr>
          <w:sz w:val="21"/>
        </w:rPr>
        <w:t>。</w:t>
      </w:r>
    </w:p>
    <w:p>
      <w:pPr>
        <w:pStyle w:val="null3"/>
        <w:jc w:val="both"/>
      </w:pPr>
      <w:r>
        <w:rPr>
          <w:sz w:val="21"/>
        </w:rPr>
        <w:t>（四）中标人</w:t>
      </w:r>
      <w:r>
        <w:rPr>
          <w:sz w:val="21"/>
        </w:rPr>
        <w:t>须在采购人规定的时间内，按指定格式和要求对食材进行</w:t>
      </w:r>
      <w:r>
        <w:rPr>
          <w:sz w:val="21"/>
        </w:rPr>
        <w:t>供货基准价</w:t>
      </w:r>
      <w:r>
        <w:rPr>
          <w:sz w:val="21"/>
        </w:rPr>
        <w:t>报价，所有经采购人核定确认的交易价格方可作为双方结算依据。</w:t>
      </w:r>
      <w:r>
        <w:rPr>
          <w:sz w:val="21"/>
        </w:rPr>
        <w:t>中标人</w:t>
      </w:r>
      <w:r>
        <w:rPr>
          <w:sz w:val="21"/>
        </w:rPr>
        <w:t>超过时间仍未上报最新报价的，即视为</w:t>
      </w:r>
      <w:r>
        <w:rPr>
          <w:sz w:val="21"/>
        </w:rPr>
        <w:t>当</w:t>
      </w:r>
      <w:r>
        <w:rPr>
          <w:sz w:val="21"/>
        </w:rPr>
        <w:t>月价格仍按照</w:t>
      </w:r>
      <w:r>
        <w:rPr>
          <w:sz w:val="21"/>
        </w:rPr>
        <w:t>上</w:t>
      </w:r>
      <w:r>
        <w:rPr>
          <w:sz w:val="21"/>
        </w:rPr>
        <w:t>月的计算。对未经确认的价格调增，均按原核定价结算。因不可抗力导致所供食材的市场价格上浮超过</w:t>
      </w:r>
      <w:r>
        <w:rPr>
          <w:sz w:val="21"/>
        </w:rPr>
        <w:t>25%时，</w:t>
      </w:r>
      <w:r>
        <w:rPr>
          <w:sz w:val="21"/>
        </w:rPr>
        <w:t>中标人</w:t>
      </w:r>
      <w:r>
        <w:rPr>
          <w:sz w:val="21"/>
        </w:rPr>
        <w:t>可以书面形式向采购人提出调价申请，经采购人进行市场调查核定价后，方可按最新价格进行结算。</w:t>
      </w:r>
    </w:p>
    <w:p>
      <w:pPr>
        <w:pStyle w:val="null3"/>
        <w:jc w:val="both"/>
      </w:pPr>
      <w:r>
        <w:rPr>
          <w:sz w:val="21"/>
        </w:rPr>
        <w:t>（五）</w:t>
      </w:r>
      <w:r>
        <w:rPr>
          <w:sz w:val="21"/>
        </w:rPr>
        <w:t>供货价格必须包含市场调查、货物采购、包装、运输、装卸、搬运、不合格货物的退换、所有工作人员的工勤费用以及合同实施过程中的可预见及不可预见费用。中标人不得以其他形式向采购人索取任何额外费用。</w:t>
      </w:r>
    </w:p>
    <w:p>
      <w:pPr>
        <w:pStyle w:val="null3"/>
        <w:jc w:val="both"/>
      </w:pPr>
      <w:r>
        <w:rPr>
          <w:sz w:val="21"/>
        </w:rPr>
        <w:t>（六）根据广东省财政厅关于落实政府采购脱贫地区农副产品工作的通知的规定，采购人须在</w:t>
      </w:r>
      <w:r>
        <w:rPr>
          <w:sz w:val="21"/>
        </w:rPr>
        <w:t>“832平台”定向采购贫困地区农副产品，具体预留份额按文件要求执行。</w:t>
      </w:r>
    </w:p>
    <w:p>
      <w:pPr>
        <w:pStyle w:val="null3"/>
        <w:jc w:val="both"/>
      </w:pPr>
      <w:r>
        <w:rPr>
          <w:sz w:val="21"/>
        </w:rPr>
        <w:t>★（七）投标人承诺中标后为本项目购买食品安全责任险，保额不低于500万元/年</w:t>
      </w:r>
      <w:r>
        <w:rPr>
          <w:sz w:val="21"/>
          <w:b/>
        </w:rPr>
        <w:t>（提供承诺函）</w:t>
      </w:r>
      <w:r>
        <w:rPr>
          <w:sz w:val="21"/>
        </w:rPr>
        <w:t>。</w:t>
      </w:r>
    </w:p>
    <w:p>
      <w:pPr>
        <w:pStyle w:val="null3"/>
        <w:jc w:val="both"/>
        <w:outlineLvl w:val="0"/>
      </w:pPr>
      <w:r>
        <w:rPr>
          <w:sz w:val="21"/>
          <w:b/>
        </w:rPr>
        <w:t>五、其他要求</w:t>
      </w:r>
    </w:p>
    <w:p>
      <w:pPr>
        <w:pStyle w:val="null3"/>
        <w:jc w:val="both"/>
      </w:pPr>
      <w:r>
        <w:rPr>
          <w:sz w:val="21"/>
        </w:rPr>
        <w:t>合同</w:t>
      </w:r>
      <w:r>
        <w:rPr>
          <w:sz w:val="21"/>
        </w:rPr>
        <w:t>期内，</w:t>
      </w:r>
      <w:r>
        <w:rPr>
          <w:sz w:val="21"/>
        </w:rPr>
        <w:t>中标人应</w:t>
      </w:r>
      <w:r>
        <w:rPr>
          <w:sz w:val="21"/>
        </w:rPr>
        <w:t>为采购人提供以下</w:t>
      </w:r>
      <w:r>
        <w:rPr>
          <w:sz w:val="21"/>
        </w:rPr>
        <w:t>其他</w:t>
      </w:r>
      <w:r>
        <w:rPr>
          <w:sz w:val="21"/>
        </w:rPr>
        <w:t>服务（费用已包含在投标报价中），需提供承诺：</w:t>
      </w:r>
    </w:p>
    <w:p>
      <w:pPr>
        <w:pStyle w:val="null3"/>
        <w:jc w:val="both"/>
      </w:pPr>
      <w:r>
        <w:rPr>
          <w:sz w:val="21"/>
          <w:b/>
        </w:rPr>
        <w:t>▲</w:t>
      </w:r>
      <w:r>
        <w:rPr>
          <w:sz w:val="21"/>
          <w:b/>
        </w:rPr>
        <w:t>（一）采用信息化管理手段，对食材送货、验收流程进行实时监控和记录。具体体现在货物送货中的过程拍照，并保存上传供采购人随时抽查。送货车送货过程</w:t>
      </w:r>
      <w:r>
        <w:rPr>
          <w:sz w:val="21"/>
          <w:b/>
        </w:rPr>
        <w:t>GPS实时定位并保存，可供采购人实时查看和追溯（须提供实景图或系统截图作为佐证材料）。</w:t>
      </w:r>
    </w:p>
    <w:p>
      <w:pPr>
        <w:pStyle w:val="null3"/>
        <w:jc w:val="both"/>
      </w:pPr>
      <w:r>
        <w:rPr>
          <w:sz w:val="21"/>
          <w:b/>
        </w:rPr>
        <w:t>▲</w:t>
      </w:r>
      <w:r>
        <w:rPr>
          <w:sz w:val="21"/>
          <w:b/>
        </w:rPr>
        <w:t>（二）</w:t>
      </w:r>
      <w:r>
        <w:rPr>
          <w:sz w:val="21"/>
          <w:b/>
        </w:rPr>
        <w:t>采购人所采购食材有备注相关合理的前处理要求的，如：活禽（鱼）宰杀</w:t>
      </w:r>
      <w:r>
        <w:rPr>
          <w:sz w:val="21"/>
          <w:b/>
        </w:rPr>
        <w:t>、骨头砍剁等</w:t>
      </w:r>
      <w:r>
        <w:rPr>
          <w:sz w:val="21"/>
          <w:b/>
        </w:rPr>
        <w:t>，</w:t>
      </w:r>
      <w:r>
        <w:rPr>
          <w:sz w:val="21"/>
          <w:b/>
        </w:rPr>
        <w:t>中标人应无条件配合执行。</w:t>
      </w:r>
      <w:r>
        <w:rPr>
          <w:b/>
        </w:rPr>
        <w:t>（投标人需提供承诺函，格式自拟，可参考投标文件格式十一）</w:t>
      </w:r>
      <w:r>
        <w:rPr>
          <w:sz w:val="21"/>
          <w:b/>
        </w:rPr>
        <w:t>。</w:t>
      </w:r>
    </w:p>
    <w:p>
      <w:pPr>
        <w:pStyle w:val="null3"/>
        <w:jc w:val="both"/>
      </w:pPr>
      <w:r>
        <w:rPr>
          <w:sz w:val="21"/>
        </w:rPr>
        <w:t>（三）</w:t>
      </w:r>
      <w:r>
        <w:rPr>
          <w:sz w:val="21"/>
        </w:rPr>
        <w:t>应具备为采购人举行的会议、活动提供配餐或团餐服务的能力。</w:t>
      </w:r>
    </w:p>
    <w:p>
      <w:pPr>
        <w:pStyle w:val="null3"/>
        <w:jc w:val="both"/>
      </w:pPr>
      <w:r>
        <w:rPr>
          <w:sz w:val="21"/>
        </w:rPr>
        <w:t>（四）应急响应处理在半小时内响应，一小时内送达。</w:t>
      </w:r>
    </w:p>
    <w:p>
      <w:pPr>
        <w:pStyle w:val="null3"/>
        <w:jc w:val="both"/>
      </w:pPr>
      <w:r>
        <w:rPr>
          <w:sz w:val="21"/>
        </w:rPr>
        <w:t>（五）</w:t>
      </w:r>
      <w:r>
        <w:rPr>
          <w:sz w:val="21"/>
        </w:rPr>
        <w:t>因中标人原因未按时提供物品或交货的数量、质量等不符合合同约定，使采购人遭受损失或因此扰乱正常管理秩序的，中标人承担相应的违约责任。如采购人仍然需要的，中标人应如数补交，并向采购人偿付逾期货物或少交部分货物总值的</w:t>
      </w:r>
      <w:r>
        <w:rPr>
          <w:sz w:val="21"/>
        </w:rPr>
        <w:t>1</w:t>
      </w:r>
      <w:r>
        <w:rPr>
          <w:sz w:val="21"/>
        </w:rPr>
        <w:t>%</w:t>
      </w:r>
      <w:r>
        <w:rPr>
          <w:sz w:val="21"/>
        </w:rPr>
        <w:t>的违约金；如采购人不需要的，中标人应</w:t>
      </w:r>
      <w:r>
        <w:rPr>
          <w:sz w:val="21"/>
        </w:rPr>
        <w:t>偿付</w:t>
      </w:r>
      <w:r>
        <w:rPr>
          <w:sz w:val="21"/>
        </w:rPr>
        <w:t>逾期或少交部分货款总值的</w:t>
      </w:r>
      <w:r>
        <w:rPr>
          <w:sz w:val="21"/>
        </w:rPr>
        <w:t>5</w:t>
      </w:r>
      <w:r>
        <w:rPr>
          <w:sz w:val="21"/>
        </w:rPr>
        <w:t>%</w:t>
      </w:r>
      <w:r>
        <w:rPr>
          <w:sz w:val="21"/>
        </w:rPr>
        <w:t>的违约金。</w:t>
      </w:r>
    </w:p>
    <w:p>
      <w:pPr>
        <w:pStyle w:val="null3"/>
        <w:jc w:val="both"/>
      </w:pPr>
      <w:r>
        <w:rPr>
          <w:sz w:val="21"/>
        </w:rPr>
        <w:t>（六）</w:t>
      </w:r>
      <w:r>
        <w:rPr>
          <w:sz w:val="21"/>
        </w:rPr>
        <w:t>中标人出现供货能力不足的现象以至采购人有证据证明中标人无继续履约能力，或中标人擅自将与采购人签订的供货项目提供给其他供应商的，采购人有权终止合同。并要求中标人对其违约行为给采购人造成的损失进行赔偿。</w:t>
      </w:r>
    </w:p>
    <w:p>
      <w:pPr>
        <w:pStyle w:val="null3"/>
        <w:jc w:val="both"/>
      </w:pPr>
      <w:r>
        <w:rPr>
          <w:sz w:val="21"/>
        </w:rPr>
        <w:t>（七）</w:t>
      </w:r>
      <w:r>
        <w:rPr>
          <w:sz w:val="21"/>
        </w:rPr>
        <w:t>中标人交付的货品规格、卫生质量标准与合同规定不符时，采购人可以拒收，</w:t>
      </w:r>
      <w:r>
        <w:rPr>
          <w:sz w:val="21"/>
        </w:rPr>
        <w:t>中标人</w:t>
      </w:r>
      <w:r>
        <w:rPr>
          <w:sz w:val="21"/>
        </w:rPr>
        <w:t>向采购人偿付逾期货或少交部分货物总值的</w:t>
      </w:r>
      <w:r>
        <w:rPr>
          <w:sz w:val="21"/>
        </w:rPr>
        <w:t>5％的违约金，若连续出现3次类似情况的，采购人有权终止合同。</w:t>
      </w:r>
    </w:p>
    <w:p>
      <w:pPr>
        <w:pStyle w:val="null3"/>
        <w:jc w:val="both"/>
      </w:pPr>
      <w:r>
        <w:rPr>
          <w:sz w:val="21"/>
        </w:rPr>
        <w:t>（八）</w:t>
      </w:r>
      <w:r>
        <w:rPr>
          <w:sz w:val="21"/>
        </w:rPr>
        <w:t>中标人如经有关部门证明确因不可抗力无法按时交货，采购人仍然需要中标人交货的，中标人可以迟延交货，不按违约处理。</w:t>
      </w:r>
    </w:p>
    <w:p>
      <w:pPr>
        <w:pStyle w:val="null3"/>
        <w:jc w:val="both"/>
      </w:pPr>
      <w:r>
        <w:rPr>
          <w:sz w:val="21"/>
        </w:rPr>
        <w:t>（九）</w:t>
      </w:r>
      <w:r>
        <w:rPr>
          <w:sz w:val="21"/>
        </w:rPr>
        <w:t>因食用中标人交来货品而导致人员食物中毒的，经卫生防疫部门确定为中标人责任的，中标人需承担全部费用及法律责任。</w:t>
      </w:r>
    </w:p>
    <w:p>
      <w:pPr>
        <w:pStyle w:val="null3"/>
        <w:jc w:val="both"/>
      </w:pPr>
      <w:r>
        <w:rPr>
          <w:sz w:val="21"/>
        </w:rPr>
        <w:t>（十）</w:t>
      </w:r>
      <w:r>
        <w:rPr>
          <w:sz w:val="21"/>
        </w:rPr>
        <w:t>中标人供应的货品若为国家公布的伪劣产品，中标人应无条件更换，并承担全部费用及法律责任。</w:t>
      </w:r>
    </w:p>
    <w:p>
      <w:pPr>
        <w:pStyle w:val="null3"/>
        <w:jc w:val="both"/>
      </w:pPr>
      <w:r>
        <w:rPr>
          <w:sz w:val="21"/>
        </w:rPr>
        <w:t>（十一）采购人认为中标人供货质量与合同不符的，双方协商不成时，经鉴定中标人所供货品确为伪劣商品的，采购人有权终止合同，中标人应承担货品的检测费用及违约费。</w:t>
      </w:r>
    </w:p>
    <w:p>
      <w:pPr>
        <w:pStyle w:val="null3"/>
        <w:jc w:val="both"/>
      </w:pPr>
      <w:r>
        <w:rPr>
          <w:sz w:val="21"/>
        </w:rPr>
        <w:t>（十二）为确保本项目开展顺利，供应商应根据本项目特点制定详细的、具有可行性的方案及各项保证措施：</w:t>
      </w:r>
    </w:p>
    <w:p>
      <w:pPr>
        <w:pStyle w:val="null3"/>
        <w:jc w:val="both"/>
      </w:pPr>
      <w:r>
        <w:rPr>
          <w:sz w:val="21"/>
        </w:rPr>
        <w:t>1.制定本项目的实施方案和质量保障方案，方案应科学合理，条理清晰；</w:t>
      </w:r>
    </w:p>
    <w:p>
      <w:pPr>
        <w:pStyle w:val="null3"/>
        <w:jc w:val="both"/>
      </w:pPr>
      <w:r>
        <w:rPr>
          <w:sz w:val="21"/>
        </w:rPr>
        <w:t>2.制定本项目的产品质量问题退换货方案，包括但不限于退换货流程、</w:t>
      </w:r>
      <w:r>
        <w:rPr>
          <w:sz w:val="21"/>
        </w:rPr>
        <w:t>响应</w:t>
      </w:r>
      <w:r>
        <w:rPr>
          <w:sz w:val="21"/>
        </w:rPr>
        <w:t>时间等；</w:t>
      </w:r>
    </w:p>
    <w:p>
      <w:pPr>
        <w:pStyle w:val="null3"/>
        <w:jc w:val="both"/>
      </w:pPr>
      <w:r>
        <w:rPr>
          <w:sz w:val="21"/>
        </w:rPr>
        <w:t>3.制定本项目的</w:t>
      </w:r>
      <w:r>
        <w:rPr>
          <w:sz w:val="21"/>
        </w:rPr>
        <w:t>配送服务方案</w:t>
      </w:r>
      <w:r>
        <w:rPr>
          <w:sz w:val="21"/>
        </w:rPr>
        <w:t>，</w:t>
      </w:r>
      <w:r>
        <w:rPr>
          <w:sz w:val="21"/>
        </w:rPr>
        <w:t>包括但不限于</w:t>
      </w:r>
      <w:r>
        <w:rPr>
          <w:sz w:val="21"/>
        </w:rPr>
        <w:t>设置服务专热线</w:t>
      </w:r>
      <w:r>
        <w:rPr>
          <w:sz w:val="21"/>
        </w:rPr>
        <w:t>、配备服务和跟踪人员、食品卫生安全标准、</w:t>
      </w:r>
      <w:r>
        <w:rPr>
          <w:sz w:val="21"/>
        </w:rPr>
        <w:t>货品多样</w:t>
      </w:r>
      <w:r>
        <w:rPr>
          <w:sz w:val="21"/>
        </w:rPr>
        <w:t>性等；</w:t>
      </w:r>
    </w:p>
    <w:p>
      <w:pPr>
        <w:pStyle w:val="null3"/>
        <w:jc w:val="both"/>
      </w:pPr>
      <w:r>
        <w:rPr>
          <w:sz w:val="21"/>
        </w:rPr>
        <w:t>4.</w:t>
      </w:r>
      <w:r>
        <w:rPr>
          <w:sz w:val="21"/>
        </w:rPr>
        <w:t>制定本项目的特色服务方案，包括但不限于</w:t>
      </w:r>
      <w:r>
        <w:rPr>
          <w:sz w:val="21"/>
        </w:rPr>
        <w:t>:提供营养菜谱和营养宣教服务，提供厨师交换学习、定期培训服务，定期为采购人调整食谱、配餐或团餐服务等。</w:t>
      </w:r>
    </w:p>
    <w:p>
      <w:pPr>
        <w:pStyle w:val="null3"/>
        <w:jc w:val="both"/>
      </w:pPr>
      <w:r>
        <w:rPr>
          <w:sz w:val="21"/>
        </w:rPr>
        <w:t>（十三）投标人应具有完善的内部管理制度，以确保项目稳定开展。</w:t>
      </w:r>
    </w:p>
    <w:p>
      <w:pPr>
        <w:pStyle w:val="null3"/>
        <w:jc w:val="both"/>
      </w:pPr>
      <w:r>
        <w:rPr>
          <w:sz w:val="21"/>
        </w:rPr>
        <w:t>（十四）投标人应</w:t>
      </w:r>
      <w:r>
        <w:rPr>
          <w:sz w:val="21"/>
        </w:rPr>
        <w:t>具备检测设备：肉类水分检测仪、重金属检测仪、食品甲醛检测仪、二氧化硫检测仪、生物毒素检测仪</w:t>
      </w:r>
      <w:r>
        <w:rPr>
          <w:sz w:val="21"/>
        </w:rPr>
        <w:t>。</w:t>
      </w:r>
    </w:p>
    <w:p>
      <w:pPr>
        <w:pStyle w:val="null3"/>
        <w:jc w:val="both"/>
      </w:pPr>
      <w:r>
        <w:rPr>
          <w:sz w:val="21"/>
        </w:rPr>
        <w:t>（十五）投标人应配备专业服务团队，团队中应设置食品安全管理人员。</w:t>
      </w:r>
    </w:p>
    <w:p>
      <w:pPr>
        <w:pStyle w:val="null3"/>
        <w:jc w:val="both"/>
      </w:pPr>
      <w:r>
        <w:rPr>
          <w:sz w:val="21"/>
        </w:rPr>
        <w:t>（十六）投标人应具有有效的食品安全管理体系认证证书、食品可追溯管理体系认证证书。</w:t>
      </w:r>
    </w:p>
    <w:p>
      <w:pPr>
        <w:pStyle w:val="null3"/>
        <w:jc w:val="both"/>
      </w:pPr>
      <w:r>
        <w:rPr>
          <w:sz w:val="21"/>
        </w:rPr>
        <w:t>（十七）投标人需自有或租赁冷库及常温仓库。</w:t>
      </w:r>
    </w:p>
    <w:p>
      <w:pPr>
        <w:pStyle w:val="null3"/>
        <w:jc w:val="both"/>
      </w:pPr>
      <w:r>
        <w:rPr>
          <w:sz w:val="21"/>
        </w:rPr>
        <w:t>（十八）投标人应具有特殊事件的处理方案，至少包括针对台风、暴雨等天气影响，交通事故，安全卫生意外事件，临时紧急用餐，重大节假日或活动等特殊情况制定的处理方案。</w:t>
      </w:r>
    </w:p>
    <w:p>
      <w:pPr>
        <w:pStyle w:val="null3"/>
        <w:jc w:val="both"/>
        <w:outlineLvl w:val="0"/>
      </w:pPr>
      <w:r>
        <w:rPr>
          <w:sz w:val="21"/>
          <w:b/>
        </w:rPr>
        <w:t>六、考核要求</w:t>
      </w:r>
    </w:p>
    <w:p>
      <w:pPr>
        <w:pStyle w:val="null3"/>
        <w:jc w:val="both"/>
      </w:pPr>
      <w:r>
        <w:rPr>
          <w:sz w:val="21"/>
        </w:rPr>
        <w:t>采购人</w:t>
      </w:r>
      <w:r>
        <w:rPr>
          <w:sz w:val="21"/>
        </w:rPr>
        <w:t>每月组织考核验收小组对</w:t>
      </w:r>
      <w:r>
        <w:rPr>
          <w:sz w:val="21"/>
        </w:rPr>
        <w:t>中标人</w:t>
      </w:r>
      <w:r>
        <w:rPr>
          <w:sz w:val="21"/>
        </w:rPr>
        <w:t>食材供应服务进行</w:t>
      </w:r>
      <w:r>
        <w:rPr>
          <w:sz w:val="21"/>
        </w:rPr>
        <w:t>1次履约的考核、评估，评估采取市场调查、货品比较、现场考察服务质量等方式进行，具体内容见《月度食材供应服务考核评分表》。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841"/>
        <w:gridCol w:w="787"/>
        <w:gridCol w:w="637"/>
        <w:gridCol w:w="3976"/>
        <w:gridCol w:w="1004"/>
        <w:gridCol w:w="1031"/>
      </w:tblGrid>
      <w:tr>
        <w:tc>
          <w:tcPr>
            <w:tcW w:type="dxa" w:w="841"/>
            <w:tcBorders>
              <w:top w:val="single" w:color="000000" w:sz="4"/>
              <w:left w:val="single" w:color="000000" w:sz="4"/>
              <w:bottom w:val="single" w:color="000000" w:sz="4"/>
              <w:right w:val="single" w:color="000000" w:sz="4"/>
            </w:tcBorders>
            <w:shd w:fill="EDEDED"/>
            <w:tcMar>
              <w:top w:type="dxa" w:w="0"/>
              <w:left w:type="dxa" w:w="0"/>
              <w:bottom w:type="dxa" w:w="0"/>
              <w:right w:type="dxa" w:w="0"/>
            </w:tcMar>
            <w:vAlign w:val="top"/>
          </w:tcPr>
          <w:p>
            <w:pPr>
              <w:pStyle w:val="null3"/>
              <w:spacing w:before="195"/>
              <w:jc w:val="center"/>
            </w:pPr>
            <w:r>
              <w:rPr>
                <w:sz w:val="21"/>
                <w:b/>
              </w:rPr>
              <w:t>项目</w:t>
            </w:r>
          </w:p>
        </w:tc>
        <w:tc>
          <w:tcPr>
            <w:tcW w:type="dxa" w:w="787"/>
            <w:tcBorders>
              <w:top w:val="single" w:color="000000" w:sz="4"/>
              <w:left w:val="single" w:color="000000" w:sz="4"/>
              <w:bottom w:val="single" w:color="000000" w:sz="4"/>
              <w:right w:val="single" w:color="000000" w:sz="4"/>
            </w:tcBorders>
            <w:shd w:fill="EDEDED"/>
            <w:tcMar>
              <w:top w:type="dxa" w:w="0"/>
              <w:left w:type="dxa" w:w="0"/>
              <w:bottom w:type="dxa" w:w="0"/>
              <w:right w:type="dxa" w:w="0"/>
            </w:tcMar>
            <w:vAlign w:val="top"/>
          </w:tcPr>
          <w:p>
            <w:pPr>
              <w:pStyle w:val="null3"/>
              <w:spacing w:before="195"/>
              <w:jc w:val="center"/>
            </w:pPr>
            <w:r>
              <w:rPr>
                <w:sz w:val="21"/>
                <w:b/>
              </w:rPr>
              <w:t>序号</w:t>
            </w:r>
          </w:p>
        </w:tc>
        <w:tc>
          <w:tcPr>
            <w:tcW w:type="dxa" w:w="637"/>
            <w:tcBorders>
              <w:top w:val="single" w:color="000000" w:sz="4"/>
              <w:left w:val="single" w:color="000000" w:sz="4"/>
              <w:bottom w:val="single" w:color="000000" w:sz="4"/>
              <w:right w:val="single" w:color="000000" w:sz="4"/>
            </w:tcBorders>
            <w:shd w:fill="EDEDED"/>
            <w:tcMar>
              <w:top w:type="dxa" w:w="0"/>
              <w:left w:type="dxa" w:w="0"/>
              <w:bottom w:type="dxa" w:w="0"/>
              <w:right w:type="dxa" w:w="0"/>
            </w:tcMar>
            <w:vAlign w:val="top"/>
          </w:tcPr>
          <w:p>
            <w:pPr>
              <w:pStyle w:val="null3"/>
              <w:spacing w:before="195"/>
              <w:jc w:val="center"/>
            </w:pPr>
            <w:r>
              <w:rPr>
                <w:sz w:val="21"/>
                <w:b/>
              </w:rPr>
              <w:t>分值</w:t>
            </w:r>
          </w:p>
        </w:tc>
        <w:tc>
          <w:tcPr>
            <w:tcW w:type="dxa" w:w="3976"/>
            <w:tcBorders>
              <w:top w:val="single" w:color="000000" w:sz="4"/>
              <w:left w:val="single" w:color="000000" w:sz="4"/>
              <w:bottom w:val="single" w:color="000000" w:sz="4"/>
              <w:right w:val="single" w:color="000000" w:sz="4"/>
            </w:tcBorders>
            <w:shd w:fill="EDEDED"/>
            <w:tcMar>
              <w:top w:type="dxa" w:w="0"/>
              <w:left w:type="dxa" w:w="0"/>
              <w:bottom w:type="dxa" w:w="0"/>
              <w:right w:type="dxa" w:w="0"/>
            </w:tcMar>
            <w:vAlign w:val="top"/>
          </w:tcPr>
          <w:p>
            <w:pPr>
              <w:pStyle w:val="null3"/>
              <w:spacing w:before="195"/>
              <w:jc w:val="center"/>
            </w:pPr>
            <w:r>
              <w:rPr>
                <w:sz w:val="21"/>
                <w:b/>
              </w:rPr>
              <w:t>考核细则</w:t>
            </w:r>
          </w:p>
        </w:tc>
        <w:tc>
          <w:tcPr>
            <w:tcW w:type="dxa" w:w="1004"/>
            <w:tcBorders>
              <w:top w:val="single" w:color="000000" w:sz="4"/>
              <w:left w:val="single" w:color="000000" w:sz="4"/>
              <w:bottom w:val="single" w:color="000000" w:sz="4"/>
              <w:right w:val="single" w:color="000000" w:sz="4"/>
            </w:tcBorders>
            <w:shd w:fill="EDEDED"/>
            <w:tcMar>
              <w:top w:type="dxa" w:w="0"/>
              <w:left w:type="dxa" w:w="0"/>
              <w:bottom w:type="dxa" w:w="0"/>
              <w:right w:type="dxa" w:w="0"/>
            </w:tcMar>
            <w:vAlign w:val="top"/>
          </w:tcPr>
          <w:p>
            <w:pPr>
              <w:pStyle w:val="null3"/>
              <w:spacing w:before="195"/>
              <w:jc w:val="center"/>
            </w:pPr>
            <w:r>
              <w:rPr>
                <w:sz w:val="21"/>
                <w:b/>
              </w:rPr>
              <w:t>扣分值</w:t>
            </w:r>
          </w:p>
        </w:tc>
        <w:tc>
          <w:tcPr>
            <w:tcW w:type="dxa" w:w="1031"/>
            <w:tcBorders>
              <w:top w:val="single" w:color="000000" w:sz="4"/>
              <w:left w:val="single" w:color="000000" w:sz="4"/>
              <w:bottom w:val="single" w:color="000000" w:sz="4"/>
              <w:right w:val="single" w:color="000000" w:sz="4"/>
            </w:tcBorders>
            <w:shd w:fill="EDEDED"/>
            <w:tcMar>
              <w:top w:type="dxa" w:w="0"/>
              <w:left w:type="dxa" w:w="0"/>
              <w:bottom w:type="dxa" w:w="0"/>
              <w:right w:type="dxa" w:w="0"/>
            </w:tcMar>
            <w:vAlign w:val="top"/>
          </w:tcPr>
          <w:p>
            <w:pPr>
              <w:pStyle w:val="null3"/>
              <w:spacing w:before="195"/>
              <w:jc w:val="center"/>
            </w:pPr>
            <w:r>
              <w:rPr>
                <w:sz w:val="21"/>
                <w:b/>
              </w:rPr>
              <w:t>备</w:t>
            </w:r>
            <w:r>
              <w:rPr/>
              <w:t xml:space="preserve">  </w:t>
            </w:r>
            <w:r>
              <w:rPr>
                <w:sz w:val="21"/>
                <w:b/>
              </w:rPr>
              <w:t>注</w:t>
            </w:r>
          </w:p>
        </w:tc>
      </w:tr>
      <w:tr>
        <w:tc>
          <w:tcPr>
            <w:tcW w:type="dxa" w:w="8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价格</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1"/>
              </w:rPr>
              <w:t>1</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80"/>
              <w:jc w:val="left"/>
            </w:pPr>
            <w:r>
              <w:rPr>
                <w:sz w:val="21"/>
              </w:rPr>
              <w:t>未按定价方式及核扣货款相关规定结算，每发现一项次扣</w:t>
            </w:r>
            <w:r>
              <w:rPr>
                <w:sz w:val="21"/>
              </w:rPr>
              <w:t>5</w:t>
            </w:r>
            <w:r>
              <w:rPr>
                <w:sz w:val="21"/>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left"/>
            </w:pPr>
            <w:r>
              <w:rPr>
                <w:sz w:val="21"/>
              </w:rPr>
              <w:t>未按合同约定时限或要求提交食材报价的，扣</w:t>
            </w:r>
            <w:r>
              <w:rPr/>
              <w:t xml:space="preserve"> </w:t>
            </w:r>
            <w:r>
              <w:rPr>
                <w:sz w:val="21"/>
              </w:rPr>
              <w:t>5</w:t>
            </w:r>
            <w:r>
              <w:rPr/>
              <w:t xml:space="preserve"> </w:t>
            </w:r>
            <w:r>
              <w:rPr>
                <w:sz w:val="21"/>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交货</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1"/>
              </w:rPr>
              <w:t>3</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105"/>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105"/>
              <w:jc w:val="left"/>
            </w:pPr>
            <w:r>
              <w:rPr>
                <w:sz w:val="21"/>
              </w:rPr>
              <w:t>违反响应文件和合同的规定，擅自更改供应货物品牌</w:t>
            </w:r>
            <w:r>
              <w:rPr>
                <w:sz w:val="21"/>
              </w:rPr>
              <w:t>、规格和</w:t>
            </w:r>
            <w:r>
              <w:rPr>
                <w:sz w:val="21"/>
              </w:rPr>
              <w:t>质量的，每项次扣</w:t>
            </w:r>
            <w:r>
              <w:rPr>
                <w:sz w:val="21"/>
              </w:rPr>
              <w:t>5</w:t>
            </w:r>
            <w:r>
              <w:rPr>
                <w:sz w:val="21"/>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left"/>
            </w:pPr>
            <w:r>
              <w:rPr>
                <w:sz w:val="21"/>
              </w:rPr>
              <w:t>未按用户方采购计划的品种、数量、时间供货</w:t>
            </w:r>
            <w:r>
              <w:rPr>
                <w:sz w:val="21"/>
              </w:rPr>
              <w:t>的，每发生一次</w:t>
            </w:r>
            <w:r>
              <w:rPr/>
              <w:t xml:space="preserve"> </w:t>
            </w:r>
            <w:r>
              <w:rPr>
                <w:sz w:val="21"/>
              </w:rPr>
              <w:t>扣</w:t>
            </w:r>
            <w:r>
              <w:rPr/>
              <w:t xml:space="preserve"> </w:t>
            </w:r>
            <w:r>
              <w:rPr>
                <w:sz w:val="21"/>
              </w:rPr>
              <w:t>5</w:t>
            </w:r>
            <w:r>
              <w:rPr/>
              <w:t xml:space="preserve"> </w:t>
            </w:r>
            <w:r>
              <w:rPr>
                <w:sz w:val="21"/>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left"/>
            </w:pPr>
            <w:r>
              <w:rPr>
                <w:sz w:val="21"/>
              </w:rPr>
              <w:t>违反招响应文件和合同的规定，擅自更改运送人员的</w:t>
            </w:r>
            <w:r>
              <w:rPr>
                <w:sz w:val="21"/>
              </w:rPr>
              <w:t>，每次扣</w:t>
            </w:r>
          </w:p>
          <w:p>
            <w:pPr>
              <w:pStyle w:val="null3"/>
              <w:spacing w:before="105"/>
              <w:ind w:left="120"/>
              <w:jc w:val="left"/>
            </w:pPr>
            <w:r>
              <w:rPr>
                <w:sz w:val="21"/>
              </w:rPr>
              <w:t>5</w:t>
            </w:r>
            <w:r>
              <w:rPr/>
              <w:t xml:space="preserve"> </w:t>
            </w:r>
            <w:r>
              <w:rPr>
                <w:sz w:val="21"/>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21"/>
              </w:rPr>
              <w:t>10</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jc w:val="left"/>
            </w:pPr>
            <w:r>
              <w:rPr>
                <w:sz w:val="21"/>
              </w:rPr>
              <w:t>提供虚假检验报告等相关票证的，每发现一项次</w:t>
            </w:r>
            <w:r>
              <w:rPr>
                <w:sz w:val="21"/>
              </w:rPr>
              <w:t>扣</w:t>
            </w:r>
            <w:r>
              <w:rPr>
                <w:sz w:val="21"/>
              </w:rPr>
              <w:t>10</w:t>
            </w:r>
            <w:r>
              <w:rPr>
                <w:sz w:val="21"/>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jc w:val="left"/>
            </w:pPr>
            <w:r>
              <w:rPr>
                <w:sz w:val="21"/>
              </w:rPr>
              <w:t>未及时按要求随货提供相关票证的，每项次扣</w:t>
            </w:r>
            <w:r>
              <w:rPr>
                <w:sz w:val="21"/>
              </w:rPr>
              <w:t>5</w:t>
            </w:r>
            <w:r>
              <w:rPr/>
              <w:t xml:space="preserve"> </w:t>
            </w:r>
            <w:r>
              <w:rPr>
                <w:sz w:val="21"/>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left"/>
            </w:pPr>
            <w:r>
              <w:rPr>
                <w:sz w:val="21"/>
              </w:rPr>
              <w:t>未按用户方指定秩序卸货的，每次扣</w:t>
            </w:r>
            <w:r>
              <w:rPr/>
              <w:t xml:space="preserve"> </w:t>
            </w:r>
            <w:r>
              <w:rPr>
                <w:sz w:val="21"/>
              </w:rPr>
              <w:t>5</w:t>
            </w:r>
            <w:r>
              <w:rPr/>
              <w:t xml:space="preserve"> </w:t>
            </w:r>
            <w:r>
              <w:rPr>
                <w:sz w:val="21"/>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left"/>
            </w:pPr>
            <w:r>
              <w:rPr>
                <w:sz w:val="21"/>
              </w:rPr>
              <w:t>发生退货情况，造成用户方伙食无法按时供应</w:t>
            </w:r>
            <w:r>
              <w:rPr>
                <w:sz w:val="21"/>
              </w:rPr>
              <w:t>的，每发生一次</w:t>
            </w:r>
            <w:r>
              <w:rPr/>
              <w:t xml:space="preserve"> </w:t>
            </w:r>
            <w:r>
              <w:rPr>
                <w:sz w:val="21"/>
              </w:rPr>
              <w:t>扣</w:t>
            </w:r>
            <w:r>
              <w:rPr/>
              <w:t xml:space="preserve"> </w:t>
            </w:r>
            <w:r>
              <w:rPr>
                <w:sz w:val="21"/>
              </w:rPr>
              <w:t>5分；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质量</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1"/>
              </w:rPr>
              <w:t>10</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left"/>
            </w:pPr>
            <w:r>
              <w:rPr>
                <w:sz w:val="21"/>
              </w:rPr>
              <w:t>同一品种货物一次（含本数）以上发现质量不合格（或产品使</w:t>
            </w:r>
            <w:r>
              <w:rPr>
                <w:sz w:val="21"/>
              </w:rPr>
              <w:t>用率不符合响应文件和合同的规定）产品的，每拒收一次扣</w:t>
            </w:r>
            <w:r>
              <w:rPr/>
              <w:t xml:space="preserve"> </w:t>
            </w:r>
            <w:r>
              <w:rPr>
                <w:sz w:val="21"/>
              </w:rPr>
              <w:t>5</w:t>
            </w:r>
            <w:r>
              <w:rPr/>
              <w:t xml:space="preserve"> </w:t>
            </w:r>
            <w:r>
              <w:rPr>
                <w:sz w:val="21"/>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left"/>
            </w:pPr>
            <w:r>
              <w:rPr>
                <w:sz w:val="21"/>
              </w:rPr>
              <w:t>把用户方验收不合格退货的货物重新配送给用户方的</w:t>
            </w:r>
            <w:r>
              <w:rPr>
                <w:sz w:val="21"/>
              </w:rPr>
              <w:t>，每发现</w:t>
            </w:r>
            <w:r>
              <w:rPr>
                <w:sz w:val="21"/>
              </w:rPr>
              <w:t xml:space="preserve"> </w:t>
            </w:r>
            <w:r>
              <w:rPr>
                <w:sz w:val="21"/>
              </w:rPr>
              <w:t>一次扣</w:t>
            </w:r>
            <w:r>
              <w:rPr/>
              <w:t xml:space="preserve"> </w:t>
            </w:r>
            <w:r>
              <w:rPr>
                <w:sz w:val="21"/>
              </w:rPr>
              <w:t>5分；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left"/>
            </w:pPr>
            <w:r>
              <w:rPr>
                <w:sz w:val="21"/>
              </w:rPr>
              <w:t>乙方在包装、运输、装卸等环节不符合食品卫生要求或不符合响应文件和合同的规定的，每发现一次扣</w:t>
            </w:r>
            <w:r>
              <w:rPr>
                <w:sz w:val="21"/>
              </w:rPr>
              <w:t>5</w:t>
            </w:r>
            <w:r>
              <w:rPr/>
              <w:t xml:space="preserve"> </w:t>
            </w:r>
            <w:r>
              <w:rPr>
                <w:sz w:val="21"/>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left"/>
            </w:pPr>
            <w:r>
              <w:rPr>
                <w:sz w:val="21"/>
              </w:rPr>
              <w:t>货物出现质量问题，乙方不积极配合查找原因，不及时反馈处</w:t>
            </w:r>
            <w:r>
              <w:rPr>
                <w:sz w:val="21"/>
              </w:rPr>
              <w:t>理结果的，每次扣</w:t>
            </w:r>
            <w:r>
              <w:rPr/>
              <w:t xml:space="preserve"> </w:t>
            </w:r>
            <w:r>
              <w:rPr>
                <w:sz w:val="21"/>
              </w:rPr>
              <w:t>5分；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14</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left"/>
            </w:pPr>
            <w:r>
              <w:rPr>
                <w:sz w:val="21"/>
              </w:rPr>
              <w:t>对用户方提出的合理建议未能在约定期限内回复的，每次扣</w:t>
            </w:r>
            <w:r>
              <w:rPr>
                <w:sz w:val="21"/>
              </w:rPr>
              <w:t>5分；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45"/>
              <w:jc w:val="left"/>
            </w:pPr>
            <w:r>
              <w:rPr>
                <w:sz w:val="21"/>
              </w:rPr>
              <w:t>乙方组织机构发生调整，或经营场所、联系</w:t>
            </w:r>
            <w:r>
              <w:rPr>
                <w:sz w:val="21"/>
              </w:rPr>
              <w:t>人、联系方式变更，</w:t>
            </w:r>
            <w:r>
              <w:rPr>
                <w:sz w:val="21"/>
              </w:rPr>
              <w:t>未及时通知用户方，造成无法及时联系的，每</w:t>
            </w:r>
            <w:r>
              <w:rPr>
                <w:sz w:val="21"/>
              </w:rPr>
              <w:t>次扣</w:t>
            </w:r>
            <w:r>
              <w:rPr/>
              <w:t xml:space="preserve"> </w:t>
            </w:r>
            <w:r>
              <w:rPr>
                <w:sz w:val="21"/>
              </w:rPr>
              <w:t>5</w:t>
            </w:r>
            <w:r>
              <w:rPr/>
              <w:t xml:space="preserve"> </w:t>
            </w:r>
            <w:r>
              <w:rPr>
                <w:sz w:val="21"/>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35"/>
              <w:jc w:val="left"/>
            </w:pPr>
            <w:r>
              <w:rPr>
                <w:sz w:val="21"/>
              </w:rPr>
              <w:t>乙方工作人员不遵守用户方各项管理规定每次扣</w:t>
            </w:r>
            <w:r>
              <w:rPr/>
              <w:t xml:space="preserve"> </w:t>
            </w:r>
            <w:r>
              <w:rPr>
                <w:sz w:val="21"/>
              </w:rPr>
              <w:t>5</w:t>
            </w:r>
            <w:r>
              <w:rPr/>
              <w:t xml:space="preserve"> </w:t>
            </w:r>
            <w:r>
              <w:rPr>
                <w:sz w:val="21"/>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其它</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17</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left"/>
            </w:pPr>
            <w:r>
              <w:rPr>
                <w:sz w:val="21"/>
              </w:rPr>
              <w:t>随机抽查时无配送货验收监控记录扣</w:t>
            </w:r>
            <w:r>
              <w:rPr/>
              <w:t xml:space="preserve"> </w:t>
            </w:r>
            <w:r>
              <w:rPr>
                <w:sz w:val="21"/>
              </w:rPr>
              <w:t>5</w:t>
            </w:r>
            <w:r>
              <w:rPr/>
              <w:t xml:space="preserve"> </w:t>
            </w:r>
            <w:r>
              <w:rPr>
                <w:sz w:val="21"/>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18</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left"/>
            </w:pPr>
            <w:r>
              <w:rPr>
                <w:sz w:val="21"/>
              </w:rPr>
              <w:t>无正当理由，</w:t>
            </w:r>
            <w:r>
              <w:rPr>
                <w:sz w:val="21"/>
                <w:b/>
              </w:rPr>
              <w:t>合理的食材前处理要求无法满足</w:t>
            </w:r>
            <w:r>
              <w:rPr>
                <w:sz w:val="21"/>
              </w:rPr>
              <w:t>，扣</w:t>
            </w:r>
            <w:r>
              <w:rPr/>
              <w:t xml:space="preserve"> </w:t>
            </w:r>
            <w:r>
              <w:rPr>
                <w:sz w:val="21"/>
              </w:rPr>
              <w:t>5</w:t>
            </w:r>
            <w:r>
              <w:rPr/>
              <w:t xml:space="preserve"> </w:t>
            </w:r>
            <w:r>
              <w:rPr>
                <w:sz w:val="21"/>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19</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300"/>
              <w:jc w:val="left"/>
            </w:pPr>
            <w:r>
              <w:rPr>
                <w:sz w:val="21"/>
              </w:rPr>
              <w:t>应急响应处理无法在半小时内响应，一小时内送达每</w:t>
            </w:r>
            <w:r>
              <w:rPr>
                <w:sz w:val="21"/>
              </w:rPr>
              <w:t>次扣</w:t>
            </w:r>
            <w:r>
              <w:rPr/>
              <w:t xml:space="preserve"> </w:t>
            </w:r>
            <w:r>
              <w:rPr>
                <w:sz w:val="21"/>
              </w:rPr>
              <w:t>5</w:t>
            </w:r>
            <w:r>
              <w:rPr/>
              <w:t xml:space="preserve"> </w:t>
            </w:r>
            <w:r>
              <w:rPr>
                <w:sz w:val="21"/>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24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考核得分</w:t>
            </w:r>
          </w:p>
        </w:tc>
        <w:tc>
          <w:tcPr>
            <w:tcW w:type="dxa" w:w="203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2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考核人</w:t>
            </w:r>
          </w:p>
          <w:p>
            <w:pPr>
              <w:pStyle w:val="null3"/>
              <w:jc w:val="center"/>
            </w:pPr>
          </w:p>
        </w:tc>
        <w:tc>
          <w:tcPr>
            <w:tcW w:type="dxa" w:w="6648"/>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pPr>
      <w:r>
        <w:rPr>
          <w:sz w:val="21"/>
        </w:rPr>
        <w:t>注：</w:t>
      </w:r>
    </w:p>
    <w:p>
      <w:pPr>
        <w:pStyle w:val="null3"/>
      </w:pPr>
      <w:r>
        <w:rPr>
          <w:sz w:val="21"/>
        </w:rPr>
        <w:t>1.考核评分采用百分制，扣</w:t>
      </w:r>
      <w:r>
        <w:rPr>
          <w:sz w:val="21"/>
        </w:rPr>
        <w:t>减</w:t>
      </w:r>
      <w:r>
        <w:rPr>
          <w:sz w:val="21"/>
        </w:rPr>
        <w:t>标准如下：</w:t>
      </w:r>
    </w:p>
    <w:p>
      <w:pPr>
        <w:pStyle w:val="null3"/>
      </w:pPr>
      <w:r>
        <w:rPr>
          <w:sz w:val="21"/>
        </w:rPr>
        <w:t>（</w:t>
      </w:r>
      <w:r>
        <w:rPr>
          <w:sz w:val="21"/>
        </w:rPr>
        <w:t>1）考核得分在90分(含)以上时，不扣减费用；</w:t>
      </w:r>
    </w:p>
    <w:p>
      <w:pPr>
        <w:pStyle w:val="null3"/>
      </w:pPr>
      <w:r>
        <w:rPr>
          <w:sz w:val="21"/>
        </w:rPr>
        <w:t>（</w:t>
      </w:r>
      <w:r>
        <w:rPr>
          <w:sz w:val="21"/>
        </w:rPr>
        <w:t>2）80分≤考核得分≤89分，扣减【(100-考核得分)×</w:t>
      </w:r>
      <w:r>
        <w:rPr>
          <w:sz w:val="21"/>
        </w:rPr>
        <w:t>1</w:t>
      </w:r>
      <w:r>
        <w:rPr>
          <w:sz w:val="21"/>
        </w:rPr>
        <w:t>000】元；</w:t>
      </w:r>
    </w:p>
    <w:p>
      <w:pPr>
        <w:pStyle w:val="null3"/>
      </w:pPr>
      <w:r>
        <w:rPr>
          <w:sz w:val="21"/>
        </w:rPr>
        <w:t>（</w:t>
      </w:r>
      <w:r>
        <w:rPr>
          <w:sz w:val="21"/>
        </w:rPr>
        <w:t>3）70分≤考核得分≤79分，扣减【(100-考核得分)×</w:t>
      </w:r>
      <w:r>
        <w:rPr>
          <w:sz w:val="21"/>
        </w:rPr>
        <w:t>1500</w:t>
      </w:r>
      <w:r>
        <w:rPr>
          <w:sz w:val="21"/>
        </w:rPr>
        <w:t>】元；</w:t>
      </w:r>
    </w:p>
    <w:p>
      <w:pPr>
        <w:pStyle w:val="null3"/>
      </w:pPr>
      <w:r>
        <w:rPr>
          <w:sz w:val="21"/>
        </w:rPr>
        <w:t>（</w:t>
      </w:r>
      <w:r>
        <w:rPr>
          <w:sz w:val="21"/>
        </w:rPr>
        <w:t>4）60分≤考核得分≤69分，扣减【(100-考核得分)×</w:t>
      </w:r>
      <w:r>
        <w:rPr>
          <w:sz w:val="21"/>
        </w:rPr>
        <w:t>20</w:t>
      </w:r>
      <w:r>
        <w:rPr>
          <w:sz w:val="21"/>
        </w:rPr>
        <w:t>00】元；</w:t>
      </w:r>
    </w:p>
    <w:p>
      <w:pPr>
        <w:pStyle w:val="null3"/>
      </w:pPr>
      <w:r>
        <w:rPr>
          <w:sz w:val="21"/>
        </w:rPr>
        <w:t>（</w:t>
      </w:r>
      <w:r>
        <w:rPr>
          <w:sz w:val="21"/>
        </w:rPr>
        <w:t>5）低于60分（不含）扣减当月货款的</w:t>
      </w:r>
      <w:r>
        <w:rPr>
          <w:sz w:val="21"/>
        </w:rPr>
        <w:t>3</w:t>
      </w:r>
      <w:r>
        <w:rPr>
          <w:sz w:val="21"/>
        </w:rPr>
        <w:t>0%；</w:t>
      </w:r>
    </w:p>
    <w:p>
      <w:pPr>
        <w:pStyle w:val="null3"/>
      </w:pPr>
      <w:r>
        <w:rPr>
          <w:sz w:val="21"/>
        </w:rPr>
        <w:t>（</w:t>
      </w:r>
      <w:r>
        <w:rPr>
          <w:sz w:val="21"/>
        </w:rPr>
        <w:t>6）合同期内累计三个月低于60分（不含），</w:t>
      </w:r>
      <w:r>
        <w:rPr>
          <w:sz w:val="21"/>
        </w:rPr>
        <w:t>采购人</w:t>
      </w:r>
      <w:r>
        <w:rPr>
          <w:sz w:val="21"/>
        </w:rPr>
        <w:t>有权终止合同。所发生的一切损失由</w:t>
      </w:r>
      <w:r>
        <w:rPr>
          <w:sz w:val="21"/>
        </w:rPr>
        <w:t>中标人</w:t>
      </w:r>
      <w:r>
        <w:rPr>
          <w:sz w:val="21"/>
        </w:rPr>
        <w:t>负责。</w:t>
      </w:r>
    </w:p>
    <w:p>
      <w:pPr>
        <w:pStyle w:val="null3"/>
      </w:pPr>
      <w:r>
        <w:rPr>
          <w:sz w:val="21"/>
        </w:rPr>
        <w:t>2.扣减费用从履约保证金中扣除。</w:t>
      </w:r>
    </w:p>
    <w:p>
      <w:pPr>
        <w:pStyle w:val="null3"/>
        <w:jc w:val="both"/>
      </w:pPr>
      <w:r>
        <w:rPr>
          <w:sz w:val="21"/>
        </w:rPr>
        <w:t>3</w:t>
      </w:r>
      <w:r>
        <w:rPr>
          <w:sz w:val="21"/>
        </w:rPr>
        <w:t>.各项指标分值说明见《月度食材供应服务考核评分表》考核细则。</w:t>
      </w:r>
    </w:p>
    <w:p>
      <w:pPr>
        <w:pStyle w:val="null3"/>
        <w:jc w:val="both"/>
      </w:pPr>
      <w:r>
        <w:rPr>
          <w:sz w:val="21"/>
        </w:rPr>
        <w:t>4.月度食材供应服务考核评分表的解释权归采购人，采购人可根据实际情况对月度食材供应服务考核评分表的内容进行调整，但要与中标人进行协商。</w:t>
      </w:r>
    </w:p>
    <w:p>
      <w:pPr>
        <w:pStyle w:val="null3"/>
      </w:pPr>
      <w:r>
        <w:rPr/>
        <w:t>采购包1（2026-2028年食堂食材配送服务）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自采购合同生效之日起2年或预算金额用完为止。</w:t>
            </w:r>
          </w:p>
        </w:tc>
      </w:tr>
      <w:tr>
        <w:tc>
          <w:tcPr>
            <w:tcW w:type="dxa" w:w="4153"/>
          </w:tcPr>
          <w:p>
            <w:pPr>
              <w:pStyle w:val="null3"/>
            </w:pPr>
            <w:r>
              <w:rPr/>
              <w:t>标的提供的地点</w:t>
            </w:r>
          </w:p>
        </w:tc>
        <w:tc>
          <w:tcPr>
            <w:tcW w:type="dxa" w:w="4153"/>
          </w:tcPr>
          <w:p>
            <w:pPr>
              <w:pStyle w:val="null3"/>
            </w:pPr>
            <w:r>
              <w:rPr/>
              <w:t>按采购人指定的地点。</w:t>
            </w:r>
          </w:p>
        </w:tc>
      </w:tr>
      <w:tr>
        <w:tc>
          <w:tcPr>
            <w:tcW w:type="dxa" w:w="4153"/>
          </w:tcPr>
          <w:p>
            <w:pPr>
              <w:pStyle w:val="null3"/>
            </w:pPr>
            <w:r>
              <w:rPr/>
              <w:t>付款方式</w:t>
            </w:r>
          </w:p>
        </w:tc>
        <w:tc>
          <w:tcPr>
            <w:tcW w:type="dxa" w:w="4153"/>
          </w:tcPr>
          <w:p>
            <w:pPr>
              <w:pStyle w:val="null3"/>
            </w:pPr>
            <w:r>
              <w:rPr/>
              <w:t>1期：支付比例100%,1、货款按月度进行结算，实际结算金额=供货基准价×结算折扣率×食材供货量×（1-溢价食材占抽样食材比例×平均溢价率）。采购人收到中标人收货凭证扫描件和有效等额发票后，15个工作日内以支票或转帐付款方式结算。 2、收款方、出具发票方、合同乙方均必须与中标人名称一致。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、其他</w:t>
            </w:r>
          </w:p>
          <w:p>
            <w:pPr>
              <w:pStyle w:val="null3"/>
            </w:pPr>
            <w:r>
              <w:rPr/>
              <w:t>账号：44001667238050708695</w:t>
            </w:r>
          </w:p>
          <w:p>
            <w:pPr>
              <w:pStyle w:val="null3"/>
            </w:pPr>
            <w:r>
              <w:rPr/>
              <w:t>户名：广东省第二荣军优抚医院</w:t>
            </w:r>
          </w:p>
          <w:p>
            <w:pPr>
              <w:pStyle w:val="null3"/>
            </w:pPr>
            <w:r>
              <w:rPr/>
              <w:t>开户行：中国建设银行佛山市西樵支行</w:t>
            </w:r>
          </w:p>
          <w:p>
            <w:pPr>
              <w:pStyle w:val="null3"/>
            </w:pPr>
            <w:r>
              <w:rPr/>
              <w:t>说明：1、中标人在收到中标通知后20 个工作日内必须向采购人以支票、汇票、本票或者金融机构、担保机构出具的保函等非现金形式缴纳履约担保金人民币36.6万元。如未能按时交纳履约保证金的，将被视作自动放弃中标资格。 2、中标人如出现违约、出现被扣罚情况或因过失导致采购人或第三方损失时，采购人可随时对履约保证金进行处置、扣减，履约保证金不足以抵偿采购人或第三方损失时，采购人还有权继续对中标人进行追讨。 3、因处置、扣减履约保证金而使履约保证金数额没达到本项目要求时，采购人有权向中标人收取补足。中标人须在接到采购人通知的5个工作日内补足履约保证金，中标人未按时补足履约保证金的，采购人有权解除合同，并不退还余下履约保证金。 4、合同期满，履约保证金如没发生罚款和没收，中标人如期履约合同，保证金将于合同期满之日起10个工作日内将按合同要求完成项目工作后由采购人无息返还。</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2026-2028年食堂食材配送服务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12,200,000.00</w:t>
            </w:r>
          </w:p>
        </w:tc>
        <w:tc>
          <w:tcPr>
            <w:tcW w:type="dxa" w:w="831"/>
          </w:tcPr>
          <w:p>
            <w:pPr>
              <w:pStyle w:val="null3"/>
              <w:jc w:val="right"/>
            </w:pPr>
            <w:r>
              <w:rPr/>
              <w:t>12,200,000.00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2026-2028年食堂食材配送服务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w:t>
            </w:r>
            <w:r>
              <w:rPr/>
              <w:t xml:space="preserve"> </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广东省第二荣军优抚医院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采购包1(2026-2028年食堂食材配送服务)：综合评分法,是指投标文件满足招标文件全部实质性要求，且按照评审因素的量化指标评审得分最高的投标人为中标候选人的评标方法。（最低报价不是中标的唯一依据。）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采购包1（2026-2028年食堂食材配送服务）：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采购包1（2026-2028年食堂食材配送服务）：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投标人必须具有有效的《食品生产许可证》或《食品经营许可证》或满足法律、法规规定的不需要取得食品经营许可的情形，提供复印件作为证明材料。</w:t>
            </w:r>
          </w:p>
        </w:tc>
        <w:tc>
          <w:tcPr>
            <w:tcW w:type="dxa" w:w="4238"/>
          </w:tcPr>
          <w:p>
            <w:pPr>
              <w:pStyle w:val="null3"/>
            </w:pPr>
            <w:r>
              <w:rPr/>
              <w:t>投标人必须具有有效的《食品生产许可证》或《食品经营许可证》或满足法律、法规规定的不需要取得食品经营许可的情形，提供复印件作为证明材料。</w:t>
            </w:r>
          </w:p>
        </w:tc>
      </w:tr>
      <w:tr>
        <w:tc>
          <w:tcPr>
            <w:tcW w:type="dxa" w:w="890"/>
          </w:tcPr>
          <w:p>
            <w:pPr>
              <w:pStyle w:val="null3"/>
            </w:pPr>
            <w:r>
              <w:rPr/>
              <w:t>9</w:t>
            </w:r>
          </w:p>
        </w:tc>
        <w:tc>
          <w:tcPr>
            <w:tcW w:type="dxa" w:w="3178"/>
          </w:tcPr>
          <w:p>
            <w:pPr>
              <w:pStyle w:val="null3"/>
            </w:pPr>
            <w:r>
              <w:rPr/>
              <w:t>本项目不属于专门面向中小企业采购的项目。仅在评审时对符合条件的小型、微型企业进行价格扣除（监狱企业、残疾人福利性单位视同为小型、微型企业）。</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采购包1（2026-2028年食堂食材配送服务）：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采购包1(2026-2028年食堂食材配送服务):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采购项目服务要求响应程度 (13.0分)</w:t>
            </w:r>
          </w:p>
        </w:tc>
        <w:tc>
          <w:tcPr>
            <w:tcW w:type="dxa" w:w="5076"/>
          </w:tcPr>
          <w:p>
            <w:pPr>
              <w:pStyle w:val="null3"/>
              <w:jc w:val="left"/>
            </w:pPr>
            <w:r>
              <w:rPr/>
              <w:t>1）根据“第二章 采购需求”中“三、服务内容”非“★”非“▲”条款的响应情况，完全满足或优于服务要求的得10分，每负偏1项扣0.5分。 【注：1、“（一）常用食材清单”按1项计算；2、“（二）食材质量标准”的附表同一“序号”栏的“具体技术(参数)要求”中包含多级编号的内容，无论多级编号的内容负偏离多少项，仅以“序号”栏的一项作为计量项，计算1次；3、（三）-（六）按最小序号作为计量项】 2）根据“第二章 采购需求”中“五、其他要求”带“▲”条款的响应情况，完全满足或优于服务要求的得3分，每负偏1项扣1.5分。 【注：按序号级别（一）、（二）为计量项】</w:t>
            </w:r>
          </w:p>
        </w:tc>
      </w:tr>
      <w:tr>
        <w:tc>
          <w:tcPr>
            <w:tcW w:type="dxa" w:w="922"/>
            <w:gridSpan w:val="2"/>
            <w:vMerge/>
          </w:tcPr>
          <w:p/>
        </w:tc>
        <w:tc>
          <w:tcPr>
            <w:tcW w:type="dxa" w:w="2307"/>
          </w:tcPr>
          <w:p>
            <w:pPr>
              <w:pStyle w:val="null3"/>
              <w:jc w:val="left"/>
            </w:pPr>
            <w:r>
              <w:rPr/>
              <w:t>实施方案 (6.0分)</w:t>
            </w:r>
          </w:p>
        </w:tc>
        <w:tc>
          <w:tcPr>
            <w:tcW w:type="dxa" w:w="5076"/>
          </w:tcPr>
          <w:p>
            <w:pPr>
              <w:pStyle w:val="null3"/>
              <w:jc w:val="left"/>
            </w:pPr>
            <w:r>
              <w:rPr/>
              <w:t>投标人对本项目的项目实施方案、配送方案： 1）实施方案科学合理，配送步骤清晰、可操作性强的，得6分； 2）实施方案完整但欠科学，配送步骤清晰、具有可操作性的，得4分； 3）实施方案不完整欠科学，配送步骤不清晰的，得1分； 4）未提供方案的，不得分。</w:t>
            </w:r>
          </w:p>
        </w:tc>
      </w:tr>
      <w:tr>
        <w:tc>
          <w:tcPr>
            <w:tcW w:type="dxa" w:w="922"/>
            <w:gridSpan w:val="2"/>
            <w:vMerge/>
          </w:tcPr>
          <w:p/>
        </w:tc>
        <w:tc>
          <w:tcPr>
            <w:tcW w:type="dxa" w:w="2307"/>
          </w:tcPr>
          <w:p>
            <w:pPr>
              <w:pStyle w:val="null3"/>
              <w:jc w:val="left"/>
            </w:pPr>
            <w:r>
              <w:rPr/>
              <w:t>质量保障方案 (6.0分)</w:t>
            </w:r>
          </w:p>
        </w:tc>
        <w:tc>
          <w:tcPr>
            <w:tcW w:type="dxa" w:w="5076"/>
          </w:tcPr>
          <w:p>
            <w:pPr>
              <w:pStyle w:val="null3"/>
              <w:jc w:val="left"/>
            </w:pPr>
            <w:r>
              <w:rPr/>
              <w:t>投标人质量保障方案的合理性及有效性： 1）采购管理流程严谨规范，采购渠道固定且具有安全保证性高，货物来源资料齐全，科学、合理地提供供货食品质量保障措施及方案，得6分； 2）采购管理流程规范但欠严谨，采购渠道较固定但欠安全保证性，货物来源资料齐全，提供较科学、合理的供货食品质量保障措施及方案，得4分； 3）采购管理流程不规范或采购渠道不稳定，货物来源资料不齐全，提供食品质量保障措施及方案一般，得1分； 4）未提供方案的，不得分。</w:t>
            </w:r>
          </w:p>
        </w:tc>
      </w:tr>
      <w:tr>
        <w:tc>
          <w:tcPr>
            <w:tcW w:type="dxa" w:w="922"/>
            <w:gridSpan w:val="2"/>
            <w:vMerge/>
          </w:tcPr>
          <w:p/>
        </w:tc>
        <w:tc>
          <w:tcPr>
            <w:tcW w:type="dxa" w:w="2307"/>
          </w:tcPr>
          <w:p>
            <w:pPr>
              <w:pStyle w:val="null3"/>
              <w:jc w:val="left"/>
            </w:pPr>
            <w:r>
              <w:rPr/>
              <w:t>退换货方案 (6.0分)</w:t>
            </w:r>
          </w:p>
        </w:tc>
        <w:tc>
          <w:tcPr>
            <w:tcW w:type="dxa" w:w="5076"/>
          </w:tcPr>
          <w:p>
            <w:pPr>
              <w:pStyle w:val="null3"/>
              <w:jc w:val="left"/>
            </w:pPr>
            <w:r>
              <w:rPr/>
              <w:t>对本项目产品质量问题退换货方案及承诺进行评价： 1）退换货流程清晰、便利，能快速响应，退换货方案科学性、合理性强。得6分。 2）退换货流程清晰但欠便利，能快速响应，退换货方案科学、合理。得4分。 3）退换货流程不清晰，欠便利，不能快速响应，退换货方案欠科学、欠合理。得1分。 4）未提供方案的，不得分。</w:t>
            </w:r>
          </w:p>
        </w:tc>
      </w:tr>
      <w:tr>
        <w:tc>
          <w:tcPr>
            <w:tcW w:type="dxa" w:w="922"/>
            <w:gridSpan w:val="2"/>
            <w:vMerge/>
          </w:tcPr>
          <w:p/>
        </w:tc>
        <w:tc>
          <w:tcPr>
            <w:tcW w:type="dxa" w:w="2307"/>
          </w:tcPr>
          <w:p>
            <w:pPr>
              <w:pStyle w:val="null3"/>
              <w:jc w:val="left"/>
            </w:pPr>
            <w:r>
              <w:rPr/>
              <w:t>配送服务方案 (6.0分)</w:t>
            </w:r>
          </w:p>
        </w:tc>
        <w:tc>
          <w:tcPr>
            <w:tcW w:type="dxa" w:w="5076"/>
          </w:tcPr>
          <w:p>
            <w:pPr>
              <w:pStyle w:val="null3"/>
              <w:jc w:val="left"/>
            </w:pPr>
            <w:r>
              <w:rPr/>
              <w:t>对配送服务方案进行评分： 1）设置服务专热线，配备服务和跟踪人员，服务内容承诺详尽完备，食品卫生安全标准高，时效性强，配送货品多样且季节性强，服务保障方案严谨规范，符合本项目的实际需求，得6分； 2）设置服务专热线，配备服务和跟踪人员，服务内容承诺详细，食品卫生安全标准欠缺，时效性强，配送货品欠多样、欠季节性，服务保障方案规范但欠严谨，符合本项目的实际需求，得4分； 3）设置服务专热线，配备服务和跟踪人员，服务内容承诺欠具体，食品卫生安全标准欠缺，配送方案时效性较差，配送货品欠多样性、欠季节性，服务保障方案欠规范，不符合本项目的实际需求，得1分； 4）未提供方案的，不得分。</w:t>
            </w:r>
          </w:p>
        </w:tc>
      </w:tr>
      <w:tr>
        <w:tc>
          <w:tcPr>
            <w:tcW w:type="dxa" w:w="922"/>
            <w:gridSpan w:val="2"/>
            <w:vMerge/>
          </w:tcPr>
          <w:p/>
        </w:tc>
        <w:tc>
          <w:tcPr>
            <w:tcW w:type="dxa" w:w="2307"/>
          </w:tcPr>
          <w:p>
            <w:pPr>
              <w:pStyle w:val="null3"/>
              <w:jc w:val="left"/>
            </w:pPr>
            <w:r>
              <w:rPr/>
              <w:t>投标人管理制度 (5.0分)</w:t>
            </w:r>
          </w:p>
        </w:tc>
        <w:tc>
          <w:tcPr>
            <w:tcW w:type="dxa" w:w="5076"/>
          </w:tcPr>
          <w:p>
            <w:pPr>
              <w:pStyle w:val="null3"/>
              <w:jc w:val="left"/>
            </w:pPr>
            <w:r>
              <w:rPr/>
              <w:t>对投标人内部管理制度进行评分： 1）投标人内部管理制度科学、完善，得5分； 2）投标人內部管理制度科学但不够完善，得3分； 3）投标人管理制度欠科学，不够完善，得 1分； 4）本项不提供资料的，不得分。</w:t>
            </w:r>
          </w:p>
        </w:tc>
      </w:tr>
      <w:tr>
        <w:tc>
          <w:tcPr>
            <w:tcW w:type="dxa" w:w="922"/>
            <w:gridSpan w:val="2"/>
            <w:vMerge/>
          </w:tcPr>
          <w:p/>
        </w:tc>
        <w:tc>
          <w:tcPr>
            <w:tcW w:type="dxa" w:w="2307"/>
          </w:tcPr>
          <w:p>
            <w:pPr>
              <w:pStyle w:val="null3"/>
              <w:jc w:val="left"/>
            </w:pPr>
            <w:r>
              <w:rPr/>
              <w:t>特色服务方案 (6.0分)</w:t>
            </w:r>
          </w:p>
        </w:tc>
        <w:tc>
          <w:tcPr>
            <w:tcW w:type="dxa" w:w="5076"/>
          </w:tcPr>
          <w:p>
            <w:pPr>
              <w:pStyle w:val="null3"/>
              <w:jc w:val="left"/>
            </w:pPr>
            <w:r>
              <w:rPr/>
              <w:t>对投标人提供的特色服务方案进行评分，内容包括但不限于：提供营养菜谱及营养宣教服务，提供厨师交换学习、定期培训服务，定期为采购人调整食谱、配餐或团餐服务等内容。 1）提供的特色服务方案全面、详细、科学合理，可行性强的得6分； 2）提供的特色服务方案全面、详细，但欠科学合理，具有可行性的得4分； 3）提供的特色服务方案不够全面、简略，欠科学，可行性差的，得 1分； 4）本项不提供资料的，不得分。</w:t>
            </w:r>
          </w:p>
        </w:tc>
      </w:tr>
      <w:tr>
        <w:tc>
          <w:tcPr>
            <w:tcW w:type="dxa" w:w="922"/>
            <w:gridSpan w:val="2"/>
            <w:vMerge/>
          </w:tcPr>
          <w:p/>
        </w:tc>
        <w:tc>
          <w:tcPr>
            <w:tcW w:type="dxa" w:w="2307"/>
          </w:tcPr>
          <w:p>
            <w:pPr>
              <w:pStyle w:val="null3"/>
              <w:jc w:val="left"/>
            </w:pPr>
            <w:r>
              <w:rPr/>
              <w:t>食品检测能力 (4.0分)</w:t>
            </w:r>
          </w:p>
        </w:tc>
        <w:tc>
          <w:tcPr>
            <w:tcW w:type="dxa" w:w="5076"/>
          </w:tcPr>
          <w:p>
            <w:pPr>
              <w:pStyle w:val="null3"/>
              <w:jc w:val="left"/>
            </w:pPr>
            <w:r>
              <w:rPr/>
              <w:t>1）供应商具备检测设备：肉类水分检测仪、重金属检测仪、食品甲醛检测仪、二氧化硫检测仪、生物毒素检测仪。每具有一项检测设备得0.6分，全部具有得3分（须同时提供检测设备清单、检测设备实物图片）。 2）供应商具有农残检测室得1分。 注：提供检测室、相关检测设备照片和检测设备购置发票复印件（发票单位名称必须与供应商一致）或租赁合同复印件(租赁合同须以供应商名义签署的方为有效)等使用证明。</w:t>
            </w:r>
          </w:p>
        </w:tc>
      </w:tr>
      <w:tr>
        <w:tc>
          <w:tcPr>
            <w:tcW w:type="dxa" w:w="922"/>
            <w:gridSpan w:val="2"/>
            <w:vMerge/>
          </w:tcPr>
          <w:p/>
        </w:tc>
        <w:tc>
          <w:tcPr>
            <w:tcW w:type="dxa" w:w="2307"/>
          </w:tcPr>
          <w:p>
            <w:pPr>
              <w:pStyle w:val="null3"/>
              <w:jc w:val="left"/>
            </w:pPr>
            <w:r>
              <w:rPr/>
              <w:t>信息化便捷措施 (3.0分)</w:t>
            </w:r>
          </w:p>
        </w:tc>
        <w:tc>
          <w:tcPr>
            <w:tcW w:type="dxa" w:w="5076"/>
          </w:tcPr>
          <w:p>
            <w:pPr>
              <w:pStyle w:val="null3"/>
              <w:jc w:val="left"/>
            </w:pPr>
            <w:r>
              <w:rPr/>
              <w:t>投标人具备自有、外购或租赁的信息化管理系统（如APP、微信小程序、网页等），为采购人提供便捷的采购管理和费用管控措施，按以下要求评审： 1）系统具备实时在线下单的，得1分； 2）系统具备自动上传称重验收复核数据功能的，得1分； 3）系统具备生成和分析月度食材配送报告功能的，得 1分。 注： 1、系统为自行开发的，需提供软件著作权证书复印件及官方查询截图； 2、系统为外购或租赁的，需提供购买或租赁合同、发票等有效证明文件复印件 3、同时须提供体现上述功能的系统截图、系统介绍、功能文字说明等佐证资料；4、证明材料未按要求提供或提供不全或不清晰不得分。</w:t>
            </w:r>
          </w:p>
        </w:tc>
      </w:tr>
      <w:tr>
        <w:tc>
          <w:tcPr>
            <w:tcW w:type="dxa" w:w="922"/>
            <w:gridSpan w:val="2"/>
            <w:vMerge w:val="restart"/>
          </w:tcPr>
          <w:p>
            <w:pPr>
              <w:pStyle w:val="null3"/>
              <w:jc w:val="center"/>
            </w:pPr>
            <w:r>
              <w:rPr/>
              <w:t>商务部分</w:t>
            </w:r>
          </w:p>
        </w:tc>
        <w:tc>
          <w:tcPr>
            <w:tcW w:type="dxa" w:w="2307"/>
          </w:tcPr>
          <w:p>
            <w:pPr>
              <w:pStyle w:val="null3"/>
              <w:jc w:val="left"/>
            </w:pPr>
            <w:r>
              <w:rPr/>
              <w:t>仓储能力 (4.0分)</w:t>
            </w:r>
          </w:p>
        </w:tc>
        <w:tc>
          <w:tcPr>
            <w:tcW w:type="dxa" w:w="5076"/>
          </w:tcPr>
          <w:p>
            <w:pPr>
              <w:pStyle w:val="null3"/>
              <w:jc w:val="left"/>
            </w:pPr>
            <w:r>
              <w:rPr/>
              <w:t>投标人自有或租赁冷库及常温仓库，得4分；本项不提供或提供不足的，不得分。 【注： 1、若为租赁，供应商需提供冷库/常温仓库的租赁合同或合作协议复印件(租赁合同或合作协议须以供应商名义签署的方为有效) 。 2、若为自有冷库/常温仓库，供应商需提供冷库/常温仓库的买卖房产合同复印件或产权证明复印件。 3、证明文件不齐全或未提供或评委无法认定的不得分。】</w:t>
            </w:r>
          </w:p>
        </w:tc>
      </w:tr>
      <w:tr>
        <w:tc>
          <w:tcPr>
            <w:tcW w:type="dxa" w:w="922"/>
            <w:gridSpan w:val="2"/>
            <w:vMerge/>
          </w:tcPr>
          <w:p/>
        </w:tc>
        <w:tc>
          <w:tcPr>
            <w:tcW w:type="dxa" w:w="2307"/>
          </w:tcPr>
          <w:p>
            <w:pPr>
              <w:pStyle w:val="null3"/>
              <w:jc w:val="left"/>
            </w:pPr>
            <w:r>
              <w:rPr/>
              <w:t>企业业绩 (3.0分)</w:t>
            </w:r>
          </w:p>
        </w:tc>
        <w:tc>
          <w:tcPr>
            <w:tcW w:type="dxa" w:w="5076"/>
          </w:tcPr>
          <w:p>
            <w:pPr>
              <w:pStyle w:val="null3"/>
              <w:jc w:val="left"/>
            </w:pPr>
            <w:r>
              <w:rPr/>
              <w:t>投标人从2023年至今,投标人承担的同类型食材配送业绩,每项业绩得0.5分，最高得3分。 注：须提供合同关键页复印件并加盖公章，时间以合同签订时间为准，不提供不得分。</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投标人能提供相应上述有效同类型食材配送业绩的客户评价意见，且对应客户出具评价意见评价为良好或以上的或同等级别的，每个客户单位（同一个客户单位出具多份业绩评价不重复计分）得0.5分，本项最高得3分，本项不提供或提供不足的，不得分。 注：须提供加盖客户方有效章的以上业绩的客户评价等相关证明材料，并加盖投标人公章。</w:t>
            </w:r>
          </w:p>
        </w:tc>
      </w:tr>
      <w:tr>
        <w:tc>
          <w:tcPr>
            <w:tcW w:type="dxa" w:w="922"/>
            <w:gridSpan w:val="2"/>
            <w:vMerge/>
          </w:tcPr>
          <w:p/>
        </w:tc>
        <w:tc>
          <w:tcPr>
            <w:tcW w:type="dxa" w:w="2307"/>
          </w:tcPr>
          <w:p>
            <w:pPr>
              <w:pStyle w:val="null3"/>
              <w:jc w:val="left"/>
            </w:pPr>
            <w:r>
              <w:rPr/>
              <w:t>团队素质 (3.0分)</w:t>
            </w:r>
          </w:p>
        </w:tc>
        <w:tc>
          <w:tcPr>
            <w:tcW w:type="dxa" w:w="5076"/>
          </w:tcPr>
          <w:p>
            <w:pPr>
              <w:pStyle w:val="null3"/>
              <w:jc w:val="left"/>
            </w:pPr>
            <w:r>
              <w:rPr/>
              <w:t>投入本项目的服务团队人员，具有食品安全员的，每提供1人得1分，本项最高3分。 注：（1）食品安全员提供企业的任命书、聘书或印发文件作为证明材料； （2）培训合格提供参加食品安全相关培训的合格证明材料，需提供获得证明人员的身份证及相关证书扫描件； （3）提供扣除发布招标公告当月往前顺推6个月内任意一个月的在投标单位购买社会保险的证明材料复印件，不提供资料或提供不足的，不得分。</w:t>
            </w:r>
          </w:p>
        </w:tc>
      </w:tr>
      <w:tr>
        <w:tc>
          <w:tcPr>
            <w:tcW w:type="dxa" w:w="922"/>
            <w:gridSpan w:val="2"/>
            <w:vMerge/>
          </w:tcPr>
          <w:p/>
        </w:tc>
        <w:tc>
          <w:tcPr>
            <w:tcW w:type="dxa" w:w="2307"/>
          </w:tcPr>
          <w:p>
            <w:pPr>
              <w:pStyle w:val="null3"/>
              <w:jc w:val="left"/>
            </w:pPr>
            <w:r>
              <w:rPr/>
              <w:t>运输车辆情况1 (3.0分)</w:t>
            </w:r>
          </w:p>
        </w:tc>
        <w:tc>
          <w:tcPr>
            <w:tcW w:type="dxa" w:w="5076"/>
          </w:tcPr>
          <w:p>
            <w:pPr>
              <w:pStyle w:val="null3"/>
              <w:jc w:val="left"/>
            </w:pPr>
            <w:r>
              <w:rPr/>
              <w:t>投标人为本项目投入的物流运输队伍，自有或租赁专用配送车辆（不含冷链运输专用车）数量情况：配送车辆每台得1.5分，最高得3分。 注：自有车辆（《机动车行驶证》上的所有人为供应商）须同时提供有效的《机动车行驶证》扫描件、机动车登记证、车辆照片。 租赁车辆须提供有效期内租赁合同扫描件（需体现租赁时间）、有效的《机动车行驶证》扫描件、车辆照片，如租赁期未覆盖本项目服务期的，需承诺续租至本项目合同结束。</w:t>
            </w:r>
          </w:p>
        </w:tc>
      </w:tr>
      <w:tr>
        <w:tc>
          <w:tcPr>
            <w:tcW w:type="dxa" w:w="922"/>
            <w:gridSpan w:val="2"/>
            <w:vMerge/>
          </w:tcPr>
          <w:p/>
        </w:tc>
        <w:tc>
          <w:tcPr>
            <w:tcW w:type="dxa" w:w="2307"/>
          </w:tcPr>
          <w:p>
            <w:pPr>
              <w:pStyle w:val="null3"/>
              <w:jc w:val="left"/>
            </w:pPr>
            <w:r>
              <w:rPr/>
              <w:t>运输车辆情况2 (4.0分)</w:t>
            </w:r>
          </w:p>
        </w:tc>
        <w:tc>
          <w:tcPr>
            <w:tcW w:type="dxa" w:w="5076"/>
          </w:tcPr>
          <w:p>
            <w:pPr>
              <w:pStyle w:val="null3"/>
              <w:jc w:val="left"/>
            </w:pPr>
            <w:r>
              <w:rPr/>
              <w:t>投标人为本项目投入的物流运输队伍，自有或租赁的冷链（或配备有空调系统的）运输专用车数量情况：每台得2分，最高得4分。 注：自有车辆（《机动车行驶证》上的所有人为供应商）须同时提供有效的《机动车行驶证》扫描件、机动车登记证、车辆照片。 租赁车辆须提供有效期内租赁合同扫描件（需体现租赁时间）、有效的《机动车行驶证》扫描件、车辆照片，如租赁期未覆盖本项目服务期的，需承诺续租至本项目合同结束。</w:t>
            </w:r>
          </w:p>
        </w:tc>
      </w:tr>
      <w:tr>
        <w:tc>
          <w:tcPr>
            <w:tcW w:type="dxa" w:w="922"/>
            <w:gridSpan w:val="2"/>
            <w:vMerge/>
          </w:tcPr>
          <w:p/>
        </w:tc>
        <w:tc>
          <w:tcPr>
            <w:tcW w:type="dxa" w:w="2307"/>
          </w:tcPr>
          <w:p>
            <w:pPr>
              <w:pStyle w:val="null3"/>
              <w:jc w:val="left"/>
            </w:pPr>
            <w:r>
              <w:rPr/>
              <w:t>认证证书 (2.0分)</w:t>
            </w:r>
          </w:p>
        </w:tc>
        <w:tc>
          <w:tcPr>
            <w:tcW w:type="dxa" w:w="5076"/>
          </w:tcPr>
          <w:p>
            <w:pPr>
              <w:pStyle w:val="null3"/>
              <w:jc w:val="left"/>
            </w:pPr>
            <w:r>
              <w:rPr/>
              <w:t>对投标人的认证证书进行评价。 1.食品安全管理体系认证证书；2.食品可追溯管理体系认证证书；每提供一项证书得1分，最高得2分。 【注：提供以上证书复印件，同时提供国家认证认可监督管理委员会信息中心的认证认可业务信息统一查询平台(http://cx.cnca.cn/)中查询其证书信息的网页打印件，否则不计分。若供应商是因成立年限不足无法取得上述证书的新企业，也视为符合本要求，得对应分值（提供相关证明文件复印件并加盖公章），没有提供不得分。】</w:t>
            </w:r>
          </w:p>
        </w:tc>
      </w:tr>
      <w:tr>
        <w:tc>
          <w:tcPr>
            <w:tcW w:type="dxa" w:w="922"/>
            <w:gridSpan w:val="2"/>
            <w:vMerge/>
          </w:tcPr>
          <w:p/>
        </w:tc>
        <w:tc>
          <w:tcPr>
            <w:tcW w:type="dxa" w:w="2307"/>
          </w:tcPr>
          <w:p>
            <w:pPr>
              <w:pStyle w:val="null3"/>
              <w:jc w:val="left"/>
            </w:pPr>
            <w:r>
              <w:rPr/>
              <w:t>特殊事件的处理方案 (3.0分)</w:t>
            </w:r>
          </w:p>
        </w:tc>
        <w:tc>
          <w:tcPr>
            <w:tcW w:type="dxa" w:w="5076"/>
          </w:tcPr>
          <w:p>
            <w:pPr>
              <w:pStyle w:val="null3"/>
              <w:jc w:val="left"/>
            </w:pPr>
            <w:r>
              <w:rPr/>
              <w:t>投标人针对台风、暴雨等天气影响，交通事故，安全卫生意外事件，临时紧急用餐，重大节假日或活动等特殊情况制定的处理方案： 1）处理方案详尽完备、传达机制快速有效、人力物力调配合理、责任分工明确、针对性及可行性强，得3分； 2）处理方案完整，传达机制效果一般，人力物力调配合理、责任分工明确、可行性强但缺乏针对性，得2分； 3）处理方案简略，传达机制效果一般，人力物力调配不合理、责任分工不明确、缺乏针对性和可行性，得1分； 4）未提供方案的，不得分。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68"/>
          <w:color w:val="000000"/>
          <w:shd w:fill="FFFFFF" w:val="clear"/>
        </w:rPr>
        <w:t>合</w:t>
      </w:r>
      <w:r>
        <w:rPr>
          <w:sz w:val="68"/>
          <w:color w:val="000000"/>
          <w:shd w:fill="FFFFFF" w:val="clear"/>
        </w:rPr>
        <w:t>同</w:t>
      </w:r>
      <w:r>
        <w:rPr>
          <w:sz w:val="68"/>
          <w:color w:val="000000"/>
          <w:shd w:fill="FFFFFF" w:val="clear"/>
        </w:rPr>
        <w:t>书</w:t>
      </w:r>
    </w:p>
    <w:p>
      <w:pPr>
        <w:pStyle w:val="null3"/>
        <w:ind w:firstLine="1063"/>
      </w:pPr>
      <w:r>
        <w:rPr>
          <w:sz w:val="28"/>
          <w:color w:val="000000"/>
          <w:shd w:fill="FFFFFF" w:val="clear"/>
        </w:rPr>
        <w:t>项目编号：</w:t>
      </w:r>
    </w:p>
    <w:p>
      <w:pPr>
        <w:pStyle w:val="null3"/>
        <w:ind w:firstLine="1063"/>
      </w:pPr>
      <w:r>
        <w:rPr>
          <w:sz w:val="28"/>
          <w:color w:val="000000"/>
          <w:shd w:fill="FFFFFF" w:val="clear"/>
        </w:rPr>
        <w:t>项目名称：</w:t>
      </w:r>
      <w:r>
        <w:rPr>
          <w:sz w:val="28"/>
          <w:color w:val="000000"/>
          <w:shd w:fill="FFFFFF" w:val="clear"/>
        </w:rPr>
        <w:t>广东省第二荣军优抚医院</w:t>
      </w:r>
      <w:r>
        <w:rPr>
          <w:sz w:val="28"/>
          <w:color w:val="000000"/>
          <w:shd w:fill="FFFFFF" w:val="clear"/>
        </w:rPr>
        <w:t>2026-2028年食堂食材配送服务项目</w:t>
      </w:r>
    </w:p>
    <w:p>
      <w:pPr>
        <w:pStyle w:val="null3"/>
        <w:ind w:firstLine="1063"/>
      </w:pPr>
      <w:r>
        <w:rPr>
          <w:sz w:val="28"/>
          <w:color w:val="000000"/>
          <w:shd w:fill="FFFFFF" w:val="clear"/>
        </w:rPr>
        <w:t>甲方：广东省第二荣军优抚医院</w:t>
      </w:r>
    </w:p>
    <w:p>
      <w:pPr>
        <w:pStyle w:val="null3"/>
        <w:ind w:firstLine="1063"/>
      </w:pPr>
      <w:r>
        <w:rPr>
          <w:sz w:val="28"/>
          <w:color w:val="000000"/>
          <w:shd w:fill="FFFFFF" w:val="clear"/>
        </w:rPr>
        <w:t>乙方：（中标</w:t>
      </w:r>
      <w:r>
        <w:rPr>
          <w:sz w:val="28"/>
          <w:color w:val="000000"/>
          <w:shd w:fill="FFFFFF" w:val="clear"/>
        </w:rPr>
        <w:t>人</w:t>
      </w:r>
      <w:r>
        <w:rPr>
          <w:sz w:val="28"/>
          <w:color w:val="000000"/>
          <w:shd w:fill="FFFFFF" w:val="clear"/>
        </w:rPr>
        <w:t>）</w:t>
      </w:r>
    </w:p>
    <w:p>
      <w:pPr>
        <w:pStyle w:val="null3"/>
        <w:ind w:firstLine="1063"/>
      </w:pPr>
      <w:r>
        <w:rPr>
          <w:sz w:val="28"/>
          <w:color w:val="000000"/>
          <w:shd w:fill="FFFFFF" w:val="clear"/>
        </w:rPr>
        <w:t>签订日期：　年　月　日</w:t>
      </w:r>
    </w:p>
    <w:p>
      <w:pPr>
        <w:pStyle w:val="null3"/>
        <w:ind w:firstLine="480"/>
        <w:jc w:val="both"/>
      </w:pPr>
      <w:r>
        <w:rPr/>
        <w:t xml:space="preserve"> </w:t>
      </w:r>
    </w:p>
    <w:p>
      <w:pPr>
        <w:pStyle w:val="null3"/>
      </w:pPr>
      <w:r>
        <w:rPr>
          <w:sz w:val="24"/>
          <w:color w:val="000000"/>
          <w:shd w:fill="FFFFFF" w:val="clear"/>
        </w:rPr>
        <w:t>根据《中华人民共和国民法典》、本项目招标文件（以下称招标文件）的要求，经双方协商，本着平等互利和诚实信用的原则，一致同意签订本合同如下。</w:t>
      </w:r>
    </w:p>
    <w:p>
      <w:pPr>
        <w:pStyle w:val="null3"/>
        <w:ind w:firstLine="482"/>
      </w:pPr>
      <w:r>
        <w:rPr>
          <w:sz w:val="24"/>
          <w:b/>
          <w:color w:val="000000"/>
          <w:shd w:fill="FFFFFF" w:val="clear"/>
        </w:rPr>
        <w:t>一、项目名称：</w:t>
      </w:r>
      <w:r>
        <w:rPr>
          <w:sz w:val="24"/>
          <w:color w:val="000000"/>
          <w:shd w:fill="FFFFFF" w:val="clear"/>
        </w:rPr>
        <w:t>广东省第二荣军优抚医院</w:t>
      </w:r>
      <w:r>
        <w:rPr>
          <w:sz w:val="24"/>
          <w:color w:val="000000"/>
          <w:shd w:fill="FFFFFF" w:val="clear"/>
        </w:rPr>
        <w:t>2026-2028年</w:t>
      </w:r>
      <w:r>
        <w:rPr>
          <w:sz w:val="24"/>
          <w:color w:val="000000"/>
          <w:shd w:fill="FFFFFF" w:val="clear"/>
        </w:rPr>
        <w:t>食堂</w:t>
      </w:r>
      <w:r>
        <w:rPr>
          <w:sz w:val="24"/>
          <w:color w:val="000000"/>
          <w:shd w:fill="FFFFFF" w:val="clear"/>
        </w:rPr>
        <w:t>食材配送服务项目</w:t>
      </w:r>
    </w:p>
    <w:p>
      <w:pPr>
        <w:pStyle w:val="null3"/>
        <w:ind w:firstLine="482"/>
      </w:pPr>
      <w:r>
        <w:rPr>
          <w:sz w:val="24"/>
          <w:b/>
          <w:color w:val="000000"/>
          <w:shd w:fill="FFFFFF" w:val="clear"/>
        </w:rPr>
        <w:t>二、服务期限</w:t>
      </w:r>
    </w:p>
    <w:p>
      <w:pPr>
        <w:pStyle w:val="null3"/>
        <w:ind w:firstLine="480"/>
      </w:pPr>
      <w:r>
        <w:rPr>
          <w:sz w:val="24"/>
        </w:rPr>
        <w:t>合同生效之日起</w:t>
      </w:r>
      <w:r>
        <w:rPr>
          <w:sz w:val="24"/>
        </w:rPr>
        <w:t>2年（</w:t>
      </w:r>
      <w:r>
        <w:rPr>
          <w:sz w:val="24"/>
          <w:u w:val="single"/>
        </w:rPr>
        <w:t>自</w:t>
      </w: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日起至</w:t>
      </w: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日止</w:t>
      </w:r>
      <w:r>
        <w:rPr>
          <w:sz w:val="24"/>
        </w:rPr>
        <w:t>）。</w:t>
      </w:r>
    </w:p>
    <w:p>
      <w:pPr>
        <w:pStyle w:val="null3"/>
        <w:ind w:firstLine="482"/>
        <w:jc w:val="both"/>
      </w:pPr>
      <w:r>
        <w:rPr>
          <w:sz w:val="24"/>
          <w:b/>
          <w:color w:val="000000"/>
          <w:shd w:fill="FFFFFF" w:val="clear"/>
        </w:rPr>
        <w:t>三、项目信息</w:t>
      </w:r>
    </w:p>
    <w:p>
      <w:pPr>
        <w:pStyle w:val="null3"/>
        <w:ind w:firstLine="480"/>
        <w:jc w:val="both"/>
      </w:pPr>
      <w:r>
        <w:rPr>
          <w:sz w:val="24"/>
        </w:rPr>
        <w:t>1、项目预算：</w:t>
      </w:r>
      <w:r>
        <w:rPr>
          <w:sz w:val="24"/>
          <w:u w:val="single"/>
        </w:rPr>
        <w:t xml:space="preserve"> </w:t>
      </w:r>
      <w:r>
        <w:rPr>
          <w:sz w:val="24"/>
          <w:u w:val="single"/>
        </w:rPr>
        <w:t xml:space="preserve">1220 </w:t>
      </w:r>
      <w:r>
        <w:rPr>
          <w:sz w:val="24"/>
        </w:rPr>
        <w:t>万元。项目结算金额以实际配送为准，项目若在合同履行期间，实际结算费用累计达到项目预算时，该合同效力自行解除，双方不再依本合同约定享有权利和履行义务。如需继续履行合同，应提前另行签订补充协议。</w:t>
      </w:r>
    </w:p>
    <w:p>
      <w:pPr>
        <w:pStyle w:val="null3"/>
        <w:ind w:firstLine="480"/>
        <w:jc w:val="both"/>
      </w:pPr>
      <w:r>
        <w:rPr>
          <w:sz w:val="24"/>
        </w:rPr>
        <w:t>2、中标折扣率为：</w:t>
      </w:r>
      <w:r>
        <w:rPr>
          <w:sz w:val="24"/>
        </w:rPr>
        <w:t>（</w:t>
      </w:r>
      <w:r>
        <w:rPr>
          <w:sz w:val="24"/>
        </w:rPr>
        <w:t>大写</w:t>
      </w:r>
      <w:r>
        <w:rPr>
          <w:sz w:val="24"/>
        </w:rPr>
        <w:t>）</w:t>
      </w:r>
      <w:r>
        <w:rPr>
          <w:sz w:val="24"/>
        </w:rPr>
        <w:t>百分之</w:t>
      </w:r>
      <w:r>
        <w:rPr>
          <w:sz w:val="31"/>
          <w:u w:val="single"/>
        </w:rPr>
        <w:t xml:space="preserve">       </w:t>
      </w:r>
      <w:r>
        <w:rPr>
          <w:sz w:val="24"/>
        </w:rPr>
        <w:t>（</w:t>
      </w:r>
      <w:r>
        <w:rPr>
          <w:sz w:val="24"/>
        </w:rPr>
        <w:t>小写：</w:t>
      </w:r>
      <w:r>
        <w:rPr>
          <w:sz w:val="31"/>
          <w:u w:val="single"/>
        </w:rPr>
        <w:t xml:space="preserve">     </w:t>
      </w:r>
      <w:r>
        <w:rPr>
          <w:sz w:val="31"/>
        </w:rPr>
        <w:t xml:space="preserve"> </w:t>
      </w:r>
      <w:r>
        <w:rPr>
          <w:sz w:val="24"/>
        </w:rPr>
        <w:t>%)</w:t>
      </w:r>
    </w:p>
    <w:p>
      <w:pPr>
        <w:pStyle w:val="null3"/>
        <w:ind w:firstLine="480"/>
        <w:jc w:val="both"/>
      </w:pPr>
      <w:r>
        <w:rPr>
          <w:sz w:val="24"/>
        </w:rPr>
        <w:t>3、项目地址：佛山市南海区西樵镇江浦西路59号</w:t>
      </w:r>
      <w:r>
        <w:rPr>
          <w:sz w:val="24"/>
        </w:rPr>
        <w:t>（广东省第二荣军优抚医院）</w:t>
      </w:r>
    </w:p>
    <w:p>
      <w:pPr>
        <w:pStyle w:val="null3"/>
        <w:ind w:firstLine="482"/>
        <w:jc w:val="both"/>
      </w:pPr>
      <w:r>
        <w:rPr>
          <w:sz w:val="24"/>
          <w:b/>
          <w:color w:val="000000"/>
          <w:shd w:fill="FFFFFF" w:val="clear"/>
        </w:rPr>
        <w:t>四、基本要求</w:t>
      </w:r>
    </w:p>
    <w:p>
      <w:pPr>
        <w:pStyle w:val="null3"/>
        <w:ind w:firstLine="480"/>
        <w:jc w:val="both"/>
      </w:pPr>
      <w:r>
        <w:rPr>
          <w:sz w:val="24"/>
        </w:rPr>
        <w:t>1、乙方应按合同约定供货，乙方不得转包、分包，否则甲方有权单方面终止合同，项目另行处理，乙方承担由此造成的经济损失。</w:t>
      </w:r>
    </w:p>
    <w:p>
      <w:pPr>
        <w:pStyle w:val="null3"/>
        <w:ind w:firstLine="480"/>
        <w:jc w:val="both"/>
      </w:pPr>
      <w:r>
        <w:rPr>
          <w:sz w:val="24"/>
        </w:rPr>
        <w:t>2、乙方在合同履行期间保证对甲方的服务供应，乙方不得拒绝甲方分配的任务。乙方在服务期内没能达到投标文件承诺的服务要求或乙方未按要求履行合同，由此产生的一切经济损失由乙方自行承担。</w:t>
      </w:r>
    </w:p>
    <w:p>
      <w:pPr>
        <w:pStyle w:val="null3"/>
        <w:ind w:firstLine="480"/>
        <w:jc w:val="both"/>
      </w:pPr>
      <w:r>
        <w:rPr>
          <w:sz w:val="24"/>
        </w:rPr>
        <w:t>3、甲方无法保证乙方在服务期内足够的交易额和业务保障，乙方应充分考虑经营风险，食材采购的具体数量、品种以甲方的实际需要为准。乙方在拟实施新增设备设施和人力资源等投入前，须充分考虑评估潜在的投资经营风险并制定应对措施。</w:t>
      </w:r>
    </w:p>
    <w:p>
      <w:pPr>
        <w:pStyle w:val="null3"/>
        <w:ind w:firstLine="480"/>
        <w:jc w:val="both"/>
      </w:pPr>
      <w:r>
        <w:rPr>
          <w:sz w:val="24"/>
        </w:rPr>
        <w:t>4、乙方须服从甲方和食品监督部门的监督管理，配合甲方及时更新所提供的符合卫监部门的有效证明材料。如有效的营业执照、产品合格证或食品生产（经营、流通）许可证等。</w:t>
      </w:r>
    </w:p>
    <w:p>
      <w:pPr>
        <w:pStyle w:val="null3"/>
        <w:ind w:firstLine="480"/>
        <w:jc w:val="both"/>
      </w:pPr>
      <w:r>
        <w:rPr>
          <w:sz w:val="24"/>
        </w:rPr>
        <w:t>5、甲方按招标文件和合同约定对商品进行认真验收，对不符合规格要求的商品，乙方必须无条件退货；乙方未能履行招标文件和合同所定事项，或供应不合格的、假冒伪劣、以次充好的商品或供货时的商品与乙方投标文件中的承诺不符</w:t>
      </w:r>
      <w:r>
        <w:rPr>
          <w:sz w:val="24"/>
        </w:rPr>
        <w:t>，</w:t>
      </w:r>
      <w:r>
        <w:rPr>
          <w:sz w:val="24"/>
        </w:rPr>
        <w:t>甲方退货后将记录在案，并对乙方予以处罚，乙方除要承担甲方因此产生的一切损失和费用外，情节严重的，甲方可取消其供应资格。</w:t>
      </w:r>
    </w:p>
    <w:p>
      <w:pPr>
        <w:pStyle w:val="null3"/>
        <w:ind w:firstLine="482"/>
        <w:jc w:val="both"/>
      </w:pPr>
      <w:r>
        <w:rPr>
          <w:sz w:val="24"/>
          <w:b/>
          <w:color w:val="000000"/>
          <w:shd w:fill="FFFFFF" w:val="clear"/>
        </w:rPr>
        <w:t>五、供货价格要求</w:t>
      </w:r>
    </w:p>
    <w:p>
      <w:pPr>
        <w:pStyle w:val="null3"/>
        <w:ind w:firstLine="480"/>
        <w:jc w:val="both"/>
      </w:pPr>
      <w:r>
        <w:rPr>
          <w:sz w:val="24"/>
        </w:rPr>
        <w:t>1、供货报价为甲方指定目的地交货价。主要包含：食材购置、包装配送运输、保险、装卸、退换、雇员费用、质保期售后服务、全额含税发票、合同实施过程中的应预见和不可预见费用等。在项目的实施过程中，乙方必须充分考虑在本项目实施期间的一切可能产生的风险和相关费用，甲方将拒绝支付合同约定货款之外的任何费用和补偿。</w:t>
      </w:r>
    </w:p>
    <w:p>
      <w:pPr>
        <w:pStyle w:val="null3"/>
        <w:ind w:firstLine="480"/>
        <w:jc w:val="both"/>
      </w:pPr>
      <w:r>
        <w:rPr>
          <w:sz w:val="24"/>
        </w:rPr>
        <w:t>2</w:t>
      </w:r>
      <w:r>
        <w:rPr>
          <w:sz w:val="24"/>
        </w:rPr>
        <w:t>、基准价确定方式：</w:t>
      </w:r>
      <w:r>
        <w:rPr>
          <w:sz w:val="24"/>
        </w:rPr>
        <w:t>乙方根据甲方的每月食材采购项目清单，于每月</w:t>
      </w:r>
      <w:r>
        <w:rPr>
          <w:sz w:val="24"/>
        </w:rPr>
        <w:t xml:space="preserve"> </w:t>
      </w:r>
      <w:r>
        <w:rPr>
          <w:sz w:val="24"/>
        </w:rPr>
        <w:t>20</w:t>
      </w:r>
      <w:r>
        <w:rPr>
          <w:sz w:val="24"/>
        </w:rPr>
        <w:t>日报本月食材供货基准价格，以当月</w:t>
      </w:r>
      <w:r>
        <w:rPr>
          <w:sz w:val="31"/>
        </w:rPr>
        <w:t xml:space="preserve"> </w:t>
      </w:r>
      <w:r>
        <w:rPr>
          <w:sz w:val="24"/>
        </w:rPr>
        <w:t>15</w:t>
      </w:r>
      <w:r>
        <w:rPr>
          <w:sz w:val="31"/>
        </w:rPr>
        <w:t xml:space="preserve"> </w:t>
      </w:r>
      <w:r>
        <w:rPr>
          <w:sz w:val="24"/>
        </w:rPr>
        <w:t>日佛山市发展和改革局发布的南海区《农副产品市场零售价格表》（查询网址：</w:t>
      </w:r>
      <w:r>
        <w:rPr>
          <w:sz w:val="24"/>
        </w:rPr>
        <w:t>http://fsdr.foshan.gov.cn/fsfgj/fhj/bmcx/jgcx/nfcp/tqjg/）公布价格（当日无公布的，顺延至有公布日）为供货基准价格。没有公布价格的，以甲方周边主要的农贸市场等零售价作为供货基准价。</w:t>
      </w:r>
    </w:p>
    <w:p>
      <w:pPr>
        <w:pStyle w:val="null3"/>
        <w:ind w:firstLine="480"/>
        <w:jc w:val="both"/>
      </w:pPr>
      <w:r>
        <w:rPr>
          <w:sz w:val="24"/>
        </w:rPr>
        <w:t>3、甲方每月指定不少于 10 种食材（须包含肉类、蔬菜类以及干货调料类中主要采购的食材）的报价进行市场询价审核，乙方当期报价不得超出抽样食材供货基准价格</w:t>
      </w:r>
      <w:r>
        <w:rPr>
          <w:sz w:val="24"/>
        </w:rPr>
        <w:t>10</w:t>
      </w:r>
      <w:r>
        <w:rPr>
          <w:sz w:val="24"/>
        </w:rPr>
        <w:t>5%，否则在投标折扣率的基础上，按溢价食材占抽样食材的比例对相同比例的货款进行扣减，扣减率为抽样食材中的平均溢价率（示例：甲方当月抽取 10 种食材审核，其中 2 种食材报价超出基准价</w:t>
      </w:r>
      <w:r>
        <w:rPr>
          <w:sz w:val="24"/>
        </w:rPr>
        <w:t>10</w:t>
      </w:r>
      <w:r>
        <w:rPr>
          <w:sz w:val="24"/>
        </w:rPr>
        <w:t>5%，该 2 种溢价食材平均溢价率为 15%，溢价食材占抽样食材比例为 20%，则当月货款的 20% 部分按 15% 予以扣减，剩余 80% 货款按原结算价执行）。</w:t>
      </w:r>
    </w:p>
    <w:p>
      <w:pPr>
        <w:pStyle w:val="null3"/>
        <w:ind w:firstLine="480"/>
        <w:jc w:val="both"/>
      </w:pPr>
      <w:r>
        <w:rPr>
          <w:sz w:val="24"/>
        </w:rPr>
        <w:t>4、乙方未有报当月食材供货基准价格之前，以上月报价（合同履行首月参照当前市场价）计算甲方每日采购食材总价，以供甲方参考。</w:t>
      </w:r>
    </w:p>
    <w:p>
      <w:pPr>
        <w:pStyle w:val="null3"/>
        <w:ind w:firstLine="480"/>
        <w:jc w:val="both"/>
      </w:pPr>
      <w:r>
        <w:rPr>
          <w:sz w:val="24"/>
        </w:rPr>
        <w:t>5.乙方超过时间仍未上报最新报价的，即视为当月价格仍按照上月的计算。对未经确认的价格调增，均按原核定价结算。因不可抗力导致所供食材的市场价格上浮超过25%时，乙方可以书面形式向甲方提出调价申请，经甲方进行市场调查核定价后，方可按最新价格进行结算。</w:t>
      </w:r>
    </w:p>
    <w:p>
      <w:pPr>
        <w:pStyle w:val="null3"/>
        <w:ind w:firstLine="482"/>
      </w:pPr>
      <w:r>
        <w:rPr>
          <w:sz w:val="24"/>
          <w:b/>
          <w:color w:val="000000"/>
          <w:shd w:fill="FFFFFF" w:val="clear"/>
        </w:rPr>
        <w:t>六、付款方式</w:t>
      </w:r>
    </w:p>
    <w:p>
      <w:pPr>
        <w:pStyle w:val="null3"/>
        <w:ind w:firstLine="480"/>
      </w:pPr>
      <w:r>
        <w:rPr>
          <w:sz w:val="24"/>
          <w:color w:val="000000"/>
          <w:shd w:fill="FFFFFF" w:val="clear"/>
        </w:rPr>
        <w:t>1</w:t>
      </w:r>
      <w:r>
        <w:rPr>
          <w:sz w:val="24"/>
          <w:color w:val="000000"/>
          <w:shd w:fill="FFFFFF" w:val="clear"/>
        </w:rPr>
        <w:t>、</w:t>
      </w:r>
      <w:r>
        <w:rPr>
          <w:sz w:val="24"/>
          <w:color w:val="000000"/>
          <w:shd w:fill="FFFFFF" w:val="clear"/>
        </w:rPr>
        <w:t>货款按月度进行结算，实际结算金额</w:t>
      </w:r>
      <w:r>
        <w:rPr>
          <w:sz w:val="24"/>
          <w:color w:val="000000"/>
          <w:shd w:fill="FFFFFF" w:val="clear"/>
        </w:rPr>
        <w:t>=供货基准价×结算折扣率×食材供货量×（1-溢价食材占抽样食材比例×平均溢价率）。甲方收到乙方</w:t>
      </w:r>
      <w:r>
        <w:rPr>
          <w:sz w:val="24"/>
        </w:rPr>
        <w:t>收货凭证复印件、月结算清单</w:t>
      </w:r>
      <w:r>
        <w:rPr>
          <w:sz w:val="24"/>
        </w:rPr>
        <w:t>（</w:t>
      </w:r>
      <w:r>
        <w:rPr>
          <w:sz w:val="24"/>
        </w:rPr>
        <w:t>加盖乙方公章</w:t>
      </w:r>
      <w:r>
        <w:rPr>
          <w:sz w:val="24"/>
        </w:rPr>
        <w:t>）</w:t>
      </w:r>
      <w:r>
        <w:rPr>
          <w:sz w:val="24"/>
        </w:rPr>
        <w:t>和有效等额发票后，</w:t>
      </w:r>
      <w:r>
        <w:rPr>
          <w:sz w:val="24"/>
        </w:rPr>
        <w:t>15个工作日内以支票或</w:t>
      </w:r>
      <w:r>
        <w:rPr>
          <w:sz w:val="24"/>
        </w:rPr>
        <w:t>转账</w:t>
      </w:r>
      <w:r>
        <w:rPr>
          <w:sz w:val="24"/>
        </w:rPr>
        <w:t>付款方式结算</w:t>
      </w:r>
      <w:r>
        <w:rPr>
          <w:sz w:val="24"/>
          <w:color w:val="000000"/>
          <w:shd w:fill="FFFFFF" w:val="clear"/>
        </w:rPr>
        <w:t>。</w:t>
      </w:r>
    </w:p>
    <w:p>
      <w:pPr>
        <w:pStyle w:val="null3"/>
        <w:ind w:firstLine="480"/>
      </w:pPr>
      <w:r>
        <w:rPr>
          <w:sz w:val="24"/>
          <w:color w:val="000000"/>
          <w:shd w:fill="FFFFFF" w:val="clear"/>
        </w:rPr>
        <w:t>2、收款方、出具发票方、合同乙方均必须与乙方名称一致。</w:t>
      </w:r>
    </w:p>
    <w:p>
      <w:pPr>
        <w:pStyle w:val="null3"/>
        <w:ind w:firstLine="482"/>
        <w:jc w:val="both"/>
      </w:pPr>
      <w:r>
        <w:rPr>
          <w:sz w:val="24"/>
          <w:b/>
          <w:color w:val="000000"/>
          <w:shd w:fill="FFFFFF" w:val="clear"/>
        </w:rPr>
        <w:t>七、服务管理要求</w:t>
      </w:r>
    </w:p>
    <w:p>
      <w:pPr>
        <w:pStyle w:val="null3"/>
        <w:ind w:firstLine="480"/>
        <w:jc w:val="both"/>
      </w:pPr>
      <w:r>
        <w:rPr>
          <w:sz w:val="24"/>
        </w:rPr>
        <w:t>乙方在合同生效期间，如有以下行为之一的，将视为违约，甲方有权解除或终止中标合同，取消其中标服务供应资格：</w:t>
      </w:r>
    </w:p>
    <w:p>
      <w:pPr>
        <w:pStyle w:val="null3"/>
        <w:ind w:firstLine="480"/>
        <w:jc w:val="both"/>
      </w:pPr>
      <w:r>
        <w:rPr>
          <w:sz w:val="24"/>
        </w:rPr>
        <w:t>1、</w:t>
      </w:r>
      <w:r>
        <w:rPr>
          <w:sz w:val="24"/>
        </w:rPr>
        <w:t>乙方违反有关法律法规，受到有关行政主管部门吊销其营业执照等处罚的。</w:t>
      </w:r>
    </w:p>
    <w:p>
      <w:pPr>
        <w:pStyle w:val="null3"/>
        <w:ind w:firstLine="480"/>
        <w:jc w:val="both"/>
      </w:pPr>
      <w:r>
        <w:rPr>
          <w:sz w:val="24"/>
        </w:rPr>
        <w:t>2、如因乙方供应给甲方的供货的质量问题造成卫生安全事故的，追究乙方的一切责任，并终止采购合同。</w:t>
      </w:r>
    </w:p>
    <w:p>
      <w:pPr>
        <w:pStyle w:val="null3"/>
        <w:ind w:firstLine="480"/>
        <w:jc w:val="both"/>
      </w:pPr>
      <w:r>
        <w:rPr>
          <w:sz w:val="24"/>
        </w:rPr>
        <w:t>3、乙方违反了诚实信用和投标承诺，没有严格执行相关质量、服务和收费标准，损害甲方利益的。</w:t>
      </w:r>
    </w:p>
    <w:p>
      <w:pPr>
        <w:pStyle w:val="null3"/>
        <w:ind w:firstLine="480"/>
        <w:jc w:val="both"/>
      </w:pPr>
      <w:r>
        <w:rPr>
          <w:sz w:val="24"/>
        </w:rPr>
        <w:t>4、提供虚假信息，误导或欺骗甲方，以谋取非法利益的。</w:t>
      </w:r>
    </w:p>
    <w:p>
      <w:pPr>
        <w:pStyle w:val="null3"/>
        <w:ind w:firstLine="480"/>
        <w:jc w:val="both"/>
      </w:pPr>
      <w:r>
        <w:rPr>
          <w:sz w:val="24"/>
        </w:rPr>
        <w:t>5、非法获取与项目有关的任何非法利益的。</w:t>
      </w:r>
    </w:p>
    <w:p>
      <w:pPr>
        <w:pStyle w:val="null3"/>
        <w:ind w:firstLine="480"/>
        <w:jc w:val="both"/>
      </w:pPr>
      <w:r>
        <w:rPr>
          <w:sz w:val="24"/>
        </w:rPr>
        <w:t>6、拒绝接受相关部门监督和检查的。</w:t>
      </w:r>
    </w:p>
    <w:p>
      <w:pPr>
        <w:pStyle w:val="null3"/>
        <w:ind w:firstLine="480"/>
        <w:jc w:val="both"/>
      </w:pPr>
      <w:r>
        <w:rPr>
          <w:sz w:val="24"/>
        </w:rPr>
        <w:t>7、出现信用危机、财务危机、经营危机甚至破产、倒闭，无法继续履行合同的。</w:t>
      </w:r>
    </w:p>
    <w:p>
      <w:pPr>
        <w:pStyle w:val="null3"/>
        <w:ind w:firstLine="480"/>
        <w:jc w:val="both"/>
      </w:pPr>
      <w:r>
        <w:rPr>
          <w:sz w:val="24"/>
        </w:rPr>
        <w:t>8、乙方被有效投诉3次或造成安全</w:t>
      </w:r>
      <w:r>
        <w:rPr>
          <w:sz w:val="24"/>
        </w:rPr>
        <w:t>（</w:t>
      </w:r>
      <w:r>
        <w:rPr>
          <w:sz w:val="24"/>
        </w:rPr>
        <w:t>监管和食品卫生</w:t>
      </w:r>
      <w:r>
        <w:rPr>
          <w:sz w:val="24"/>
        </w:rPr>
        <w:t>）</w:t>
      </w:r>
      <w:r>
        <w:rPr>
          <w:sz w:val="24"/>
        </w:rPr>
        <w:t>事故的取消供应资格</w:t>
      </w:r>
      <w:r>
        <w:rPr>
          <w:sz w:val="24"/>
        </w:rPr>
        <w:t>。</w:t>
      </w:r>
    </w:p>
    <w:p>
      <w:pPr>
        <w:pStyle w:val="null3"/>
        <w:ind w:firstLine="482"/>
        <w:jc w:val="both"/>
      </w:pPr>
      <w:r>
        <w:rPr>
          <w:sz w:val="24"/>
          <w:b/>
          <w:color w:val="000000"/>
          <w:shd w:fill="FFFFFF" w:val="clear"/>
        </w:rPr>
        <w:t>八、食品溯源要求</w:t>
      </w:r>
    </w:p>
    <w:p>
      <w:pPr>
        <w:pStyle w:val="null3"/>
        <w:ind w:firstLine="480"/>
        <w:jc w:val="both"/>
      </w:pPr>
      <w:r>
        <w:rPr>
          <w:sz w:val="24"/>
        </w:rPr>
        <w:t>乙方对食品供应链进行明确，所有食品的来源必须清晰，包装食品要有</w:t>
      </w:r>
      <w:r>
        <w:rPr>
          <w:sz w:val="24"/>
        </w:rPr>
        <w:t>SC</w:t>
      </w:r>
      <w:r>
        <w:rPr>
          <w:sz w:val="24"/>
        </w:rPr>
        <w:t>标志。生产食品的源头与乙方要有固定的合法的供应关系，严禁收购非标准产品供应。交货时应提供本批次的出厂</w:t>
      </w:r>
      <w:r>
        <w:rPr>
          <w:sz w:val="24"/>
        </w:rPr>
        <w:t>（</w:t>
      </w:r>
      <w:r>
        <w:rPr>
          <w:sz w:val="24"/>
        </w:rPr>
        <w:t>库</w:t>
      </w:r>
      <w:r>
        <w:rPr>
          <w:sz w:val="24"/>
        </w:rPr>
        <w:t>）</w:t>
      </w:r>
      <w:r>
        <w:rPr>
          <w:sz w:val="24"/>
        </w:rPr>
        <w:t>产品合格证、检验单等相关票证。</w:t>
      </w:r>
    </w:p>
    <w:p>
      <w:pPr>
        <w:pStyle w:val="null3"/>
        <w:ind w:firstLine="482"/>
        <w:jc w:val="both"/>
      </w:pPr>
      <w:r>
        <w:rPr>
          <w:sz w:val="24"/>
          <w:b/>
          <w:color w:val="000000"/>
          <w:shd w:fill="FFFFFF" w:val="clear"/>
        </w:rPr>
        <w:t>九、质量及包装要求</w:t>
      </w:r>
    </w:p>
    <w:p>
      <w:pPr>
        <w:pStyle w:val="null3"/>
        <w:ind w:firstLine="480"/>
        <w:jc w:val="both"/>
      </w:pPr>
      <w:r>
        <w:rPr>
          <w:sz w:val="24"/>
        </w:rPr>
        <w:t>1、乙方应充分理解并认真遵循项目招标文件的要求，所提供的货物必须是满足招标文件要求。</w:t>
      </w:r>
    </w:p>
    <w:p>
      <w:pPr>
        <w:pStyle w:val="null3"/>
        <w:ind w:firstLine="480"/>
        <w:jc w:val="both"/>
      </w:pPr>
      <w:r>
        <w:rPr>
          <w:sz w:val="24"/>
        </w:rPr>
        <w:t>2、乙方供应的各类食品需符合国家《</w:t>
      </w:r>
      <w:r>
        <w:rPr>
          <w:sz w:val="24"/>
        </w:rPr>
        <w:t>中华人民共和国</w:t>
      </w:r>
      <w:r>
        <w:rPr>
          <w:sz w:val="24"/>
        </w:rPr>
        <w:t>产品质量法</w:t>
      </w:r>
      <w:r>
        <w:rPr>
          <w:sz w:val="24"/>
        </w:rPr>
        <w:t>》《中华人民共和国</w:t>
      </w:r>
      <w:r>
        <w:rPr>
          <w:sz w:val="24"/>
        </w:rPr>
        <w:t>食品安全法》等相关法律法规的要求，确保所供副食品优质新鲜，符合卫生防疫部门、检验检疫部门的各项合格指标，并有完整的销售合格标注或证书。</w:t>
      </w:r>
    </w:p>
    <w:p>
      <w:pPr>
        <w:pStyle w:val="null3"/>
        <w:ind w:firstLine="480"/>
        <w:jc w:val="both"/>
      </w:pPr>
      <w:r>
        <w:rPr>
          <w:sz w:val="24"/>
        </w:rPr>
        <w:t>3、如出现质量问题或保质期不足的情况，甲方有权拒绝接受所提供的物品或食品。若因食品质量引起食物中毒</w:t>
      </w:r>
      <w:r>
        <w:rPr>
          <w:sz w:val="24"/>
        </w:rPr>
        <w:t>（</w:t>
      </w:r>
      <w:r>
        <w:rPr>
          <w:sz w:val="24"/>
        </w:rPr>
        <w:t>经</w:t>
      </w:r>
      <w:r>
        <w:rPr>
          <w:sz w:val="24"/>
        </w:rPr>
        <w:t>市场监管</w:t>
      </w:r>
      <w:r>
        <w:rPr>
          <w:sz w:val="24"/>
        </w:rPr>
        <w:t>、卫生防疫部门鉴定</w:t>
      </w:r>
      <w:r>
        <w:rPr>
          <w:sz w:val="24"/>
        </w:rPr>
        <w:t>），</w:t>
      </w:r>
      <w:r>
        <w:rPr>
          <w:sz w:val="24"/>
        </w:rPr>
        <w:t>乙方应承担全部法律责任，甲方有权取消其供应资格。如果没有提及适用标准，则应符合中华人民共和国国家标准或行业标准；如果中华人民共和国没有相关标准的，则采用货物来源国适用的官方标准。这些标准必须是有关机构发布的最新版本的标准。</w:t>
      </w:r>
    </w:p>
    <w:p>
      <w:pPr>
        <w:pStyle w:val="null3"/>
        <w:ind w:firstLine="480"/>
        <w:jc w:val="both"/>
      </w:pPr>
      <w:r>
        <w:rPr>
          <w:sz w:val="24"/>
        </w:rPr>
        <w:t>4、货物有食用期限的，其剩余有食用期限不得少于标注有效期的</w:t>
      </w:r>
      <w:r>
        <w:rPr>
          <w:sz w:val="24"/>
        </w:rPr>
        <w:t>50%（如招标文件中其他货品保质期有其他明确要求的，从其规定）</w:t>
      </w:r>
      <w:r>
        <w:rPr>
          <w:sz w:val="24"/>
        </w:rPr>
        <w:t>。</w:t>
      </w:r>
    </w:p>
    <w:p>
      <w:pPr>
        <w:pStyle w:val="null3"/>
        <w:ind w:firstLine="480"/>
        <w:jc w:val="both"/>
      </w:pPr>
      <w:r>
        <w:rPr>
          <w:sz w:val="24"/>
        </w:rPr>
        <w:t>5、</w:t>
      </w:r>
      <w:r>
        <w:rPr>
          <w:sz w:val="24"/>
        </w:rPr>
        <w:t>货物有包装的，货物的包装必须完整清洁</w:t>
      </w:r>
      <w:r>
        <w:rPr>
          <w:sz w:val="24"/>
        </w:rPr>
        <w:t>（</w:t>
      </w:r>
      <w:r>
        <w:rPr>
          <w:sz w:val="24"/>
        </w:rPr>
        <w:t>无损、无污、无皱</w:t>
      </w:r>
      <w:r>
        <w:rPr>
          <w:sz w:val="24"/>
        </w:rPr>
        <w:t>），</w:t>
      </w:r>
      <w:r>
        <w:rPr>
          <w:sz w:val="24"/>
        </w:rPr>
        <w:t>甲方有权拒收包装不整齐、已拆封的商品。</w:t>
      </w:r>
    </w:p>
    <w:p>
      <w:pPr>
        <w:pStyle w:val="null3"/>
        <w:ind w:firstLine="480"/>
        <w:jc w:val="both"/>
      </w:pPr>
      <w:r>
        <w:rPr>
          <w:sz w:val="24"/>
        </w:rPr>
        <w:t>6、甲方发现商品出现损坏</w:t>
      </w:r>
      <w:r>
        <w:rPr>
          <w:sz w:val="24"/>
        </w:rPr>
        <w:t>（</w:t>
      </w:r>
      <w:r>
        <w:rPr>
          <w:sz w:val="24"/>
        </w:rPr>
        <w:t>包括表面损坏</w:t>
      </w:r>
      <w:r>
        <w:rPr>
          <w:sz w:val="24"/>
        </w:rPr>
        <w:t>），</w:t>
      </w:r>
      <w:r>
        <w:rPr>
          <w:sz w:val="24"/>
        </w:rPr>
        <w:t>或出现水渍、串味、受潮等导致货物性质改变的，乙方必须无条件退货或更换商品。</w:t>
      </w:r>
    </w:p>
    <w:p>
      <w:pPr>
        <w:pStyle w:val="null3"/>
        <w:ind w:firstLine="480"/>
        <w:jc w:val="both"/>
      </w:pPr>
      <w:r>
        <w:rPr>
          <w:sz w:val="24"/>
        </w:rPr>
        <w:t>7、乙方应能够配合甲方及时更新所提供的符合</w:t>
      </w:r>
      <w:r>
        <w:rPr>
          <w:sz w:val="24"/>
        </w:rPr>
        <w:t>市场</w:t>
      </w:r>
      <w:r>
        <w:rPr>
          <w:sz w:val="24"/>
        </w:rPr>
        <w:t>监</w:t>
      </w:r>
      <w:r>
        <w:rPr>
          <w:sz w:val="24"/>
        </w:rPr>
        <w:t>管</w:t>
      </w:r>
      <w:r>
        <w:rPr>
          <w:sz w:val="24"/>
        </w:rPr>
        <w:t>部门的有效证明材料，如有效的营业执照、产品合格证等。</w:t>
      </w:r>
    </w:p>
    <w:p>
      <w:pPr>
        <w:pStyle w:val="null3"/>
        <w:ind w:firstLine="482"/>
        <w:jc w:val="both"/>
      </w:pPr>
      <w:r>
        <w:rPr>
          <w:sz w:val="24"/>
          <w:b/>
          <w:color w:val="000000"/>
          <w:shd w:fill="FFFFFF" w:val="clear"/>
        </w:rPr>
        <w:t>十、配送服务要求</w:t>
      </w:r>
    </w:p>
    <w:p>
      <w:pPr>
        <w:pStyle w:val="null3"/>
        <w:ind w:firstLine="480"/>
        <w:jc w:val="both"/>
      </w:pPr>
      <w:r>
        <w:rPr>
          <w:sz w:val="24"/>
        </w:rPr>
        <w:t>1、乙方应当根据甲方实际情况，按照与甲方的约定，在规定的时间内将预定的货物如数送到指定地点。除发生客观不可抗力的情况外，乙方不得推迟送货。如确需延迟送货的，乙方应在得知情况的同时告知甲方并征得甲方同意，由于乙方延迟造成甲方利益受损的，甲方有权要求乙方赔偿。</w:t>
      </w:r>
    </w:p>
    <w:p>
      <w:pPr>
        <w:pStyle w:val="null3"/>
        <w:ind w:firstLine="480"/>
        <w:jc w:val="both"/>
      </w:pPr>
      <w:r>
        <w:rPr>
          <w:sz w:val="24"/>
        </w:rPr>
        <w:t>2、乙方应安排配送专员及专车负责送货，须向甲方提供相关资料进行备案，指定的配送专员必须穿着便于辨认的工衣和</w:t>
      </w:r>
      <w:r>
        <w:rPr>
          <w:sz w:val="24"/>
        </w:rPr>
        <w:t>佩戴</w:t>
      </w:r>
      <w:r>
        <w:rPr>
          <w:sz w:val="24"/>
        </w:rPr>
        <w:t>胸卡，且持有效餐饮从业人员健康证上岗。乙方必须为配送专员购买个人社保或商业意外险。配送专员在甲方指定范围内活动时必须严格遵守甲方的各项规章制度，不得有损甲方形象和利益。服务期间发生的一切工伤事故均由乙方自行承担责任，甲方不承担任何责任。</w:t>
      </w:r>
    </w:p>
    <w:p>
      <w:pPr>
        <w:pStyle w:val="null3"/>
        <w:ind w:firstLine="480"/>
        <w:jc w:val="both"/>
      </w:pPr>
      <w:r>
        <w:rPr>
          <w:sz w:val="24"/>
        </w:rPr>
        <w:t>3、</w:t>
      </w:r>
      <w:r>
        <w:rPr>
          <w:sz w:val="24"/>
        </w:rPr>
        <w:t>乙方负责货品的仓储，甲方不提供仓库。乙方须承诺准时送货到甲方指定地点，甲方不另行支付配送交通费。</w:t>
      </w:r>
    </w:p>
    <w:p>
      <w:pPr>
        <w:pStyle w:val="null3"/>
        <w:ind w:firstLine="480"/>
        <w:jc w:val="both"/>
      </w:pPr>
      <w:r>
        <w:rPr>
          <w:sz w:val="24"/>
        </w:rPr>
        <w:t>4、</w:t>
      </w:r>
      <w:r>
        <w:rPr>
          <w:sz w:val="24"/>
        </w:rPr>
        <w:t>乙方应根据甲方要求对指定食材进行免费粗加工，保证可食用率达</w:t>
      </w:r>
      <w:r>
        <w:rPr>
          <w:sz w:val="24"/>
        </w:rPr>
        <w:t>95%以上。</w:t>
      </w:r>
    </w:p>
    <w:p>
      <w:pPr>
        <w:pStyle w:val="null3"/>
        <w:ind w:firstLine="480"/>
        <w:jc w:val="both"/>
      </w:pPr>
      <w:r>
        <w:rPr>
          <w:sz w:val="24"/>
        </w:rPr>
        <w:t>5、</w:t>
      </w:r>
      <w:r>
        <w:rPr>
          <w:sz w:val="24"/>
        </w:rPr>
        <w:t>在甲方收货之前，货物的所有权和风险属于乙方，货物发生遗失、损坏由乙方负责。</w:t>
      </w:r>
    </w:p>
    <w:p>
      <w:pPr>
        <w:pStyle w:val="null3"/>
        <w:ind w:firstLine="480"/>
        <w:jc w:val="both"/>
      </w:pPr>
      <w:r>
        <w:rPr>
          <w:sz w:val="24"/>
        </w:rPr>
        <w:t>6、食材运输必须采用符合卫生要求的专用运载工具，要保持清洁和定期消毒。运输车厢的内仓应为抗腐蚀、防潮，防虫、防鼠的设计，车厢内无不良气味、异味。运输途中严防日晒、雨淋，注意通风散热；装卸应小心，严防机械损伤。</w:t>
      </w:r>
    </w:p>
    <w:p>
      <w:pPr>
        <w:pStyle w:val="null3"/>
        <w:ind w:firstLine="480"/>
        <w:jc w:val="both"/>
      </w:pPr>
      <w:r>
        <w:rPr>
          <w:sz w:val="24"/>
        </w:rPr>
        <w:t>7、所有食材必须使用专用冷藏、冷冻载具运输，并在整个运输过程中保持安全的冷藏、冷冻温度。食品堆放科学合理，避免造成食品的交叉污染。</w:t>
      </w:r>
    </w:p>
    <w:p>
      <w:pPr>
        <w:pStyle w:val="null3"/>
        <w:ind w:firstLine="482"/>
        <w:jc w:val="both"/>
      </w:pPr>
      <w:r>
        <w:rPr>
          <w:sz w:val="24"/>
          <w:b/>
          <w:color w:val="000000"/>
          <w:shd w:fill="FFFFFF" w:val="clear"/>
        </w:rPr>
        <w:t>十一、违约责任</w:t>
      </w:r>
    </w:p>
    <w:p>
      <w:pPr>
        <w:pStyle w:val="null3"/>
        <w:ind w:firstLine="480"/>
        <w:jc w:val="both"/>
      </w:pPr>
      <w:r>
        <w:rPr>
          <w:sz w:val="24"/>
        </w:rPr>
        <w:t>1、因乙方原因未按时提供物品或交货的数量、质量等不符合合同约定，使甲方遭受损失或因此扰乱正常管理秩序的，乙方承担相应的违约责任。如甲方仍然需要的，乙方应如数补交，并向甲方偿付逾期货物或少交部分货物总值的1%的违约金；如甲方不需要的，乙方应按逾期或少交部分货款总值的5%的违约金</w:t>
      </w:r>
      <w:r>
        <w:rPr>
          <w:sz w:val="24"/>
        </w:rPr>
        <w:t>。</w:t>
      </w:r>
    </w:p>
    <w:p>
      <w:pPr>
        <w:pStyle w:val="null3"/>
        <w:ind w:firstLine="480"/>
        <w:jc w:val="both"/>
      </w:pPr>
      <w:r>
        <w:rPr>
          <w:sz w:val="24"/>
        </w:rPr>
        <w:t>2、乙方出现供货能力不足的现象以至甲方有证据证明乙方无继续履约能力，或乙方擅自将与甲方签订的供货项目提供给其他供应商的，甲方有权终止合同。并要求乙方对其违约行为给甲方造成的损失进行赔偿。</w:t>
      </w:r>
    </w:p>
    <w:p>
      <w:pPr>
        <w:pStyle w:val="null3"/>
        <w:ind w:firstLine="480"/>
        <w:jc w:val="both"/>
      </w:pPr>
      <w:r>
        <w:rPr>
          <w:sz w:val="24"/>
        </w:rPr>
        <w:t>3、乙方交付的货品规格、卫生质量标准与合同规定不符时，甲方可以拒收，</w:t>
      </w:r>
      <w:r>
        <w:rPr>
          <w:sz w:val="24"/>
        </w:rPr>
        <w:t>乙方</w:t>
      </w:r>
      <w:r>
        <w:rPr>
          <w:sz w:val="24"/>
        </w:rPr>
        <w:t>向甲方偿付逾期货或少交部分货物总值的</w:t>
      </w:r>
      <w:r>
        <w:rPr>
          <w:sz w:val="24"/>
        </w:rPr>
        <w:t>5%的违约金。</w:t>
      </w:r>
    </w:p>
    <w:p>
      <w:pPr>
        <w:pStyle w:val="null3"/>
        <w:ind w:firstLine="480"/>
        <w:jc w:val="both"/>
      </w:pPr>
      <w:r>
        <w:rPr>
          <w:sz w:val="24"/>
        </w:rPr>
        <w:t>4、乙方如经有关部门证明确因不可抗力无法按时交货，甲方仍然需要乙方交货的，乙方可以迟延交货，不按违约处理。</w:t>
      </w:r>
    </w:p>
    <w:p>
      <w:pPr>
        <w:pStyle w:val="null3"/>
        <w:ind w:firstLine="480"/>
        <w:jc w:val="both"/>
      </w:pPr>
      <w:r>
        <w:rPr>
          <w:sz w:val="24"/>
        </w:rPr>
        <w:t>5、因食用乙方交来货品而导致人员食物中毒的，经卫生防疫部门确定为乙方责任的，乙方需承担全部费用及法律责任。</w:t>
      </w:r>
    </w:p>
    <w:p>
      <w:pPr>
        <w:pStyle w:val="null3"/>
        <w:ind w:firstLine="480"/>
        <w:jc w:val="both"/>
      </w:pPr>
      <w:r>
        <w:rPr>
          <w:sz w:val="24"/>
        </w:rPr>
        <w:t>6、乙方供应的货品若为国家公布的伪劣产品，乙方应无条件更换，并承担全部费用及法律责任。</w:t>
      </w:r>
    </w:p>
    <w:p>
      <w:pPr>
        <w:pStyle w:val="null3"/>
        <w:ind w:firstLine="480"/>
        <w:jc w:val="both"/>
      </w:pPr>
      <w:r>
        <w:rPr>
          <w:sz w:val="24"/>
          <w:color w:val="000000"/>
          <w:shd w:fill="FFFFFF" w:val="clear"/>
        </w:rPr>
        <w:t>7、甲方认为乙方供货质量与合同不符的，双方协商不成时，经鉴定乙方所供货品确为伪</w:t>
      </w:r>
      <w:r>
        <w:rPr>
          <w:sz w:val="24"/>
        </w:rPr>
        <w:t>劣商品的，甲方有权终止合同，乙方应承担货品的检测费用及违约费</w:t>
      </w:r>
      <w:r>
        <w:rPr>
          <w:sz w:val="24"/>
        </w:rPr>
        <w:t>。</w:t>
      </w:r>
    </w:p>
    <w:p>
      <w:pPr>
        <w:pStyle w:val="null3"/>
        <w:ind w:firstLine="482"/>
      </w:pPr>
      <w:r>
        <w:rPr>
          <w:sz w:val="24"/>
          <w:b/>
          <w:color w:val="000000"/>
          <w:shd w:fill="FFFFFF" w:val="clear"/>
        </w:rPr>
        <w:t>十二</w:t>
      </w:r>
      <w:r>
        <w:rPr>
          <w:sz w:val="24"/>
          <w:b/>
          <w:color w:val="000000"/>
          <w:shd w:fill="FFFFFF" w:val="clear"/>
        </w:rPr>
        <w:t>、履约保证金</w:t>
      </w:r>
    </w:p>
    <w:p>
      <w:pPr>
        <w:pStyle w:val="null3"/>
        <w:ind w:firstLine="480"/>
        <w:jc w:val="both"/>
      </w:pPr>
      <w:r>
        <w:rPr>
          <w:sz w:val="24"/>
        </w:rPr>
        <w:t>1、乙方在收到中标通知后20 个工作日内必须向甲方以银行转账、支票等方式缴纳履约担保金人民币</w:t>
      </w:r>
      <w:r>
        <w:rPr>
          <w:sz w:val="24"/>
        </w:rPr>
        <w:t>36.6</w:t>
      </w:r>
      <w:r>
        <w:rPr>
          <w:sz w:val="24"/>
        </w:rPr>
        <w:t>万元。如未能按时交纳履约保证金的，将被视作自动放弃中标资格。</w:t>
      </w:r>
    </w:p>
    <w:p>
      <w:pPr>
        <w:pStyle w:val="null3"/>
        <w:ind w:firstLine="480"/>
        <w:jc w:val="both"/>
      </w:pPr>
      <w:r>
        <w:rPr>
          <w:sz w:val="24"/>
        </w:rPr>
        <w:t>2、乙方如出现违约、出现被扣罚情况或因过失导致</w:t>
      </w:r>
      <w:r>
        <w:rPr>
          <w:sz w:val="24"/>
        </w:rPr>
        <w:t>甲方</w:t>
      </w:r>
      <w:r>
        <w:rPr>
          <w:sz w:val="24"/>
        </w:rPr>
        <w:t>或第三方损失时，甲方可随时对履约保证金进行处置、扣减，履约保证金不足以抵偿甲方或第三方损失时，甲方还有权继续对乙方进行追讨。</w:t>
      </w:r>
    </w:p>
    <w:p>
      <w:pPr>
        <w:pStyle w:val="null3"/>
        <w:ind w:firstLine="480"/>
        <w:jc w:val="both"/>
      </w:pPr>
      <w:r>
        <w:rPr>
          <w:sz w:val="24"/>
        </w:rPr>
        <w:t>3、因处置、扣减履约保证金而使履约保证金数额没达到本项目要求时，甲方有权向乙方收取补足。乙方须在接到甲方通知的 5 个工作日内补足履约保证金，乙方未按时补足履约保证金的，甲方有权解除合同，并没收余下履约保证金。</w:t>
      </w:r>
    </w:p>
    <w:p>
      <w:pPr>
        <w:pStyle w:val="null3"/>
        <w:ind w:firstLine="480"/>
      </w:pPr>
      <w:r>
        <w:rPr>
          <w:sz w:val="24"/>
          <w:color w:val="000000"/>
          <w:shd w:fill="FFFFFF" w:val="clear"/>
        </w:rPr>
        <w:t>4、合同期满，履约保证金如没发生</w:t>
      </w:r>
      <w:r>
        <w:rPr>
          <w:sz w:val="24"/>
          <w:color w:val="000000"/>
          <w:shd w:fill="FFFFFF" w:val="clear"/>
        </w:rPr>
        <w:t>扣</w:t>
      </w:r>
      <w:r>
        <w:rPr>
          <w:sz w:val="24"/>
          <w:color w:val="000000"/>
          <w:shd w:fill="FFFFFF" w:val="clear"/>
        </w:rPr>
        <w:t>款和没收，乙方如期履约合同，保证金将于合同期满之日起</w:t>
      </w:r>
      <w:r>
        <w:rPr>
          <w:sz w:val="24"/>
          <w:color w:val="000000"/>
          <w:shd w:fill="FFFFFF" w:val="clear"/>
        </w:rPr>
        <w:t>10个工作日内将按合同要求完成项目工作后由甲方无息返还。</w:t>
      </w:r>
    </w:p>
    <w:p>
      <w:pPr>
        <w:pStyle w:val="null3"/>
        <w:ind w:firstLine="480"/>
      </w:pPr>
      <w:r>
        <w:rPr>
          <w:sz w:val="24"/>
          <w:color w:val="000000"/>
          <w:shd w:fill="FFFFFF" w:val="clear"/>
        </w:rPr>
        <w:t>5、履约保证金可以以支票、汇票、本票或者金融机构、担保机构出具的保函等非现金形式缴纳或提交。</w:t>
      </w:r>
    </w:p>
    <w:p>
      <w:pPr>
        <w:pStyle w:val="null3"/>
        <w:ind w:firstLine="480"/>
      </w:pPr>
      <w:r>
        <w:rPr>
          <w:sz w:val="24"/>
          <w:color w:val="000000"/>
          <w:shd w:fill="FFFFFF" w:val="clear"/>
        </w:rPr>
        <w:t>6、缴费账号信息</w:t>
      </w:r>
    </w:p>
    <w:p>
      <w:pPr>
        <w:pStyle w:val="null3"/>
        <w:ind w:firstLine="480"/>
      </w:pPr>
      <w:r>
        <w:rPr>
          <w:sz w:val="24"/>
          <w:color w:val="000000"/>
          <w:shd w:fill="FFFFFF" w:val="clear"/>
        </w:rPr>
        <w:t>账号：</w:t>
      </w:r>
      <w:r>
        <w:rPr>
          <w:sz w:val="24"/>
          <w:color w:val="000000"/>
          <w:shd w:fill="FFFFFF" w:val="clear"/>
        </w:rPr>
        <w:t>44001667238050708695</w:t>
      </w:r>
    </w:p>
    <w:p>
      <w:pPr>
        <w:pStyle w:val="null3"/>
        <w:ind w:firstLine="480"/>
      </w:pPr>
      <w:r>
        <w:rPr>
          <w:sz w:val="24"/>
          <w:color w:val="000000"/>
          <w:shd w:fill="FFFFFF" w:val="clear"/>
        </w:rPr>
        <w:t>户名：广东省第二荣军优抚医院</w:t>
      </w:r>
    </w:p>
    <w:p>
      <w:pPr>
        <w:pStyle w:val="null3"/>
        <w:ind w:firstLine="480"/>
      </w:pPr>
      <w:r>
        <w:rPr>
          <w:sz w:val="24"/>
          <w:color w:val="000000"/>
          <w:shd w:fill="FFFFFF" w:val="clear"/>
        </w:rPr>
        <w:t>开户行：中国建设银行佛山市西樵支行</w:t>
      </w:r>
    </w:p>
    <w:p>
      <w:pPr>
        <w:pStyle w:val="null3"/>
        <w:ind w:firstLine="482"/>
      </w:pPr>
      <w:r>
        <w:rPr>
          <w:sz w:val="24"/>
          <w:b/>
          <w:color w:val="000000"/>
          <w:shd w:fill="FFFFFF" w:val="clear"/>
        </w:rPr>
        <w:t>十三</w:t>
      </w:r>
      <w:r>
        <w:rPr>
          <w:sz w:val="24"/>
          <w:b/>
          <w:color w:val="000000"/>
          <w:shd w:fill="FFFFFF" w:val="clear"/>
        </w:rPr>
        <w:t>、考核标准</w:t>
      </w:r>
    </w:p>
    <w:p>
      <w:pPr>
        <w:pStyle w:val="null3"/>
        <w:ind w:firstLine="480"/>
        <w:jc w:val="both"/>
      </w:pPr>
      <w:r>
        <w:rPr>
          <w:sz w:val="24"/>
        </w:rPr>
        <w:t>甲方</w:t>
      </w:r>
      <w:r>
        <w:rPr>
          <w:sz w:val="24"/>
        </w:rPr>
        <w:t>每月组织考核验收小组对</w:t>
      </w:r>
      <w:r>
        <w:rPr>
          <w:sz w:val="24"/>
        </w:rPr>
        <w:t>乙方</w:t>
      </w:r>
      <w:r>
        <w:rPr>
          <w:sz w:val="24"/>
        </w:rPr>
        <w:t>食材供应服务进行</w:t>
      </w:r>
      <w:r>
        <w:rPr>
          <w:sz w:val="24"/>
        </w:rPr>
        <w:t>1次履约的考核、评估，评估采取市场调查、货品比较、现场考察服务质量等方式进行，具体内容见《月度食材供应服务考核评分表》。</w:t>
      </w:r>
    </w:p>
    <w:p>
      <w:pPr>
        <w:pStyle w:val="null3"/>
        <w:jc w:val="center"/>
      </w:pPr>
      <w:r>
        <w:rPr>
          <w:sz w:val="24"/>
        </w:rPr>
        <w:t>月度食材供应服务考核评分表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841"/>
        <w:gridCol w:w="787"/>
        <w:gridCol w:w="637"/>
        <w:gridCol w:w="3976"/>
        <w:gridCol w:w="1004"/>
        <w:gridCol w:w="1031"/>
      </w:tblGrid>
      <w:tr>
        <w:tc>
          <w:tcPr>
            <w:tcW w:type="dxa" w:w="841"/>
            <w:tcBorders>
              <w:top w:val="single" w:color="000000" w:sz="4"/>
              <w:left w:val="single" w:color="000000" w:sz="4"/>
              <w:bottom w:val="single" w:color="000000" w:sz="4"/>
              <w:right w:val="single" w:color="000000" w:sz="4"/>
            </w:tcBorders>
            <w:shd w:fill="EDEDED"/>
            <w:tcMar>
              <w:top w:type="dxa" w:w="0"/>
              <w:left w:type="dxa" w:w="0"/>
              <w:bottom w:type="dxa" w:w="0"/>
              <w:right w:type="dxa" w:w="0"/>
            </w:tcMar>
            <w:vAlign w:val="top"/>
          </w:tcPr>
          <w:p>
            <w:pPr>
              <w:pStyle w:val="null3"/>
              <w:jc w:val="center"/>
            </w:pPr>
            <w:r>
              <w:rPr>
                <w:sz w:val="24"/>
                <w:b/>
              </w:rPr>
              <w:t>项目</w:t>
            </w:r>
          </w:p>
        </w:tc>
        <w:tc>
          <w:tcPr>
            <w:tcW w:type="dxa" w:w="787"/>
            <w:tcBorders>
              <w:top w:val="single" w:color="000000" w:sz="4"/>
              <w:left w:val="single" w:color="000000" w:sz="4"/>
              <w:bottom w:val="single" w:color="000000" w:sz="4"/>
              <w:right w:val="single" w:color="000000" w:sz="4"/>
            </w:tcBorders>
            <w:shd w:fill="EDEDED"/>
            <w:tcMar>
              <w:top w:type="dxa" w:w="0"/>
              <w:left w:type="dxa" w:w="0"/>
              <w:bottom w:type="dxa" w:w="0"/>
              <w:right w:type="dxa" w:w="0"/>
            </w:tcMar>
            <w:vAlign w:val="top"/>
          </w:tcPr>
          <w:p>
            <w:pPr>
              <w:pStyle w:val="null3"/>
              <w:jc w:val="center"/>
            </w:pPr>
            <w:r>
              <w:rPr>
                <w:sz w:val="24"/>
                <w:b/>
              </w:rPr>
              <w:t>序号</w:t>
            </w:r>
          </w:p>
        </w:tc>
        <w:tc>
          <w:tcPr>
            <w:tcW w:type="dxa" w:w="637"/>
            <w:tcBorders>
              <w:top w:val="single" w:color="000000" w:sz="4"/>
              <w:left w:val="single" w:color="000000" w:sz="4"/>
              <w:bottom w:val="single" w:color="000000" w:sz="4"/>
              <w:right w:val="single" w:color="000000" w:sz="4"/>
            </w:tcBorders>
            <w:shd w:fill="EDEDED"/>
            <w:tcMar>
              <w:top w:type="dxa" w:w="0"/>
              <w:left w:type="dxa" w:w="0"/>
              <w:bottom w:type="dxa" w:w="0"/>
              <w:right w:type="dxa" w:w="0"/>
            </w:tcMar>
            <w:vAlign w:val="top"/>
          </w:tcPr>
          <w:p>
            <w:pPr>
              <w:pStyle w:val="null3"/>
              <w:spacing w:before="195"/>
              <w:jc w:val="center"/>
            </w:pPr>
            <w:r>
              <w:rPr>
                <w:sz w:val="24"/>
                <w:b/>
              </w:rPr>
              <w:t>分值</w:t>
            </w:r>
          </w:p>
        </w:tc>
        <w:tc>
          <w:tcPr>
            <w:tcW w:type="dxa" w:w="3976"/>
            <w:tcBorders>
              <w:top w:val="single" w:color="000000" w:sz="4"/>
              <w:left w:val="single" w:color="000000" w:sz="4"/>
              <w:bottom w:val="single" w:color="000000" w:sz="4"/>
              <w:right w:val="single" w:color="000000" w:sz="4"/>
            </w:tcBorders>
            <w:shd w:fill="EDEDED"/>
            <w:tcMar>
              <w:top w:type="dxa" w:w="0"/>
              <w:left w:type="dxa" w:w="0"/>
              <w:bottom w:type="dxa" w:w="0"/>
              <w:right w:type="dxa" w:w="0"/>
            </w:tcMar>
            <w:vAlign w:val="top"/>
          </w:tcPr>
          <w:p>
            <w:pPr>
              <w:pStyle w:val="null3"/>
              <w:spacing w:before="195"/>
              <w:jc w:val="center"/>
            </w:pPr>
            <w:r>
              <w:rPr>
                <w:sz w:val="24"/>
                <w:b/>
              </w:rPr>
              <w:t>考核细则</w:t>
            </w:r>
          </w:p>
        </w:tc>
        <w:tc>
          <w:tcPr>
            <w:tcW w:type="dxa" w:w="1004"/>
            <w:tcBorders>
              <w:top w:val="single" w:color="000000" w:sz="4"/>
              <w:left w:val="single" w:color="000000" w:sz="4"/>
              <w:bottom w:val="single" w:color="000000" w:sz="4"/>
              <w:right w:val="single" w:color="000000" w:sz="4"/>
            </w:tcBorders>
            <w:shd w:fill="EDEDED"/>
            <w:tcMar>
              <w:top w:type="dxa" w:w="0"/>
              <w:left w:type="dxa" w:w="0"/>
              <w:bottom w:type="dxa" w:w="0"/>
              <w:right w:type="dxa" w:w="0"/>
            </w:tcMar>
            <w:vAlign w:val="top"/>
          </w:tcPr>
          <w:p>
            <w:pPr>
              <w:pStyle w:val="null3"/>
              <w:spacing w:before="195"/>
              <w:ind w:left="195"/>
              <w:jc w:val="center"/>
            </w:pPr>
            <w:r>
              <w:rPr>
                <w:sz w:val="24"/>
                <w:b/>
              </w:rPr>
              <w:t>扣分值</w:t>
            </w:r>
          </w:p>
        </w:tc>
        <w:tc>
          <w:tcPr>
            <w:tcW w:type="dxa" w:w="1031"/>
            <w:tcBorders>
              <w:top w:val="single" w:color="000000" w:sz="4"/>
              <w:left w:val="single" w:color="000000" w:sz="4"/>
              <w:bottom w:val="single" w:color="000000" w:sz="4"/>
              <w:right w:val="single" w:color="000000" w:sz="4"/>
            </w:tcBorders>
            <w:shd w:fill="EDEDED"/>
            <w:tcMar>
              <w:top w:type="dxa" w:w="0"/>
              <w:left w:type="dxa" w:w="0"/>
              <w:bottom w:type="dxa" w:w="0"/>
              <w:right w:type="dxa" w:w="0"/>
            </w:tcMar>
            <w:vAlign w:val="top"/>
          </w:tcPr>
          <w:p>
            <w:pPr>
              <w:pStyle w:val="null3"/>
              <w:spacing w:before="195"/>
              <w:jc w:val="center"/>
            </w:pPr>
            <w:r>
              <w:rPr>
                <w:sz w:val="24"/>
                <w:b/>
              </w:rPr>
              <w:t>备</w:t>
            </w:r>
            <w:r>
              <w:rPr/>
              <w:t xml:space="preserve">  </w:t>
            </w:r>
            <w:r>
              <w:rPr>
                <w:sz w:val="24"/>
                <w:b/>
              </w:rPr>
              <w:t>注</w:t>
            </w:r>
          </w:p>
        </w:tc>
      </w:tr>
      <w:tr>
        <w:tc>
          <w:tcPr>
            <w:tcW w:type="dxa" w:w="8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价格</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pPr>
            <w:r>
              <w:rPr>
                <w:sz w:val="24"/>
              </w:rPr>
              <w:t>1</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80"/>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80"/>
              <w:jc w:val="left"/>
            </w:pPr>
            <w:r>
              <w:rPr>
                <w:sz w:val="24"/>
              </w:rPr>
              <w:t>未按定价方式及核扣货款相关规定结算，每发现一项次扣</w:t>
            </w:r>
            <w:r>
              <w:rPr>
                <w:sz w:val="24"/>
              </w:rPr>
              <w:t>5</w:t>
            </w:r>
            <w:r>
              <w:rPr>
                <w:sz w:val="24"/>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2</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left"/>
            </w:pPr>
            <w:r>
              <w:rPr>
                <w:sz w:val="24"/>
              </w:rPr>
              <w:t>未按合同约定时限或要求提交食材报价的，扣</w:t>
            </w:r>
            <w:r>
              <w:rPr/>
              <w:t xml:space="preserve"> </w:t>
            </w:r>
            <w:r>
              <w:rPr>
                <w:sz w:val="24"/>
              </w:rPr>
              <w:t>5</w:t>
            </w:r>
            <w:r>
              <w:rPr/>
              <w:t xml:space="preserve"> </w:t>
            </w:r>
            <w:r>
              <w:rPr>
                <w:sz w:val="24"/>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交货</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105"/>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right="105"/>
              <w:jc w:val="left"/>
            </w:pPr>
            <w:r>
              <w:rPr>
                <w:sz w:val="24"/>
              </w:rPr>
              <w:t>违反响应文件和合同的规定，擅自更改供应货物品牌</w:t>
            </w:r>
            <w:r>
              <w:rPr>
                <w:sz w:val="24"/>
              </w:rPr>
              <w:t>、规格和</w:t>
            </w:r>
            <w:r>
              <w:rPr>
                <w:sz w:val="24"/>
              </w:rPr>
              <w:t>质量的，每项次扣</w:t>
            </w:r>
            <w:r>
              <w:rPr>
                <w:sz w:val="24"/>
              </w:rPr>
              <w:t>5</w:t>
            </w:r>
            <w:r>
              <w:rPr>
                <w:sz w:val="24"/>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4</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left"/>
            </w:pPr>
            <w:r>
              <w:rPr>
                <w:sz w:val="24"/>
              </w:rPr>
              <w:t>未按用户方采购计划的品种、数量、时间供货</w:t>
            </w:r>
            <w:r>
              <w:rPr>
                <w:sz w:val="24"/>
              </w:rPr>
              <w:t>的，每发生一次</w:t>
            </w:r>
            <w:r>
              <w:rPr/>
              <w:t xml:space="preserve"> </w:t>
            </w:r>
            <w:r>
              <w:rPr>
                <w:sz w:val="24"/>
              </w:rPr>
              <w:t>扣</w:t>
            </w:r>
            <w:r>
              <w:rPr/>
              <w:t xml:space="preserve"> </w:t>
            </w:r>
            <w:r>
              <w:rPr>
                <w:sz w:val="24"/>
              </w:rPr>
              <w:t>5</w:t>
            </w:r>
            <w:r>
              <w:rPr/>
              <w:t xml:space="preserve"> </w:t>
            </w:r>
            <w:r>
              <w:rPr>
                <w:sz w:val="24"/>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5</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left"/>
            </w:pPr>
            <w:r>
              <w:rPr>
                <w:sz w:val="24"/>
              </w:rPr>
              <w:t>违反招响应文件和合同的规定，擅自更改运送人员的</w:t>
            </w:r>
            <w:r>
              <w:rPr>
                <w:sz w:val="24"/>
              </w:rPr>
              <w:t>，每次扣</w:t>
            </w:r>
          </w:p>
          <w:p>
            <w:pPr>
              <w:pStyle w:val="null3"/>
              <w:spacing w:before="105"/>
              <w:ind w:left="120"/>
              <w:jc w:val="left"/>
            </w:pPr>
            <w:r>
              <w:rPr>
                <w:sz w:val="24"/>
              </w:rPr>
              <w:t>5</w:t>
            </w:r>
            <w:r>
              <w:rPr/>
              <w:t xml:space="preserve"> </w:t>
            </w:r>
            <w:r>
              <w:rPr>
                <w:sz w:val="24"/>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6</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jc w:val="center"/>
            </w:pPr>
            <w:r>
              <w:rPr>
                <w:sz w:val="24"/>
              </w:rPr>
              <w:t>10</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jc w:val="left"/>
            </w:pPr>
            <w:r>
              <w:rPr>
                <w:sz w:val="24"/>
              </w:rPr>
              <w:t>提供虚假检验报告等相关票证的，每发现一项次</w:t>
            </w:r>
            <w:r>
              <w:rPr>
                <w:sz w:val="24"/>
              </w:rPr>
              <w:t>扣</w:t>
            </w:r>
            <w:r>
              <w:rPr>
                <w:sz w:val="24"/>
              </w:rPr>
              <w:t>10</w:t>
            </w:r>
            <w:r>
              <w:rPr>
                <w:sz w:val="24"/>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7</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jc w:val="left"/>
            </w:pPr>
            <w:r>
              <w:rPr>
                <w:sz w:val="24"/>
              </w:rPr>
              <w:t>未及时按要求随货提供相关票证的，每项次扣</w:t>
            </w:r>
            <w:r>
              <w:rPr>
                <w:sz w:val="24"/>
              </w:rPr>
              <w:t>5</w:t>
            </w:r>
            <w:r>
              <w:rPr/>
              <w:t xml:space="preserve"> </w:t>
            </w:r>
            <w:r>
              <w:rPr>
                <w:sz w:val="24"/>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8</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left"/>
            </w:pPr>
            <w:r>
              <w:rPr>
                <w:sz w:val="24"/>
              </w:rPr>
              <w:t>未按用户方指定秩序卸货的，每次扣</w:t>
            </w:r>
            <w:r>
              <w:rPr/>
              <w:t xml:space="preserve"> </w:t>
            </w:r>
            <w:r>
              <w:rPr>
                <w:sz w:val="24"/>
              </w:rPr>
              <w:t>5</w:t>
            </w:r>
            <w:r>
              <w:rPr/>
              <w:t xml:space="preserve"> </w:t>
            </w:r>
            <w:r>
              <w:rPr>
                <w:sz w:val="24"/>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9</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left"/>
            </w:pPr>
            <w:r>
              <w:rPr>
                <w:sz w:val="24"/>
              </w:rPr>
              <w:t>发生退货情况，造成用户方伙食无法按时供应</w:t>
            </w:r>
            <w:r>
              <w:rPr>
                <w:sz w:val="24"/>
              </w:rPr>
              <w:t>的，每发生一次</w:t>
            </w:r>
            <w:r>
              <w:rPr/>
              <w:t xml:space="preserve"> </w:t>
            </w:r>
            <w:r>
              <w:rPr>
                <w:sz w:val="24"/>
              </w:rPr>
              <w:t>扣</w:t>
            </w:r>
            <w:r>
              <w:rPr/>
              <w:t xml:space="preserve"> </w:t>
            </w:r>
            <w:r>
              <w:rPr>
                <w:sz w:val="24"/>
              </w:rPr>
              <w:t>5分；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质量</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10</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left"/>
            </w:pPr>
            <w:r>
              <w:rPr>
                <w:sz w:val="24"/>
              </w:rPr>
              <w:t>同一品种货物一次（含本数）以上发现质量不合格（或产品使</w:t>
            </w:r>
            <w:r>
              <w:rPr/>
              <w:t xml:space="preserve"> </w:t>
            </w:r>
            <w:r>
              <w:rPr>
                <w:sz w:val="24"/>
              </w:rPr>
              <w:t>用率不符合响应文件和合同的规定）产品的，每拒收一次扣</w:t>
            </w:r>
            <w:r>
              <w:rPr/>
              <w:t xml:space="preserve"> </w:t>
            </w:r>
            <w:r>
              <w:rPr>
                <w:sz w:val="24"/>
              </w:rPr>
              <w:t>5</w:t>
            </w:r>
            <w:r>
              <w:rPr/>
              <w:t xml:space="preserve"> </w:t>
            </w:r>
            <w:r>
              <w:rPr>
                <w:sz w:val="24"/>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11</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left"/>
            </w:pPr>
            <w:r>
              <w:rPr>
                <w:sz w:val="24"/>
              </w:rPr>
              <w:t>把用户方验收不合格退货的货物重新配送给用户方的</w:t>
            </w:r>
            <w:r>
              <w:rPr>
                <w:sz w:val="24"/>
              </w:rPr>
              <w:t>，每发现</w:t>
            </w:r>
            <w:r>
              <w:rPr>
                <w:sz w:val="24"/>
              </w:rPr>
              <w:t xml:space="preserve"> </w:t>
            </w:r>
            <w:r>
              <w:rPr>
                <w:sz w:val="24"/>
              </w:rPr>
              <w:t>一次扣</w:t>
            </w:r>
            <w:r>
              <w:rPr/>
              <w:t xml:space="preserve"> </w:t>
            </w:r>
            <w:r>
              <w:rPr>
                <w:sz w:val="24"/>
              </w:rPr>
              <w:t>5分；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12</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left"/>
            </w:pPr>
            <w:r>
              <w:rPr>
                <w:sz w:val="24"/>
              </w:rPr>
              <w:t>乙方在包装、运输、装卸等环节不符合食品卫生要求或不符合</w:t>
            </w:r>
            <w:r>
              <w:rPr/>
              <w:t xml:space="preserve"> </w:t>
            </w:r>
            <w:r>
              <w:rPr>
                <w:sz w:val="24"/>
              </w:rPr>
              <w:t>响应文件和合同的规定的，每发现一次扣</w:t>
            </w:r>
            <w:r>
              <w:rPr>
                <w:sz w:val="24"/>
              </w:rPr>
              <w:t>5</w:t>
            </w:r>
            <w:r>
              <w:rPr/>
              <w:t xml:space="preserve"> </w:t>
            </w:r>
            <w:r>
              <w:rPr>
                <w:sz w:val="24"/>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13</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105"/>
              <w:jc w:val="left"/>
            </w:pPr>
            <w:r>
              <w:rPr>
                <w:sz w:val="24"/>
              </w:rPr>
              <w:t>货物出现质量问题，乙方不积极配合查找原因，不及时反馈处</w:t>
            </w:r>
            <w:r>
              <w:rPr/>
              <w:t xml:space="preserve"> </w:t>
            </w:r>
            <w:r>
              <w:rPr>
                <w:sz w:val="24"/>
              </w:rPr>
              <w:t>理结果的，每次扣</w:t>
            </w:r>
            <w:r>
              <w:rPr/>
              <w:t xml:space="preserve"> </w:t>
            </w:r>
            <w:r>
              <w:rPr>
                <w:sz w:val="24"/>
              </w:rPr>
              <w:t>5分；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14</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left"/>
            </w:pPr>
            <w:r>
              <w:rPr>
                <w:sz w:val="24"/>
              </w:rPr>
              <w:t>对用户方提出的合理建议未能在约定期限内回复的，每次扣</w:t>
            </w:r>
          </w:p>
          <w:p>
            <w:pPr>
              <w:pStyle w:val="null3"/>
              <w:spacing w:before="105"/>
              <w:ind w:left="135"/>
              <w:jc w:val="left"/>
            </w:pPr>
            <w:r>
              <w:rPr>
                <w:sz w:val="24"/>
              </w:rPr>
              <w:t>5</w:t>
            </w:r>
            <w:r>
              <w:rPr>
                <w:sz w:val="24"/>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15</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45"/>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45"/>
              <w:jc w:val="left"/>
            </w:pPr>
            <w:r>
              <w:rPr>
                <w:sz w:val="24"/>
              </w:rPr>
              <w:t>乙方组织机构发生调整，或经营场所、联系</w:t>
            </w:r>
            <w:r>
              <w:rPr>
                <w:sz w:val="24"/>
              </w:rPr>
              <w:t>人、联系方式变更，</w:t>
            </w:r>
            <w:r>
              <w:rPr>
                <w:sz w:val="24"/>
              </w:rPr>
              <w:t>未及时通知用户方，造成无法及时联系的，每</w:t>
            </w:r>
            <w:r>
              <w:rPr>
                <w:sz w:val="24"/>
              </w:rPr>
              <w:t>次扣</w:t>
            </w:r>
            <w:r>
              <w:rPr/>
              <w:t xml:space="preserve"> </w:t>
            </w:r>
            <w:r>
              <w:rPr>
                <w:sz w:val="24"/>
              </w:rPr>
              <w:t>5</w:t>
            </w:r>
            <w:r>
              <w:rPr/>
              <w:t xml:space="preserve"> </w:t>
            </w:r>
            <w:r>
              <w:rPr>
                <w:sz w:val="24"/>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16</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35"/>
              <w:jc w:val="left"/>
            </w:pPr>
            <w:r>
              <w:rPr>
                <w:sz w:val="24"/>
              </w:rPr>
              <w:t>乙方工作人员不遵守用户方各项管理规定每次扣</w:t>
            </w:r>
            <w:r>
              <w:rPr/>
              <w:t xml:space="preserve"> </w:t>
            </w:r>
            <w:r>
              <w:rPr>
                <w:sz w:val="24"/>
              </w:rPr>
              <w:t>5</w:t>
            </w:r>
            <w:r>
              <w:rPr/>
              <w:t xml:space="preserve"> </w:t>
            </w:r>
            <w:r>
              <w:rPr>
                <w:sz w:val="24"/>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其它</w:t>
            </w: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45"/>
            </w:pPr>
            <w:r>
              <w:rPr>
                <w:sz w:val="24"/>
              </w:rPr>
              <w:t>17</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left"/>
            </w:pPr>
            <w:r>
              <w:rPr>
                <w:sz w:val="24"/>
              </w:rPr>
              <w:t>随机抽查时无配送货验收监控记录扣</w:t>
            </w:r>
            <w:r>
              <w:rPr/>
              <w:t xml:space="preserve"> </w:t>
            </w:r>
            <w:r>
              <w:rPr>
                <w:sz w:val="24"/>
              </w:rPr>
              <w:t>5</w:t>
            </w:r>
            <w:r>
              <w:rPr/>
              <w:t xml:space="preserve"> </w:t>
            </w:r>
            <w:r>
              <w:rPr>
                <w:sz w:val="24"/>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4"/>
              </w:rPr>
              <w:t>18</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left"/>
            </w:pPr>
            <w:r>
              <w:rPr>
                <w:sz w:val="24"/>
              </w:rPr>
              <w:t>无正当理由</w:t>
            </w:r>
            <w:r>
              <w:rPr>
                <w:sz w:val="24"/>
              </w:rPr>
              <w:t>合理的食材前处理要求无法满足</w:t>
            </w:r>
            <w:r>
              <w:rPr>
                <w:sz w:val="24"/>
              </w:rPr>
              <w:t>每次</w:t>
            </w:r>
            <w:r>
              <w:rPr>
                <w:sz w:val="24"/>
              </w:rPr>
              <w:t>扣</w:t>
            </w:r>
            <w:r>
              <w:rPr>
                <w:sz w:val="24"/>
              </w:rPr>
              <w:t>5 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20"/>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41"/>
            <w:vMerge/>
            <w:tcBorders>
              <w:top w:val="none" w:color="000000" w:sz="4"/>
              <w:left w:val="single" w:color="000000" w:sz="4"/>
              <w:bottom w:val="single" w:color="000000" w:sz="4"/>
              <w:right w:val="single" w:color="000000" w:sz="4"/>
            </w:tcBorders>
          </w:tcPr>
          <w:p/>
        </w:tc>
        <w:tc>
          <w:tcPr>
            <w:tcW w:type="dxa" w:w="7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19</w:t>
            </w:r>
          </w:p>
        </w:tc>
        <w:tc>
          <w:tcPr>
            <w:tcW w:type="dxa" w:w="6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39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300"/>
              <w:jc w:val="left"/>
            </w:pPr>
            <w:r>
              <w:rPr>
                <w:sz w:val="24"/>
              </w:rPr>
              <w:t>应急响应处理无法在半小时内响应，一小时内送达每</w:t>
            </w:r>
            <w:r>
              <w:rPr>
                <w:sz w:val="24"/>
              </w:rPr>
              <w:t>次扣</w:t>
            </w:r>
            <w:r>
              <w:rPr/>
              <w:t xml:space="preserve"> </w:t>
            </w:r>
            <w:r>
              <w:rPr>
                <w:sz w:val="24"/>
              </w:rPr>
              <w:t>5</w:t>
            </w:r>
            <w:r>
              <w:rPr/>
              <w:t xml:space="preserve"> </w:t>
            </w:r>
            <w:r>
              <w:rPr>
                <w:sz w:val="24"/>
              </w:rPr>
              <w:t>分。</w:t>
            </w:r>
          </w:p>
        </w:tc>
        <w:tc>
          <w:tcPr>
            <w:tcW w:type="dxa" w:w="10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24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考核得分</w:t>
            </w:r>
          </w:p>
        </w:tc>
        <w:tc>
          <w:tcPr>
            <w:tcW w:type="dxa" w:w="203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2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考核人</w:t>
            </w:r>
          </w:p>
          <w:p>
            <w:pPr>
              <w:pStyle w:val="null3"/>
              <w:jc w:val="center"/>
            </w:pPr>
          </w:p>
        </w:tc>
        <w:tc>
          <w:tcPr>
            <w:tcW w:type="dxa" w:w="6648"/>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pPr>
      <w:r>
        <w:rPr>
          <w:sz w:val="24"/>
        </w:rPr>
        <w:t>注：</w:t>
      </w:r>
    </w:p>
    <w:p>
      <w:pPr>
        <w:pStyle w:val="null3"/>
        <w:ind w:firstLine="480"/>
      </w:pPr>
      <w:r>
        <w:rPr>
          <w:sz w:val="24"/>
        </w:rPr>
        <w:t>1</w:t>
      </w:r>
      <w:r>
        <w:rPr>
          <w:sz w:val="24"/>
        </w:rPr>
        <w:t>、</w:t>
      </w:r>
      <w:r>
        <w:rPr>
          <w:sz w:val="24"/>
        </w:rPr>
        <w:t>考核评分采用百分制，扣罚标准如下：</w:t>
      </w:r>
    </w:p>
    <w:p>
      <w:pPr>
        <w:pStyle w:val="null3"/>
        <w:ind w:firstLine="480"/>
      </w:pPr>
      <w:r>
        <w:rPr>
          <w:sz w:val="24"/>
        </w:rPr>
        <w:t>（</w:t>
      </w:r>
      <w:r>
        <w:rPr>
          <w:sz w:val="24"/>
        </w:rPr>
        <w:t>1）考核得分在90分(含)以上时，不扣减费用；</w:t>
      </w:r>
    </w:p>
    <w:p>
      <w:pPr>
        <w:pStyle w:val="null3"/>
        <w:ind w:firstLine="480"/>
      </w:pPr>
      <w:r>
        <w:rPr>
          <w:sz w:val="24"/>
        </w:rPr>
        <w:t>（</w:t>
      </w:r>
      <w:r>
        <w:rPr>
          <w:sz w:val="24"/>
        </w:rPr>
        <w:t>2）80分≤考核得分≤89分，扣减【(100-考核得分)×</w:t>
      </w:r>
      <w:r>
        <w:rPr>
          <w:sz w:val="24"/>
        </w:rPr>
        <w:t>1</w:t>
      </w:r>
      <w:r>
        <w:rPr>
          <w:sz w:val="24"/>
        </w:rPr>
        <w:t>000】元；</w:t>
      </w:r>
    </w:p>
    <w:p>
      <w:pPr>
        <w:pStyle w:val="null3"/>
        <w:ind w:firstLine="480"/>
      </w:pPr>
      <w:r>
        <w:rPr>
          <w:sz w:val="24"/>
        </w:rPr>
        <w:t>（</w:t>
      </w:r>
      <w:r>
        <w:rPr>
          <w:sz w:val="24"/>
        </w:rPr>
        <w:t>3）70分≤考核得分≤79分，扣减【(100-考核得分)×</w:t>
      </w:r>
      <w:r>
        <w:rPr>
          <w:sz w:val="24"/>
        </w:rPr>
        <w:t>1</w:t>
      </w:r>
      <w:r>
        <w:rPr>
          <w:sz w:val="24"/>
        </w:rPr>
        <w:t>500】元；</w:t>
      </w:r>
    </w:p>
    <w:p>
      <w:pPr>
        <w:pStyle w:val="null3"/>
        <w:ind w:firstLine="480"/>
      </w:pPr>
      <w:r>
        <w:rPr>
          <w:sz w:val="24"/>
        </w:rPr>
        <w:t>（</w:t>
      </w:r>
      <w:r>
        <w:rPr>
          <w:sz w:val="24"/>
        </w:rPr>
        <w:t>4）60分≤考核得分≤69分，扣减【(100-考核得分)×</w:t>
      </w:r>
      <w:r>
        <w:rPr>
          <w:sz w:val="24"/>
        </w:rPr>
        <w:t>2</w:t>
      </w:r>
      <w:r>
        <w:rPr>
          <w:sz w:val="24"/>
        </w:rPr>
        <w:t>000】元；</w:t>
      </w:r>
    </w:p>
    <w:p>
      <w:pPr>
        <w:pStyle w:val="null3"/>
        <w:ind w:firstLine="480"/>
      </w:pPr>
      <w:r>
        <w:rPr>
          <w:sz w:val="24"/>
        </w:rPr>
        <w:t>（</w:t>
      </w:r>
      <w:r>
        <w:rPr>
          <w:sz w:val="24"/>
        </w:rPr>
        <w:t>5）低于60分（不含）扣减当月货款的</w:t>
      </w:r>
      <w:r>
        <w:rPr>
          <w:sz w:val="24"/>
        </w:rPr>
        <w:t>3</w:t>
      </w:r>
      <w:r>
        <w:rPr>
          <w:sz w:val="24"/>
        </w:rPr>
        <w:t>0%；</w:t>
      </w:r>
    </w:p>
    <w:p>
      <w:pPr>
        <w:pStyle w:val="null3"/>
        <w:ind w:firstLine="480"/>
      </w:pPr>
      <w:r>
        <w:rPr>
          <w:sz w:val="24"/>
        </w:rPr>
        <w:t>（</w:t>
      </w:r>
      <w:r>
        <w:rPr>
          <w:sz w:val="24"/>
        </w:rPr>
        <w:t>6）合同期内累计三个月低于60分（不含），</w:t>
      </w:r>
      <w:r>
        <w:rPr>
          <w:sz w:val="24"/>
        </w:rPr>
        <w:t>甲方</w:t>
      </w:r>
      <w:r>
        <w:rPr>
          <w:sz w:val="24"/>
        </w:rPr>
        <w:t>有权终止合同。所发生的一切损失由</w:t>
      </w:r>
      <w:r>
        <w:rPr>
          <w:sz w:val="24"/>
        </w:rPr>
        <w:t>乙方</w:t>
      </w:r>
      <w:r>
        <w:rPr>
          <w:sz w:val="24"/>
        </w:rPr>
        <w:t>负责。</w:t>
      </w:r>
    </w:p>
    <w:p>
      <w:pPr>
        <w:pStyle w:val="null3"/>
        <w:ind w:firstLine="480"/>
        <w:jc w:val="both"/>
      </w:pPr>
      <w:r>
        <w:rPr>
          <w:sz w:val="24"/>
        </w:rPr>
        <w:t>2</w:t>
      </w:r>
      <w:r>
        <w:rPr>
          <w:sz w:val="24"/>
        </w:rPr>
        <w:t>、</w:t>
      </w:r>
      <w:r>
        <w:rPr>
          <w:sz w:val="24"/>
        </w:rPr>
        <w:t>扣减费用从履约保证金中扣除。</w:t>
      </w:r>
    </w:p>
    <w:p>
      <w:pPr>
        <w:pStyle w:val="null3"/>
        <w:ind w:firstLine="480"/>
        <w:jc w:val="both"/>
      </w:pPr>
      <w:r>
        <w:rPr>
          <w:sz w:val="24"/>
        </w:rPr>
        <w:t>3</w:t>
      </w:r>
      <w:r>
        <w:rPr>
          <w:sz w:val="24"/>
        </w:rPr>
        <w:t>、</w:t>
      </w:r>
      <w:r>
        <w:rPr>
          <w:sz w:val="24"/>
        </w:rPr>
        <w:t>各项指标分值说明见《月度食材供应服务考核评分表》考核细则。</w:t>
      </w:r>
    </w:p>
    <w:p>
      <w:pPr>
        <w:pStyle w:val="null3"/>
        <w:ind w:firstLine="480"/>
      </w:pPr>
      <w:r>
        <w:rPr>
          <w:sz w:val="24"/>
        </w:rPr>
        <w:t>4</w:t>
      </w:r>
      <w:r>
        <w:rPr>
          <w:sz w:val="24"/>
        </w:rPr>
        <w:t>、</w:t>
      </w:r>
      <w:r>
        <w:rPr>
          <w:sz w:val="24"/>
        </w:rPr>
        <w:t>月度食材供应服务考核评分表的解释权归</w:t>
      </w:r>
      <w:r>
        <w:rPr>
          <w:sz w:val="24"/>
        </w:rPr>
        <w:t>甲方</w:t>
      </w:r>
      <w:r>
        <w:rPr>
          <w:sz w:val="24"/>
        </w:rPr>
        <w:t>，</w:t>
      </w:r>
      <w:r>
        <w:rPr>
          <w:sz w:val="24"/>
        </w:rPr>
        <w:t>甲方</w:t>
      </w:r>
      <w:r>
        <w:rPr>
          <w:sz w:val="24"/>
        </w:rPr>
        <w:t>可根据实际情况对月度食材供应服务考核评分表的内容进行调整，但要与</w:t>
      </w:r>
      <w:r>
        <w:rPr>
          <w:sz w:val="24"/>
        </w:rPr>
        <w:t>乙方</w:t>
      </w:r>
      <w:r>
        <w:rPr>
          <w:sz w:val="24"/>
        </w:rPr>
        <w:t>进行协商。</w:t>
      </w:r>
    </w:p>
    <w:p>
      <w:pPr>
        <w:pStyle w:val="null3"/>
        <w:ind w:firstLine="482"/>
      </w:pPr>
      <w:r>
        <w:rPr>
          <w:sz w:val="24"/>
          <w:b/>
          <w:color w:val="000000"/>
          <w:shd w:fill="FFFFFF" w:val="clear"/>
        </w:rPr>
        <w:t>十四</w:t>
      </w:r>
      <w:r>
        <w:rPr>
          <w:sz w:val="24"/>
          <w:b/>
          <w:color w:val="000000"/>
          <w:shd w:fill="FFFFFF" w:val="clear"/>
        </w:rPr>
        <w:t>、提出异议的时间和方法</w:t>
      </w:r>
    </w:p>
    <w:p>
      <w:pPr>
        <w:pStyle w:val="null3"/>
        <w:ind w:firstLine="480"/>
      </w:pPr>
      <w:r>
        <w:rPr>
          <w:sz w:val="24"/>
        </w:rPr>
        <w:t>1</w:t>
      </w:r>
      <w:r>
        <w:rPr>
          <w:sz w:val="24"/>
        </w:rPr>
        <w:t>、</w:t>
      </w:r>
      <w:r>
        <w:rPr>
          <w:sz w:val="24"/>
        </w:rPr>
        <w:t>甲方在验收后若对服务或货物质量有异议时，应向乙方提出书面异议。</w:t>
      </w:r>
    </w:p>
    <w:p>
      <w:pPr>
        <w:pStyle w:val="null3"/>
        <w:ind w:firstLine="480"/>
      </w:pPr>
      <w:r>
        <w:rPr>
          <w:sz w:val="24"/>
        </w:rPr>
        <w:t>2</w:t>
      </w:r>
      <w:r>
        <w:rPr>
          <w:sz w:val="24"/>
        </w:rPr>
        <w:t>、</w:t>
      </w:r>
      <w:r>
        <w:rPr>
          <w:sz w:val="24"/>
        </w:rPr>
        <w:t>乙方在接到甲方书面异议后，应在</w:t>
      </w:r>
      <w:r>
        <w:rPr>
          <w:sz w:val="24"/>
        </w:rPr>
        <w:t>2天内负责处理并函复甲方处理情况，否则，即视为默认甲方提出的异议和处理意见。</w:t>
      </w:r>
    </w:p>
    <w:p>
      <w:pPr>
        <w:pStyle w:val="null3"/>
        <w:ind w:firstLine="480"/>
      </w:pPr>
      <w:r>
        <w:rPr>
          <w:sz w:val="24"/>
        </w:rPr>
        <w:t>3</w:t>
      </w:r>
      <w:r>
        <w:rPr>
          <w:sz w:val="24"/>
        </w:rPr>
        <w:t>、</w:t>
      </w:r>
      <w:r>
        <w:rPr>
          <w:sz w:val="24"/>
        </w:rPr>
        <w:t>甲方因违章操作或其他人为因素造成系统损毁，所提出的异议乙方有权不予接受。</w:t>
      </w:r>
    </w:p>
    <w:p>
      <w:pPr>
        <w:pStyle w:val="null3"/>
        <w:ind w:firstLine="482"/>
      </w:pPr>
      <w:r>
        <w:rPr>
          <w:sz w:val="24"/>
          <w:b/>
          <w:color w:val="000000"/>
          <w:shd w:fill="FFFFFF" w:val="clear"/>
        </w:rPr>
        <w:t>十五</w:t>
      </w:r>
      <w:r>
        <w:rPr>
          <w:sz w:val="24"/>
          <w:b/>
          <w:color w:val="000000"/>
          <w:shd w:fill="FFFFFF" w:val="clear"/>
        </w:rPr>
        <w:t>、争议的解决</w:t>
      </w:r>
    </w:p>
    <w:p>
      <w:pPr>
        <w:pStyle w:val="null3"/>
        <w:ind w:firstLine="480"/>
      </w:pPr>
      <w:r>
        <w:rPr>
          <w:sz w:val="24"/>
          <w:color w:val="000000"/>
          <w:shd w:fill="FFFFFF" w:val="clear"/>
        </w:rPr>
        <w:t>1</w:t>
      </w:r>
      <w:r>
        <w:rPr>
          <w:sz w:val="24"/>
          <w:color w:val="000000"/>
          <w:shd w:fill="FFFFFF" w:val="clear"/>
        </w:rPr>
        <w:t>、</w:t>
      </w:r>
      <w:r>
        <w:rPr>
          <w:sz w:val="24"/>
          <w:color w:val="000000"/>
          <w:shd w:fill="FFFFFF" w:val="clear"/>
        </w:rPr>
        <w:t>合同履行过程中发生的任何争议，若双方未能通过友好协商解决，应向甲方所在地的人民法院提起诉讼。</w:t>
      </w:r>
    </w:p>
    <w:p>
      <w:pPr>
        <w:pStyle w:val="null3"/>
        <w:ind w:firstLine="480"/>
      </w:pPr>
      <w:r>
        <w:rPr>
          <w:sz w:val="24"/>
          <w:color w:val="000000"/>
          <w:shd w:fill="FFFFFF" w:val="clear"/>
        </w:rPr>
        <w:t>2</w:t>
      </w:r>
      <w:r>
        <w:rPr>
          <w:sz w:val="24"/>
          <w:color w:val="000000"/>
          <w:shd w:fill="FFFFFF" w:val="clear"/>
        </w:rPr>
        <w:t>、</w:t>
      </w:r>
      <w:r>
        <w:rPr>
          <w:sz w:val="24"/>
          <w:color w:val="000000"/>
          <w:shd w:fill="FFFFFF" w:val="clear"/>
        </w:rPr>
        <w:t>法院审理期间，除提交法院审理的事项外，合同其他事项和条款仍应继续履行。</w:t>
      </w:r>
    </w:p>
    <w:p>
      <w:pPr>
        <w:pStyle w:val="null3"/>
        <w:ind w:firstLine="482"/>
      </w:pPr>
      <w:r>
        <w:rPr>
          <w:sz w:val="24"/>
          <w:b/>
          <w:color w:val="000000"/>
          <w:shd w:fill="FFFFFF" w:val="clear"/>
        </w:rPr>
        <w:t>十</w:t>
      </w:r>
      <w:r>
        <w:rPr>
          <w:sz w:val="24"/>
          <w:b/>
          <w:color w:val="000000"/>
          <w:shd w:fill="FFFFFF" w:val="clear"/>
        </w:rPr>
        <w:t>六</w:t>
      </w:r>
      <w:r>
        <w:rPr>
          <w:sz w:val="24"/>
          <w:b/>
          <w:color w:val="000000"/>
          <w:shd w:fill="FFFFFF" w:val="clear"/>
        </w:rPr>
        <w:t>、不可抗力</w:t>
      </w:r>
    </w:p>
    <w:p>
      <w:pPr>
        <w:pStyle w:val="null3"/>
        <w:ind w:firstLine="480"/>
      </w:pPr>
      <w:r>
        <w:rPr>
          <w:sz w:val="24"/>
          <w:color w:val="000000"/>
          <w:shd w:fill="FFFFFF" w:val="clear"/>
        </w:rPr>
        <w:t>任何一方由于不可抗力原因不能履行合同时，应在不可抗力事件结束后</w:t>
      </w:r>
      <w:r>
        <w:rPr>
          <w:sz w:val="24"/>
          <w:color w:val="000000"/>
          <w:shd w:fill="FFFFFF" w:val="clear"/>
        </w:rPr>
        <w:t>1天内向对方通报，以减轻可能给对方造成的损失，在取得有关机构的不可抗力证明或双方谅解确认后，允许延期履行或修订合同，并根据情况可部分或全部免于承担违约责任。</w:t>
      </w:r>
    </w:p>
    <w:p>
      <w:pPr>
        <w:pStyle w:val="null3"/>
        <w:ind w:firstLine="482"/>
      </w:pPr>
      <w:r>
        <w:rPr>
          <w:sz w:val="24"/>
          <w:b/>
          <w:color w:val="000000"/>
          <w:shd w:fill="FFFFFF" w:val="clear"/>
        </w:rPr>
        <w:t>十</w:t>
      </w:r>
      <w:r>
        <w:rPr>
          <w:sz w:val="24"/>
          <w:b/>
          <w:color w:val="000000"/>
          <w:shd w:fill="FFFFFF" w:val="clear"/>
        </w:rPr>
        <w:t>七</w:t>
      </w:r>
      <w:r>
        <w:rPr>
          <w:sz w:val="24"/>
          <w:b/>
          <w:color w:val="000000"/>
          <w:shd w:fill="FFFFFF" w:val="clear"/>
        </w:rPr>
        <w:t>、税费</w:t>
      </w:r>
    </w:p>
    <w:p>
      <w:pPr>
        <w:pStyle w:val="null3"/>
        <w:ind w:firstLine="480"/>
      </w:pPr>
      <w:r>
        <w:rPr>
          <w:sz w:val="24"/>
          <w:color w:val="000000"/>
          <w:shd w:fill="FFFFFF" w:val="clear"/>
        </w:rPr>
        <w:t>1</w:t>
      </w:r>
      <w:r>
        <w:rPr>
          <w:sz w:val="24"/>
          <w:color w:val="000000"/>
          <w:shd w:fill="FFFFFF" w:val="clear"/>
        </w:rPr>
        <w:t>、</w:t>
      </w:r>
      <w:r>
        <w:rPr>
          <w:sz w:val="24"/>
          <w:color w:val="000000"/>
          <w:shd w:fill="FFFFFF" w:val="clear"/>
        </w:rPr>
        <w:t>中国政府根据现行税法所征收的一切税费均由各缴税责任方独立承担。</w:t>
      </w:r>
    </w:p>
    <w:p>
      <w:pPr>
        <w:pStyle w:val="null3"/>
        <w:ind w:firstLine="480"/>
      </w:pPr>
      <w:r>
        <w:rPr>
          <w:sz w:val="24"/>
          <w:color w:val="000000"/>
          <w:shd w:fill="FFFFFF" w:val="clear"/>
        </w:rPr>
        <w:t>2</w:t>
      </w:r>
      <w:r>
        <w:rPr>
          <w:sz w:val="24"/>
          <w:color w:val="000000"/>
          <w:shd w:fill="FFFFFF" w:val="clear"/>
        </w:rPr>
        <w:t>、</w:t>
      </w:r>
      <w:r>
        <w:rPr>
          <w:sz w:val="24"/>
          <w:color w:val="000000"/>
          <w:shd w:fill="FFFFFF" w:val="clear"/>
        </w:rPr>
        <w:t>在中国境外发生的与本合同相关的一切税费及不可预见费均由乙方负担。</w:t>
      </w:r>
    </w:p>
    <w:p>
      <w:pPr>
        <w:pStyle w:val="null3"/>
        <w:ind w:firstLine="482"/>
      </w:pPr>
      <w:r>
        <w:rPr>
          <w:sz w:val="24"/>
          <w:b/>
          <w:color w:val="000000"/>
          <w:shd w:fill="FFFFFF" w:val="clear"/>
        </w:rPr>
        <w:t>十</w:t>
      </w:r>
      <w:r>
        <w:rPr>
          <w:sz w:val="24"/>
          <w:b/>
          <w:color w:val="000000"/>
          <w:shd w:fill="FFFFFF" w:val="clear"/>
        </w:rPr>
        <w:t>八</w:t>
      </w:r>
      <w:r>
        <w:rPr>
          <w:sz w:val="24"/>
          <w:b/>
          <w:color w:val="000000"/>
          <w:shd w:fill="FFFFFF" w:val="clear"/>
        </w:rPr>
        <w:t>、合同生效</w:t>
      </w:r>
    </w:p>
    <w:p>
      <w:pPr>
        <w:pStyle w:val="null3"/>
        <w:ind w:firstLine="480"/>
      </w:pPr>
      <w:r>
        <w:rPr>
          <w:sz w:val="24"/>
          <w:color w:val="000000"/>
          <w:shd w:fill="FFFFFF" w:val="clear"/>
        </w:rPr>
        <w:t>本合同在甲乙双方法人代表或其授权代表签字盖章之日起生效。</w:t>
      </w:r>
    </w:p>
    <w:p>
      <w:pPr>
        <w:pStyle w:val="null3"/>
        <w:ind w:firstLine="482"/>
      </w:pPr>
      <w:r>
        <w:rPr>
          <w:sz w:val="24"/>
          <w:b/>
          <w:color w:val="000000"/>
          <w:shd w:fill="FFFFFF" w:val="clear"/>
        </w:rPr>
        <w:t>十</w:t>
      </w:r>
      <w:r>
        <w:rPr>
          <w:sz w:val="24"/>
          <w:b/>
          <w:color w:val="000000"/>
          <w:shd w:fill="FFFFFF" w:val="clear"/>
        </w:rPr>
        <w:t>九</w:t>
      </w:r>
      <w:r>
        <w:rPr>
          <w:sz w:val="24"/>
          <w:b/>
          <w:color w:val="000000"/>
          <w:shd w:fill="FFFFFF" w:val="clear"/>
        </w:rPr>
        <w:t>、其他</w:t>
      </w:r>
    </w:p>
    <w:p>
      <w:pPr>
        <w:pStyle w:val="null3"/>
        <w:ind w:firstLine="480"/>
      </w:pPr>
      <w:r>
        <w:rPr>
          <w:sz w:val="24"/>
          <w:color w:val="000000"/>
          <w:shd w:fill="FFFFFF" w:val="clear"/>
        </w:rPr>
        <w:t>1</w:t>
      </w:r>
      <w:r>
        <w:rPr>
          <w:sz w:val="24"/>
          <w:color w:val="000000"/>
          <w:shd w:fill="FFFFFF" w:val="clear"/>
        </w:rPr>
        <w:t>、</w:t>
      </w:r>
      <w:r>
        <w:rPr>
          <w:sz w:val="24"/>
          <w:color w:val="000000"/>
          <w:shd w:fill="FFFFFF" w:val="clear"/>
        </w:rPr>
        <w:t>所有经一方或双方签署确认的文件（包括会议纪要、补充协议、往来信函）、招标文件和响应承诺文件、合同附件及《中标通知书》均为本合同不可分割的有效组成部分，与本合同具有同等的法律效力和履约义务，其生效日期为签字盖章确认之日期。</w:t>
      </w:r>
    </w:p>
    <w:p>
      <w:pPr>
        <w:pStyle w:val="null3"/>
        <w:ind w:firstLine="480"/>
      </w:pPr>
      <w:r>
        <w:rPr>
          <w:sz w:val="24"/>
          <w:color w:val="000000"/>
          <w:shd w:fill="FFFFFF" w:val="clear"/>
        </w:rPr>
        <w:t>2</w:t>
      </w:r>
      <w:r>
        <w:rPr>
          <w:sz w:val="24"/>
          <w:color w:val="000000"/>
          <w:shd w:fill="FFFFFF" w:val="clear"/>
        </w:rPr>
        <w:t>、</w:t>
      </w:r>
      <w:r>
        <w:rPr>
          <w:sz w:val="24"/>
          <w:color w:val="000000"/>
          <w:shd w:fill="FFFFFF" w:val="clear"/>
        </w:rPr>
        <w:t>若一方地址、电话、传真号码有变更，应在变更当日内书面通知对方，否则，应承担相应责任。</w:t>
      </w:r>
    </w:p>
    <w:p>
      <w:pPr>
        <w:pStyle w:val="null3"/>
        <w:ind w:firstLine="480"/>
      </w:pPr>
      <w:r>
        <w:rPr>
          <w:sz w:val="24"/>
          <w:color w:val="000000"/>
          <w:shd w:fill="FFFFFF" w:val="clear"/>
        </w:rPr>
        <w:t>3</w:t>
      </w:r>
      <w:r>
        <w:rPr>
          <w:sz w:val="24"/>
          <w:color w:val="000000"/>
          <w:shd w:fill="FFFFFF" w:val="clear"/>
        </w:rPr>
        <w:t>、</w:t>
      </w:r>
      <w:r>
        <w:rPr>
          <w:sz w:val="24"/>
          <w:color w:val="000000"/>
          <w:shd w:fill="FFFFFF" w:val="clear"/>
        </w:rPr>
        <w:t>未经甲方书面同意，乙方不得擅自向第三方转让其应履行的合同项下的义务。</w:t>
      </w:r>
    </w:p>
    <w:p>
      <w:pPr>
        <w:pStyle w:val="null3"/>
        <w:ind w:firstLine="480"/>
      </w:pPr>
      <w:r>
        <w:rPr>
          <w:sz w:val="24"/>
          <w:color w:val="000000"/>
          <w:shd w:fill="FFFFFF" w:val="clear"/>
        </w:rPr>
        <w:t>4</w:t>
      </w:r>
      <w:r>
        <w:rPr>
          <w:sz w:val="24"/>
          <w:color w:val="000000"/>
          <w:shd w:fill="FFFFFF" w:val="clear"/>
        </w:rPr>
        <w:t>、</w:t>
      </w:r>
      <w:r>
        <w:rPr>
          <w:sz w:val="24"/>
          <w:color w:val="000000"/>
          <w:shd w:fill="FFFFFF" w:val="clear"/>
        </w:rPr>
        <w:t>本合同正本一式</w:t>
      </w:r>
      <w:r>
        <w:rPr>
          <w:u w:val="single"/>
        </w:rPr>
        <w:t xml:space="preserve">   </w:t>
      </w:r>
      <w:r>
        <w:rPr>
          <w:sz w:val="24"/>
          <w:color w:val="000000"/>
          <w:shd w:fill="FFFFFF" w:val="clear"/>
        </w:rPr>
        <w:t>份，甲方执</w:t>
      </w:r>
      <w:r>
        <w:rPr>
          <w:u w:val="single"/>
        </w:rPr>
        <w:t xml:space="preserve">   </w:t>
      </w:r>
      <w:r>
        <w:rPr>
          <w:sz w:val="24"/>
          <w:color w:val="000000"/>
          <w:shd w:fill="FFFFFF" w:val="clear"/>
        </w:rPr>
        <w:t>份，乙方执</w:t>
      </w:r>
      <w:r>
        <w:rPr>
          <w:u w:val="single"/>
        </w:rPr>
        <w:t xml:space="preserve">   </w:t>
      </w:r>
      <w:r>
        <w:rPr>
          <w:sz w:val="24"/>
          <w:color w:val="000000"/>
          <w:shd w:fill="FFFFFF" w:val="clear"/>
        </w:rPr>
        <w:t>份。</w:t>
      </w:r>
    </w:p>
    <w:p>
      <w:pPr>
        <w:pStyle w:val="null3"/>
        <w:ind w:firstLine="480"/>
      </w:pPr>
      <w:r>
        <w:rPr>
          <w:sz w:val="24"/>
          <w:color w:val="000000"/>
          <w:shd w:fill="FFFFFF" w:val="clear"/>
        </w:rPr>
        <w:t>5</w:t>
      </w:r>
      <w:r>
        <w:rPr>
          <w:sz w:val="24"/>
          <w:color w:val="000000"/>
          <w:shd w:fill="FFFFFF" w:val="clear"/>
        </w:rPr>
        <w:t>、</w:t>
      </w:r>
      <w:r>
        <w:rPr>
          <w:sz w:val="24"/>
          <w:color w:val="000000"/>
          <w:shd w:fill="FFFFFF" w:val="clear"/>
        </w:rPr>
        <w:t>本合同共计</w:t>
      </w:r>
      <w:r>
        <w:rPr>
          <w:u w:val="single"/>
        </w:rPr>
        <w:t xml:space="preserve">   </w:t>
      </w:r>
      <w:r>
        <w:rPr>
          <w:sz w:val="24"/>
          <w:color w:val="000000"/>
          <w:shd w:fill="FFFFFF" w:val="clear"/>
        </w:rPr>
        <w:t>页</w:t>
      </w:r>
      <w:r>
        <w:rPr>
          <w:sz w:val="24"/>
          <w:color w:val="000000"/>
          <w:shd w:fill="FFFFFF" w:val="clear"/>
        </w:rPr>
        <w:t>A4纸 张，缺页之合同为无效合同。</w:t>
      </w:r>
    </w:p>
    <w:p>
      <w:pPr>
        <w:pStyle w:val="null3"/>
        <w:ind w:firstLine="480"/>
      </w:pPr>
      <w:r>
        <w:rPr>
          <w:sz w:val="24"/>
          <w:color w:val="000000"/>
          <w:shd w:fill="FFFFFF" w:val="clear"/>
        </w:rPr>
        <w:t>6</w:t>
      </w:r>
      <w:r>
        <w:rPr>
          <w:sz w:val="24"/>
          <w:color w:val="000000"/>
          <w:shd w:fill="FFFFFF" w:val="clear"/>
        </w:rPr>
        <w:t>、</w:t>
      </w:r>
      <w:r>
        <w:rPr>
          <w:sz w:val="24"/>
          <w:color w:val="000000"/>
          <w:shd w:fill="FFFFFF" w:val="clear"/>
        </w:rPr>
        <w:t>本合同签约履约地点：广东省佛山市。</w:t>
      </w:r>
    </w:p>
    <w:p>
      <w:pPr>
        <w:pStyle w:val="null3"/>
        <w:ind w:firstLine="482"/>
      </w:pPr>
      <w:r>
        <w:rPr>
          <w:sz w:val="24"/>
          <w:b/>
          <w:color w:val="000000"/>
          <w:shd w:fill="FFFFFF" w:val="clear"/>
        </w:rPr>
        <w:t>7</w:t>
      </w:r>
      <w:r>
        <w:rPr>
          <w:sz w:val="24"/>
          <w:b/>
          <w:color w:val="000000"/>
          <w:shd w:fill="FFFFFF" w:val="clear"/>
        </w:rPr>
        <w:t>、</w:t>
      </w:r>
      <w:r>
        <w:rPr>
          <w:sz w:val="24"/>
          <w:b/>
          <w:color w:val="000000"/>
          <w:shd w:fill="FFFFFF" w:val="clear"/>
        </w:rPr>
        <w:t>双方均已对以上各条款及附件作充分了解，并明确理解由此而产生的相关权责。</w:t>
      </w:r>
    </w:p>
    <w:p>
      <w:pPr>
        <w:pStyle w:val="null3"/>
        <w:ind w:firstLine="480"/>
      </w:pPr>
      <w:r>
        <w:rPr>
          <w:sz w:val="24"/>
          <w:color w:val="000000"/>
          <w:shd w:fill="FFFFFF" w:val="clear"/>
        </w:rPr>
        <w:t>甲方（盖章）：</w:t>
      </w:r>
      <w:r>
        <w:rPr>
          <w:sz w:val="24"/>
          <w:color w:val="000000"/>
          <w:shd w:fill="FFFFFF" w:val="clear"/>
        </w:rPr>
        <w:t xml:space="preserve">                   </w:t>
      </w:r>
      <w:r>
        <w:rPr>
          <w:sz w:val="24"/>
          <w:color w:val="000000"/>
          <w:shd w:fill="FFFFFF" w:val="clear"/>
        </w:rPr>
        <w:t>乙方（盖章）：</w:t>
      </w:r>
    </w:p>
    <w:p>
      <w:pPr>
        <w:pStyle w:val="null3"/>
        <w:ind w:firstLine="480"/>
      </w:pPr>
      <w:r>
        <w:rPr>
          <w:sz w:val="24"/>
          <w:color w:val="000000"/>
          <w:shd w:fill="FFFFFF" w:val="clear"/>
        </w:rPr>
        <w:t>代表：</w:t>
      </w:r>
      <w:r>
        <w:rPr>
          <w:sz w:val="24"/>
          <w:color w:val="000000"/>
          <w:shd w:fill="FFFFFF" w:val="clear"/>
        </w:rPr>
        <w:t xml:space="preserve">                           </w:t>
      </w:r>
      <w:r>
        <w:rPr>
          <w:sz w:val="24"/>
          <w:color w:val="000000"/>
          <w:shd w:fill="FFFFFF" w:val="clear"/>
        </w:rPr>
        <w:t>代表：</w:t>
      </w:r>
    </w:p>
    <w:p>
      <w:pPr>
        <w:pStyle w:val="null3"/>
        <w:ind w:firstLine="480"/>
      </w:pPr>
      <w:r>
        <w:rPr>
          <w:sz w:val="24"/>
          <w:color w:val="000000"/>
          <w:shd w:fill="FFFFFF" w:val="clear"/>
        </w:rPr>
        <w:t>地址：</w:t>
      </w:r>
      <w:r>
        <w:rPr>
          <w:sz w:val="24"/>
          <w:color w:val="000000"/>
          <w:shd w:fill="FFFFFF" w:val="clear"/>
        </w:rPr>
        <w:t xml:space="preserve">                           </w:t>
      </w:r>
      <w:r>
        <w:rPr>
          <w:sz w:val="24"/>
          <w:color w:val="000000"/>
          <w:shd w:fill="FFFFFF" w:val="clear"/>
        </w:rPr>
        <w:t>地址：</w:t>
      </w:r>
    </w:p>
    <w:p>
      <w:pPr>
        <w:pStyle w:val="null3"/>
        <w:ind w:firstLine="480"/>
      </w:pPr>
      <w:r>
        <w:rPr>
          <w:sz w:val="24"/>
          <w:color w:val="000000"/>
          <w:shd w:fill="FFFFFF" w:val="clear"/>
        </w:rPr>
        <w:t>电话：</w:t>
      </w:r>
      <w:r>
        <w:rPr>
          <w:sz w:val="24"/>
          <w:color w:val="000000"/>
          <w:shd w:fill="FFFFFF" w:val="clear"/>
        </w:rPr>
        <w:t xml:space="preserve">                           </w:t>
      </w:r>
      <w:r>
        <w:rPr>
          <w:sz w:val="24"/>
          <w:color w:val="000000"/>
          <w:shd w:fill="FFFFFF" w:val="clear"/>
        </w:rPr>
        <w:t>电话：</w:t>
      </w:r>
    </w:p>
    <w:p>
      <w:pPr>
        <w:pStyle w:val="null3"/>
        <w:ind w:firstLine="444"/>
      </w:pPr>
      <w:r>
        <w:rPr>
          <w:sz w:val="24"/>
          <w:color w:val="000000"/>
          <w:shd w:fill="FFFFFF" w:val="clear"/>
        </w:rPr>
        <w:t>传真：</w:t>
      </w:r>
      <w:r>
        <w:rPr>
          <w:sz w:val="24"/>
          <w:color w:val="000000"/>
          <w:shd w:fill="FFFFFF" w:val="clear"/>
        </w:rPr>
        <w:t xml:space="preserve">                           </w:t>
      </w:r>
      <w:r>
        <w:rPr>
          <w:sz w:val="24"/>
          <w:color w:val="000000"/>
          <w:shd w:fill="FFFFFF" w:val="clear"/>
        </w:rPr>
        <w:t>传真：</w:t>
      </w:r>
    </w:p>
    <w:p>
      <w:pPr>
        <w:pStyle w:val="null3"/>
        <w:jc w:val="both"/>
      </w:pPr>
      <w:r>
        <w:rPr>
          <w:sz w:val="24"/>
          <w:color w:val="000000"/>
          <w:shd w:fill="FFFFFF" w:val="clear"/>
        </w:rPr>
        <w:t>日期：</w:t>
      </w:r>
      <w:r>
        <w:rPr>
          <w:sz w:val="24"/>
          <w:color w:val="000000"/>
          <w:shd w:fill="FFFFFF" w:val="clear"/>
        </w:rPr>
        <w:t>年</w:t>
      </w:r>
      <w:r>
        <w:rPr>
          <w:sz w:val="24"/>
          <w:color w:val="000000"/>
          <w:shd w:fill="FFFFFF" w:val="clear"/>
        </w:rPr>
        <w:t>月</w:t>
      </w:r>
      <w:r>
        <w:rPr>
          <w:sz w:val="24"/>
          <w:color w:val="000000"/>
          <w:shd w:fill="FFFFFF" w:val="clear"/>
        </w:rPr>
        <w:t>日</w:t>
      </w:r>
      <w:r>
        <w:rPr>
          <w:sz w:val="24"/>
          <w:color w:val="000000"/>
          <w:shd w:fill="FFFFFF" w:val="clear"/>
        </w:rPr>
        <w:t xml:space="preserve">                  </w:t>
      </w:r>
      <w:r>
        <w:rPr>
          <w:sz w:val="24"/>
          <w:color w:val="000000"/>
          <w:shd w:fill="FFFFFF" w:val="clear"/>
        </w:rPr>
        <w:t>日期：</w:t>
      </w:r>
      <w:r>
        <w:rPr>
          <w:sz w:val="24"/>
          <w:color w:val="000000"/>
          <w:shd w:fill="FFFFFF" w:val="clear"/>
        </w:rPr>
        <w:t>年</w:t>
      </w:r>
      <w:r>
        <w:rPr>
          <w:sz w:val="24"/>
          <w:color w:val="000000"/>
          <w:shd w:fill="FFFFFF" w:val="clear"/>
        </w:rPr>
        <w:t>月</w:t>
      </w:r>
      <w:r>
        <w:rPr>
          <w:sz w:val="24"/>
          <w:color w:val="000000"/>
          <w:shd w:fill="FFFFFF" w:val="clear"/>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440001-2026-18786</w:t>
      </w:r>
    </w:p>
    <w:p>
      <w:pPr>
        <w:pStyle w:val="null3"/>
        <w:jc w:val="center"/>
        <w:outlineLvl w:val="3"/>
      </w:pPr>
      <w:r>
        <w:rPr>
          <w:sz w:val="24"/>
          <w:b/>
        </w:rPr>
        <w:t>采购项目编号：</w:t>
      </w:r>
      <w:r>
        <w:rPr>
          <w:sz w:val="24"/>
          <w:b/>
        </w:rPr>
        <w:t>0877-26GZTP2ZC0273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广东省第二荣军优抚医院2026-2028年食堂食材配送服务项目</w:t>
      </w:r>
      <w:r>
        <w:rPr>
          <w:u w:val="single"/>
        </w:rPr>
        <w:t>”</w:t>
      </w:r>
      <w:r>
        <w:rPr/>
        <w:t>项目的招标[采购项目编号为：</w:t>
      </w:r>
      <w:r>
        <w:rPr>
          <w:u w:val="single"/>
        </w:rPr>
        <w:t>0877-26GZTP2ZC0273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广东省第二荣军优抚医院2026-2028年食堂食材配送服务项目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广东省第二荣军优抚医院2026-2028年食堂食材配送服务项目</w:t>
      </w:r>
      <w:r>
        <w:rPr/>
        <w:t>”项目采购[采购项目编号为</w:t>
      </w:r>
      <w:r>
        <w:rPr/>
        <w:t>0877-26GZTP2ZC0273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广东省第二荣军优抚医院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广东省第二荣军优抚医院2026-2028年食堂食材配送服务项目</w:t>
      </w:r>
      <w:r>
        <w:rPr/>
        <w:t>招标中获中标（采购项目编号：</w:t>
      </w:r>
      <w:r>
        <w:rPr/>
        <w:t>0877-26GZTP2ZC0273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广东省第二荣军优抚医院2026-2028年食堂食材配送服务项目</w:t>
      </w:r>
      <w:r>
        <w:rPr/>
        <w:t>”项目（采购项目编号：</w:t>
      </w:r>
      <w:r>
        <w:rPr/>
        <w:t>0877-26GZTP2ZC0273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