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440001-2026-21755</w:t>
      </w:r>
    </w:p>
    <w:p>
      <w:pPr>
        <w:pStyle w:val="null3"/>
        <w:jc w:val="center"/>
        <w:outlineLvl w:val="3"/>
      </w:pPr>
      <w:r>
        <w:rPr>
          <w:sz w:val="24"/>
          <w:b/>
        </w:rPr>
        <w:t>采购项目编号：</w:t>
      </w:r>
      <w:r>
        <w:rPr>
          <w:sz w:val="24"/>
          <w:b/>
        </w:rPr>
        <w:t>0877-26GZTP3ZC0371</w:t>
      </w:r>
    </w:p>
    <w:p>
      <w:pPr>
        <w:pStyle w:val="null3"/>
        <w:jc w:val="center"/>
        <w:outlineLvl w:val="3"/>
      </w:pPr>
      <w:r>
        <w:rPr>
          <w:sz w:val="24"/>
          <w:b/>
        </w:rPr>
        <w:t>项目名称：</w:t>
      </w:r>
      <w:r>
        <w:rPr>
          <w:sz w:val="24"/>
          <w:b/>
        </w:rPr>
        <w:t>广东省公安厅2026-11交通指挥系统升级改造（2026年）项目</w:t>
      </w:r>
    </w:p>
    <w:p>
      <w:pPr>
        <w:pStyle w:val="null3"/>
        <w:jc w:val="center"/>
        <w:outlineLvl w:val="3"/>
      </w:pPr>
      <w:r>
        <w:rPr>
          <w:sz w:val="24"/>
          <w:b/>
        </w:rPr>
        <w:t>采购人：</w:t>
      </w:r>
      <w:r>
        <w:rPr>
          <w:sz w:val="24"/>
          <w:b/>
        </w:rPr>
        <w:t>广东省公安厅</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广东省公安厅</w:t>
      </w:r>
      <w:r>
        <w:rPr/>
        <w:t>的委托，采用</w:t>
      </w:r>
      <w:r>
        <w:rPr/>
        <w:t>公开招标</w:t>
      </w:r>
      <w:r>
        <w:rPr/>
        <w:t>方式组织采购</w:t>
      </w:r>
      <w:r>
        <w:rPr/>
        <w:t>广东省公安厅2026-11交通指挥系统升级改造（2026年）项目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广东省公安厅2026-11交通指挥系统升级改造（2026年）项目</w:t>
      </w:r>
    </w:p>
    <w:p>
      <w:pPr>
        <w:pStyle w:val="null3"/>
        <w:ind w:firstLine="480"/>
      </w:pPr>
      <w:r>
        <w:rPr/>
        <w:t>采购计划编号：</w:t>
      </w:r>
      <w:r>
        <w:rPr/>
        <w:t>440001-2026-21755</w:t>
      </w:r>
    </w:p>
    <w:p>
      <w:pPr>
        <w:pStyle w:val="null3"/>
        <w:ind w:firstLine="480"/>
      </w:pPr>
      <w:r>
        <w:rPr/>
        <w:t>采购项目编号：</w:t>
      </w:r>
      <w:r>
        <w:rPr/>
        <w:t>0877-26GZTP3ZC0371</w:t>
      </w:r>
    </w:p>
    <w:p>
      <w:pPr>
        <w:pStyle w:val="null3"/>
        <w:ind w:firstLine="480"/>
      </w:pPr>
      <w:r>
        <w:rPr/>
        <w:t>采购方式：</w:t>
      </w:r>
      <w:r>
        <w:rPr/>
        <w:t>公开招标</w:t>
      </w:r>
    </w:p>
    <w:p>
      <w:pPr>
        <w:pStyle w:val="null3"/>
        <w:ind w:firstLine="480"/>
      </w:pPr>
      <w:r>
        <w:rPr/>
        <w:t>预算金额：</w:t>
      </w:r>
      <w:r>
        <w:rPr/>
        <w:t>2,440,000.00</w:t>
      </w:r>
      <w:r>
        <w:rPr/>
        <w:t>元</w:t>
      </w:r>
    </w:p>
    <w:p>
      <w:pPr>
        <w:pStyle w:val="null3"/>
        <w:outlineLvl w:val="3"/>
      </w:pPr>
      <w:r>
        <w:rPr>
          <w:sz w:val="24"/>
          <w:b/>
        </w:rPr>
        <w:t>2.项目内容及需求情况（采购项目技术规格、参数及要求）</w:t>
      </w:r>
    </w:p>
    <w:p>
      <w:pPr>
        <w:pStyle w:val="null3"/>
      </w:pPr>
      <w:r>
        <w:rPr/>
        <w:t>采购包1(广东省公安厅2026-11交通指挥系统升级改造（2026年）项目):</w:t>
      </w:r>
    </w:p>
    <w:p>
      <w:pPr>
        <w:pStyle w:val="null3"/>
      </w:pPr>
      <w:r>
        <w:rPr/>
        <w:t>采购包预算金额：2,440,000.00元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行业应用软件开发服务</w:t>
            </w:r>
          </w:p>
        </w:tc>
        <w:tc>
          <w:tcPr>
            <w:tcW w:type="dxa" w:w="2136"/>
          </w:tcPr>
          <w:p>
            <w:pPr>
              <w:pStyle w:val="null3"/>
            </w:pPr>
            <w:r>
              <w:rPr/>
              <w:t>交通指挥系统升级改造</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合同履行期限：软件开发服务建设期为12个月。2个月内（合同签订后）完成需求调研与系统详细设计，9个月内完成软件开发、部署，完成初验并投入试运行，12个月内完成项目验收。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以下2种证明材料之一：①2024年度或2025年度经会计师事务所审计的财务状况报告；②同时提供a.基本开户行出具的资信证明，b.《基本存款账号信息》或《开户许可证》）。</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采购包1（广东省公安厅2026-11交通指挥系统升级改造（2026年）项目）：</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采购包1（广东省公安厅2026-11交通指挥系统升级改造（2026年）项目）：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广东省公安厅</w:t>
      </w:r>
    </w:p>
    <w:p>
      <w:pPr>
        <w:pStyle w:val="null3"/>
        <w:ind w:firstLine="480"/>
      </w:pPr>
      <w:r>
        <w:rPr/>
        <w:t xml:space="preserve"> 地址：</w:t>
      </w:r>
      <w:r>
        <w:rPr/>
        <w:t>黄华路97号大院</w:t>
      </w:r>
    </w:p>
    <w:p>
      <w:pPr>
        <w:pStyle w:val="null3"/>
        <w:ind w:firstLine="480"/>
      </w:pPr>
      <w:r>
        <w:rPr/>
        <w:t xml:space="preserve"> 联系方式：</w:t>
      </w:r>
      <w:r>
        <w:rPr/>
        <w:t>020-83110142</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020-38931901-825</w:t>
      </w:r>
    </w:p>
    <w:p>
      <w:pPr>
        <w:pStyle w:val="null3"/>
        <w:outlineLvl w:val="3"/>
      </w:pPr>
      <w:r>
        <w:rPr>
          <w:sz w:val="24"/>
          <w:b/>
        </w:rPr>
        <w:t xml:space="preserve"> 3.项目联系方式</w:t>
      </w:r>
    </w:p>
    <w:p>
      <w:pPr>
        <w:pStyle w:val="null3"/>
        <w:ind w:firstLine="480"/>
      </w:pPr>
      <w:r>
        <w:rPr/>
        <w:t xml:space="preserve"> 项目联系人：</w:t>
      </w:r>
      <w:r>
        <w:rPr/>
        <w:t>陈工</w:t>
      </w:r>
    </w:p>
    <w:p>
      <w:pPr>
        <w:pStyle w:val="null3"/>
        <w:ind w:firstLine="480"/>
      </w:pPr>
      <w:r>
        <w:rPr/>
        <w:t xml:space="preserve"> 电话：</w:t>
      </w:r>
      <w:r>
        <w:rPr/>
        <w:t>020-38931901-825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（一）项目概况</w:t>
      </w:r>
    </w:p>
    <w:p>
      <w:pPr>
        <w:pStyle w:val="null3"/>
        <w:jc w:val="both"/>
      </w:pPr>
      <w:r>
        <w:rPr>
          <w:sz w:val="21"/>
        </w:rPr>
        <w:t>项目属性：服务类</w:t>
      </w:r>
    </w:p>
    <w:p>
      <w:pPr>
        <w:pStyle w:val="null3"/>
        <w:jc w:val="both"/>
      </w:pPr>
      <w:r>
        <w:rPr>
          <w:sz w:val="21"/>
        </w:rPr>
        <w:t>品目分类：行业应用软件开发服务</w:t>
      </w:r>
    </w:p>
    <w:p>
      <w:pPr>
        <w:pStyle w:val="null3"/>
      </w:pPr>
      <w:r>
        <w:rPr>
          <w:sz w:val="21"/>
        </w:rPr>
        <w:t>本项目对应的中小企业划分标准所属行业为：</w:t>
      </w:r>
      <w:r>
        <w:rPr>
          <w:sz w:val="21"/>
        </w:rPr>
        <w:t>软件和信息技术服务业</w:t>
      </w:r>
    </w:p>
    <w:p>
      <w:pPr>
        <w:pStyle w:val="null3"/>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ind w:left="645"/>
        <w:jc w:val="left"/>
        <w:outlineLvl w:val="1"/>
      </w:pPr>
      <w:r>
        <w:rPr>
          <w:sz w:val="21"/>
          <w:b/>
        </w:rPr>
        <w:t>（二）项目名称</w:t>
      </w:r>
    </w:p>
    <w:p>
      <w:pPr>
        <w:pStyle w:val="null3"/>
        <w:ind w:firstLine="420"/>
        <w:jc w:val="both"/>
      </w:pPr>
      <w:r>
        <w:rPr>
          <w:sz w:val="21"/>
        </w:rPr>
        <w:t>广东省公安厅</w:t>
      </w:r>
      <w:r>
        <w:rPr>
          <w:sz w:val="21"/>
        </w:rPr>
        <w:t>2026-11交通指挥系统升级改造（2026年）项目。</w:t>
      </w:r>
    </w:p>
    <w:p>
      <w:pPr>
        <w:pStyle w:val="null3"/>
        <w:ind w:left="645"/>
        <w:jc w:val="left"/>
        <w:outlineLvl w:val="1"/>
      </w:pPr>
      <w:r>
        <w:rPr>
          <w:sz w:val="21"/>
          <w:b/>
        </w:rPr>
        <w:t>（三）采购标的内容</w:t>
      </w:r>
    </w:p>
    <w:p>
      <w:pPr>
        <w:pStyle w:val="null3"/>
        <w:ind w:firstLine="420"/>
        <w:jc w:val="both"/>
      </w:pPr>
      <w:r>
        <w:rPr>
          <w:sz w:val="21"/>
        </w:rPr>
        <w:t>主要为省公安厅交通指挥系统软件开发服务，包括定制软件开发服务、定制软件升级服务。</w:t>
      </w:r>
    </w:p>
    <w:p>
      <w:pPr>
        <w:pStyle w:val="null3"/>
        <w:ind w:firstLine="420"/>
        <w:jc w:val="both"/>
      </w:pPr>
      <w:r>
        <w:rPr>
          <w:sz w:val="21"/>
        </w:rPr>
        <w:t>（</w:t>
      </w:r>
      <w:r>
        <w:rPr>
          <w:sz w:val="21"/>
        </w:rPr>
        <w:t>1）定制软件开发服务：在省公安厅交通指挥系统基础上，新建融合数据风险评估及处置体系、交通指挥调度、视频优播模块、应用状态监测与告警、数据供应链路可视化、系统反馈机制、值班要情应用模块。</w:t>
      </w:r>
    </w:p>
    <w:p>
      <w:pPr>
        <w:pStyle w:val="null3"/>
        <w:ind w:firstLine="420"/>
        <w:jc w:val="both"/>
      </w:pPr>
      <w:r>
        <w:rPr>
          <w:sz w:val="21"/>
        </w:rPr>
        <w:t>（</w:t>
      </w:r>
      <w:r>
        <w:rPr>
          <w:sz w:val="21"/>
        </w:rPr>
        <w:t>2）定制软件升级服务：按照</w:t>
      </w:r>
      <w:r>
        <w:rPr>
          <w:sz w:val="21"/>
        </w:rPr>
        <w:t>国产技术路线</w:t>
      </w:r>
      <w:r>
        <w:rPr>
          <w:sz w:val="21"/>
        </w:rPr>
        <w:t>开展系统适配改造，基于警务云国产化软硬件资源重新部署，适配改造服务包括数据库适配改造、中间件适配改造、操作系统适配、浏览器适配、数据迁移适配等。</w:t>
      </w:r>
    </w:p>
    <w:p>
      <w:pPr>
        <w:pStyle w:val="null3"/>
      </w:pPr>
      <w:r>
        <w:rPr>
          <w:sz w:val="28"/>
          <w:b/>
        </w:rPr>
        <w:t>二、</w:t>
      </w:r>
      <w:r>
        <w:rPr>
          <w:sz w:val="28"/>
          <w:b/>
        </w:rPr>
        <w:t>技术和商务要求</w:t>
      </w:r>
    </w:p>
    <w:p>
      <w:pPr>
        <w:pStyle w:val="null3"/>
        <w:ind w:left="645"/>
        <w:jc w:val="left"/>
        <w:outlineLvl w:val="1"/>
      </w:pPr>
      <w:r>
        <w:rPr>
          <w:sz w:val="21"/>
          <w:b/>
        </w:rPr>
        <w:t>(一)技术要求：</w:t>
      </w:r>
    </w:p>
    <w:p>
      <w:pPr>
        <w:pStyle w:val="null3"/>
        <w:ind w:left="645"/>
        <w:jc w:val="both"/>
        <w:outlineLvl w:val="2"/>
      </w:pPr>
      <w:r>
        <w:rPr>
          <w:sz w:val="21"/>
          <w:b/>
        </w:rPr>
        <w:t>1.项目业务总体需求</w:t>
      </w:r>
    </w:p>
    <w:p>
      <w:pPr>
        <w:pStyle w:val="null3"/>
        <w:ind w:firstLine="600"/>
        <w:jc w:val="both"/>
      </w:pPr>
      <w:r>
        <w:rPr>
          <w:sz w:val="21"/>
        </w:rPr>
        <w:t>本项目总体业务需求是在满足</w:t>
      </w:r>
      <w:r>
        <w:rPr>
          <w:sz w:val="21"/>
        </w:rPr>
        <w:t>政策</w:t>
      </w:r>
      <w:r>
        <w:rPr>
          <w:sz w:val="21"/>
        </w:rPr>
        <w:t>合规与安全要求的背景下，通过对广东省公安厅交通指挥系统进行</w:t>
      </w:r>
      <w:r>
        <w:rPr>
          <w:sz w:val="21"/>
        </w:rPr>
        <w:t>基于国产技术路线的系统</w:t>
      </w:r>
      <w:r>
        <w:rPr>
          <w:sz w:val="21"/>
        </w:rPr>
        <w:t>改造和功能升级，重点解决当前系统在数据治理、指挥调度、视频应用、系统运维和身份管理等方面的突出短板，构建一个自主可控、稳定高效、智能协同、深度赋能的新一代交通指挥系统，以全面提升公安交管部门的实战指挥能力、应急响应效率和公共服务水平。项目执行需统筹兼顾技术迁移的复杂性以及系统稳定性的高标准要求。</w:t>
      </w:r>
    </w:p>
    <w:p>
      <w:pPr>
        <w:pStyle w:val="null3"/>
        <w:ind w:firstLine="600"/>
        <w:jc w:val="both"/>
      </w:pPr>
      <w:r>
        <w:rPr>
          <w:sz w:val="21"/>
        </w:rPr>
        <w:t>1.1系统现状：</w:t>
      </w:r>
    </w:p>
    <w:p>
      <w:pPr>
        <w:pStyle w:val="null3"/>
        <w:ind w:firstLine="600"/>
        <w:jc w:val="both"/>
      </w:pPr>
      <w:r>
        <w:rPr>
          <w:sz w:val="21"/>
        </w:rPr>
        <w:t>当前系统为基于</w:t>
      </w:r>
      <w:r>
        <w:rPr>
          <w:sz w:val="21"/>
        </w:rPr>
        <w:t>Java语言开发的B/S架构系统，部署在</w:t>
      </w:r>
      <w:r>
        <w:rPr>
          <w:sz w:val="21"/>
        </w:rPr>
        <w:t>X86</w:t>
      </w:r>
      <w:r>
        <w:rPr>
          <w:sz w:val="21"/>
        </w:rPr>
        <w:t>架构</w:t>
      </w:r>
      <w:r>
        <w:rPr>
          <w:sz w:val="21"/>
        </w:rPr>
        <w:t>环境。经过多期建设，已具备缓行监测、预警、交通警情管理、气象预警、警力资源管理等核心功能。面向全省</w:t>
      </w:r>
      <w:r>
        <w:rPr>
          <w:sz w:val="21"/>
        </w:rPr>
        <w:t>21个地市支队、大队约600个用户提供服务，年均访问量约8万次，在应急指挥和协同作战方面具备一定实战能力。系统已对接省厅多个外部系统，汇聚了交通警情、警力资源、卡口数据、事故违法、气象资讯、交通事件、视频点位等海量数据。系统拥有数据约94495万条，涵盖警情、设备、拥堵、卡口过车、交通事件、气象等各类数据。初步实现了对全省交通要素信息的整合汇聚、全面监测和评估，并建立了“一张图”管理能力。系统已完成网络安全等级保护三级测评备案和商用密码应用安全性评估。</w:t>
      </w:r>
    </w:p>
    <w:p>
      <w:pPr>
        <w:pStyle w:val="null3"/>
        <w:ind w:firstLine="600"/>
        <w:jc w:val="both"/>
      </w:pPr>
      <w:r>
        <w:rPr>
          <w:sz w:val="21"/>
        </w:rPr>
        <w:t>1.2存在问题：</w:t>
      </w:r>
    </w:p>
    <w:p>
      <w:pPr>
        <w:pStyle w:val="null3"/>
        <w:ind w:firstLine="600"/>
        <w:jc w:val="both"/>
      </w:pPr>
      <w:r>
        <w:rPr>
          <w:sz w:val="21"/>
        </w:rPr>
        <w:t>（</w:t>
      </w:r>
      <w:r>
        <w:rPr>
          <w:sz w:val="21"/>
        </w:rPr>
        <w:t>1）技术架构安全可控程度不高，数据安全存在风险：系统软硬件依赖一般通用技术，技术自主可控性低、应对网络安全风险冲击能力弱，数据泄露风险难以把控。</w:t>
      </w:r>
    </w:p>
    <w:p>
      <w:pPr>
        <w:pStyle w:val="null3"/>
        <w:ind w:firstLine="600"/>
        <w:jc w:val="both"/>
      </w:pPr>
      <w:r>
        <w:rPr>
          <w:sz w:val="21"/>
        </w:rPr>
        <w:t>（</w:t>
      </w:r>
      <w:r>
        <w:rPr>
          <w:sz w:val="21"/>
        </w:rPr>
        <w:t>2）数据质量管控缺失：数据缺值、错误等问题严重，缺乏数据质量评估指标体系，数据的准确性、完整性无法保障，导致“有数据但用不了、用不好”。</w:t>
      </w:r>
    </w:p>
    <w:p>
      <w:pPr>
        <w:pStyle w:val="null3"/>
        <w:ind w:firstLine="600"/>
        <w:jc w:val="both"/>
      </w:pPr>
      <w:r>
        <w:rPr>
          <w:sz w:val="21"/>
        </w:rPr>
        <w:t>（</w:t>
      </w:r>
      <w:r>
        <w:rPr>
          <w:sz w:val="21"/>
        </w:rPr>
        <w:t>3）数据深度赋能不足：数据多停留在基础记录层面，缺乏视频在线率实时预警、高速公路流量动态研判、情报线索闭环处置等深度分析模型，风险前置感知与精准干预能力弱。</w:t>
      </w:r>
    </w:p>
    <w:p>
      <w:pPr>
        <w:pStyle w:val="null3"/>
        <w:ind w:firstLine="600"/>
        <w:jc w:val="both"/>
      </w:pPr>
      <w:r>
        <w:rPr>
          <w:sz w:val="21"/>
        </w:rPr>
        <w:t>（</w:t>
      </w:r>
      <w:r>
        <w:rPr>
          <w:sz w:val="21"/>
        </w:rPr>
        <w:t>4）数据供应链路不透明：数据从接入、传输、存储到处理的全流程缺乏规范的日志记录和可视化监管，一旦异常难以快速定位根源。</w:t>
      </w:r>
    </w:p>
    <w:p>
      <w:pPr>
        <w:pStyle w:val="null3"/>
        <w:ind w:firstLine="600"/>
        <w:jc w:val="both"/>
      </w:pPr>
      <w:r>
        <w:rPr>
          <w:sz w:val="21"/>
        </w:rPr>
        <w:t>（</w:t>
      </w:r>
      <w:r>
        <w:rPr>
          <w:sz w:val="21"/>
        </w:rPr>
        <w:t>5）数据价值转化滞后：因质量问题和分析模型缺失，数据资产化进程缓慢，无法充分赋能业务，影响预警响应速度与决策支撑精度。</w:t>
      </w:r>
    </w:p>
    <w:p>
      <w:pPr>
        <w:pStyle w:val="null3"/>
        <w:ind w:firstLine="600"/>
        <w:jc w:val="both"/>
      </w:pPr>
      <w:r>
        <w:rPr>
          <w:sz w:val="21"/>
        </w:rPr>
        <w:t>（</w:t>
      </w:r>
      <w:r>
        <w:rPr>
          <w:sz w:val="21"/>
        </w:rPr>
        <w:t>6）情报传递链条不畅：情报线索仅能下发至支队层级，无法穿透至大队，导致指令落地慢，闭环管理效率低。</w:t>
      </w:r>
    </w:p>
    <w:p>
      <w:pPr>
        <w:pStyle w:val="null3"/>
        <w:ind w:firstLine="600"/>
        <w:jc w:val="both"/>
      </w:pPr>
      <w:r>
        <w:rPr>
          <w:sz w:val="21"/>
        </w:rPr>
        <w:t>（</w:t>
      </w:r>
      <w:r>
        <w:rPr>
          <w:sz w:val="21"/>
        </w:rPr>
        <w:t>7）重大事故处置可视化与联动弱：重大事故信息未实现实时上图与全流程监督，无法可视化掌握警力动态并进行点对点精准调度。</w:t>
      </w:r>
    </w:p>
    <w:p>
      <w:pPr>
        <w:pStyle w:val="null3"/>
        <w:ind w:firstLine="600"/>
        <w:jc w:val="both"/>
      </w:pPr>
      <w:r>
        <w:rPr>
          <w:sz w:val="21"/>
        </w:rPr>
        <w:t>（</w:t>
      </w:r>
      <w:r>
        <w:rPr>
          <w:sz w:val="21"/>
        </w:rPr>
        <w:t>8）缓行路段处置反馈机制缺失：缓行事件发现慢、处置过程无记录、结果反馈不闭环，指挥中心难以实时掌握处置进度。</w:t>
      </w:r>
    </w:p>
    <w:p>
      <w:pPr>
        <w:pStyle w:val="null3"/>
        <w:ind w:firstLine="600"/>
        <w:jc w:val="both"/>
      </w:pPr>
      <w:r>
        <w:rPr>
          <w:sz w:val="21"/>
        </w:rPr>
        <w:t>（</w:t>
      </w:r>
      <w:r>
        <w:rPr>
          <w:sz w:val="21"/>
        </w:rPr>
        <w:t>9）视频应用体验差：接入的</w:t>
      </w:r>
      <w:r>
        <w:rPr>
          <w:sz w:val="21"/>
        </w:rPr>
        <w:t>多</w:t>
      </w:r>
      <w:r>
        <w:rPr>
          <w:sz w:val="21"/>
        </w:rPr>
        <w:t>路视频点位存在播放模块在线率低、传输不稳定、画面卡顿中断等问题，尤其在恶劣天气或高并发时，严重影响可视化指挥效率。</w:t>
      </w:r>
    </w:p>
    <w:p>
      <w:pPr>
        <w:pStyle w:val="null3"/>
        <w:ind w:firstLine="600"/>
        <w:jc w:val="both"/>
      </w:pPr>
      <w:r>
        <w:rPr>
          <w:sz w:val="21"/>
        </w:rPr>
        <w:t>（</w:t>
      </w:r>
      <w:r>
        <w:rPr>
          <w:sz w:val="21"/>
        </w:rPr>
        <w:t>10）系统运维与稳定性挑战：应用运行状态、数据接口异常、资源阈值等缺乏实时监控与自动告警，运维被动。路况播报系统频繁卡顿崩溃，视频播放模块并发处理能力弱，无法满足高峰时段需求。值班要情应用功能简陋，登录方式不安全（用户名/密码）、信息采集流转分散、刊物编辑管理不便，制约了要情报送和业务协同效率。用户身份管理采用弱口令认证，无法精准追溯责任人，存在账号管理风险。</w:t>
      </w:r>
    </w:p>
    <w:p>
      <w:pPr>
        <w:pStyle w:val="null3"/>
        <w:ind w:firstLine="600"/>
        <w:jc w:val="both"/>
      </w:pPr>
      <w:r>
        <w:rPr>
          <w:sz w:val="21"/>
        </w:rPr>
        <w:t>1.3项目执行重点难点分析</w:t>
      </w:r>
    </w:p>
    <w:p>
      <w:pPr>
        <w:pStyle w:val="null3"/>
        <w:ind w:firstLine="600"/>
        <w:jc w:val="both"/>
      </w:pPr>
      <w:r>
        <w:rPr>
          <w:sz w:val="21"/>
        </w:rPr>
        <w:t>（</w:t>
      </w:r>
      <w:r>
        <w:rPr>
          <w:sz w:val="21"/>
        </w:rPr>
        <w:t>1）国产技术路线改造：这是项目的核心与基础，必须按照国产技术路线重新编译原系统，并将系统数据完整迁移至国产警务云平台，确保技术兼容和安全可控。本项目改造涉及数据库、中间件、操作系统、浏览器乃至应用代码的全栈适配，数据迁移需保证完整性、准确性，系统切换上线需确保业务连续性和最小化中断风险，技术挑战高。</w:t>
      </w:r>
    </w:p>
    <w:p>
      <w:pPr>
        <w:pStyle w:val="null3"/>
        <w:ind w:firstLine="600"/>
        <w:jc w:val="both"/>
      </w:pPr>
      <w:r>
        <w:rPr>
          <w:sz w:val="21"/>
        </w:rPr>
        <w:t>（</w:t>
      </w:r>
      <w:r>
        <w:rPr>
          <w:sz w:val="21"/>
        </w:rPr>
        <w:t>2）数据治理与深度赋能：构建“融合数据风险评估及处置体系”是提升业务效能的关键。重点在于建立数据质量评估指标、开发深度分析模型（视频在线率、高速流量、线索办结率预警），并实现数据供应链路的可视化与可追溯。同时需对接5G执法仪、视频流、气象、ETC、道路缓行等新增外部数据源，建立标准接口。对海量存量数据进行质量评估与治理，并构建有效的分析模型，工作量大且专业性强。</w:t>
      </w:r>
    </w:p>
    <w:p>
      <w:pPr>
        <w:pStyle w:val="null3"/>
        <w:ind w:firstLine="600"/>
        <w:jc w:val="both"/>
      </w:pPr>
      <w:r>
        <w:rPr>
          <w:sz w:val="21"/>
        </w:rPr>
        <w:t>（</w:t>
      </w:r>
      <w:r>
        <w:rPr>
          <w:sz w:val="21"/>
        </w:rPr>
        <w:t>3）指挥调度能力实战化提升：重点升级“交通指挥调度”功能，实现缓行路段任务监督与反馈闭环、重大事故信息实时上图与全流程监督、省-市-县三级情报线索高效传递，从而提升应急响应和协同作战能力。</w:t>
      </w:r>
    </w:p>
    <w:p>
      <w:pPr>
        <w:pStyle w:val="null3"/>
        <w:ind w:firstLine="600"/>
        <w:jc w:val="both"/>
      </w:pPr>
      <w:r>
        <w:rPr>
          <w:sz w:val="21"/>
        </w:rPr>
        <w:t>（</w:t>
      </w:r>
      <w:r>
        <w:rPr>
          <w:sz w:val="21"/>
        </w:rPr>
        <w:t>4）系统稳定性与用户体验优化：重点解决视频卡顿问题（视频优播模块），并建立“应用状态监测与告警”体系，实现对系统运行状态的实时监控、智能预警和故障快速定位，保障系统高可用性。视频优播模块需支撑全省数十万路视频的稳定调阅与高并发访问；系统需满足100个/秒的并发请求峰值。在国产化新环境下达成这些非功能性指标，需要进行充分的性能测试与优化。</w:t>
      </w:r>
    </w:p>
    <w:p>
      <w:pPr>
        <w:pStyle w:val="null3"/>
        <w:ind w:firstLine="600"/>
        <w:jc w:val="both"/>
      </w:pPr>
      <w:r>
        <w:rPr>
          <w:sz w:val="21"/>
        </w:rPr>
        <w:t>（</w:t>
      </w:r>
      <w:r>
        <w:rPr>
          <w:sz w:val="21"/>
        </w:rPr>
        <w:t>5）安全与身份认证体系加固：对接省厅统一用户认证服务，实现精准身份鉴别和责任追溯，同时确保系统在国产化环境下满足等级保护三级和商用密码应用安全要求。</w:t>
      </w:r>
    </w:p>
    <w:p>
      <w:pPr>
        <w:pStyle w:val="null3"/>
        <w:ind w:firstLine="600"/>
        <w:jc w:val="both"/>
      </w:pPr>
      <w:r>
        <w:rPr>
          <w:sz w:val="21"/>
        </w:rPr>
        <w:t>（</w:t>
      </w:r>
      <w:r>
        <w:rPr>
          <w:sz w:val="21"/>
        </w:rPr>
        <w:t>6）业务功能升级与旧系统融合：新增的7项功能（如数据风险评估、供应链可视化、系统反馈机制等）需要与原有复杂的业务模块（缓行监测、警情管理等）深度集成，确保数据流、业务流无缝衔接，设计和技术实现复杂度高。</w:t>
      </w:r>
    </w:p>
    <w:p>
      <w:pPr>
        <w:pStyle w:val="null3"/>
        <w:ind w:firstLine="600"/>
        <w:jc w:val="both"/>
      </w:pPr>
      <w:r>
        <w:rPr>
          <w:sz w:val="21"/>
        </w:rPr>
        <w:t>1.4为确保本项目开展顺利，投标人应对项目业务总体需求有透彻地理解，包括但不限于数据链路现状及问题分析、原平台业务现状及问题分析、项目执行重点难点分析等内容。</w:t>
      </w:r>
    </w:p>
    <w:p>
      <w:pPr>
        <w:pStyle w:val="null3"/>
        <w:ind w:left="645"/>
        <w:jc w:val="both"/>
        <w:outlineLvl w:val="2"/>
      </w:pPr>
      <w:r>
        <w:rPr>
          <w:sz w:val="21"/>
          <w:b/>
        </w:rPr>
        <w:t>2.项目总体技术要求</w:t>
      </w:r>
    </w:p>
    <w:p>
      <w:pPr>
        <w:pStyle w:val="null3"/>
        <w:ind w:firstLine="600"/>
        <w:jc w:val="both"/>
      </w:pPr>
      <w:r>
        <w:rPr>
          <w:sz w:val="21"/>
        </w:rPr>
        <w:t>2.1整体设计思路</w:t>
      </w:r>
    </w:p>
    <w:p>
      <w:pPr>
        <w:pStyle w:val="null3"/>
        <w:ind w:firstLine="600"/>
        <w:jc w:val="both"/>
      </w:pPr>
      <w:r>
        <w:rPr>
          <w:sz w:val="21"/>
        </w:rPr>
        <w:t>本项目应以</w:t>
      </w:r>
      <w:r>
        <w:rPr>
          <w:sz w:val="21"/>
        </w:rPr>
        <w:t>“政策合规、安全可控、实战引领、数据赋能”为核心设计理念，旨在对现有广东省公安厅交通指挥系统进行全面升级改造。整体设计思路遵循以下路径：</w:t>
      </w:r>
    </w:p>
    <w:p>
      <w:pPr>
        <w:pStyle w:val="null3"/>
        <w:ind w:firstLine="600"/>
        <w:jc w:val="both"/>
      </w:pPr>
      <w:r>
        <w:rPr>
          <w:sz w:val="21"/>
        </w:rPr>
        <w:t>政策合规先行：严格遵循国家及广东省关于政务信息化、数字政府、公安信息化及应急管理的系列规划要求，</w:t>
      </w:r>
      <w:r>
        <w:rPr>
          <w:sz w:val="21"/>
        </w:rPr>
        <w:t>按照国产技术路线</w:t>
      </w:r>
      <w:r>
        <w:rPr>
          <w:sz w:val="21"/>
        </w:rPr>
        <w:t>开展</w:t>
      </w:r>
      <w:r>
        <w:rPr>
          <w:sz w:val="21"/>
        </w:rPr>
        <w:t>系统改造后，</w:t>
      </w:r>
      <w:r>
        <w:rPr>
          <w:sz w:val="21"/>
        </w:rPr>
        <w:t>迁移至省厅警务云国产化环境</w:t>
      </w:r>
      <w:r>
        <w:rPr>
          <w:sz w:val="21"/>
        </w:rPr>
        <w:t>。</w:t>
      </w:r>
    </w:p>
    <w:p>
      <w:pPr>
        <w:pStyle w:val="null3"/>
        <w:ind w:firstLine="600"/>
        <w:jc w:val="both"/>
      </w:pPr>
      <w:r>
        <w:rPr>
          <w:sz w:val="21"/>
        </w:rPr>
        <w:t>问题导向与功能补强：针对当前系统在指挥调度、数据应用、系统稳定性和值班要情管理等方面存在的具体短板，规划升级改造相关功能，旨在填补建设空白，提升实战能力。</w:t>
      </w:r>
    </w:p>
    <w:p>
      <w:pPr>
        <w:pStyle w:val="null3"/>
        <w:ind w:firstLine="600"/>
        <w:jc w:val="both"/>
      </w:pPr>
      <w:r>
        <w:rPr>
          <w:sz w:val="21"/>
        </w:rPr>
        <w:t>数据驱动与风险防控：构建</w:t>
      </w:r>
      <w:r>
        <w:rPr>
          <w:sz w:val="21"/>
        </w:rPr>
        <w:t>“融合数据风险评估及处置体系”，通过数据深度分析模型和质量评估指标，实现对视频在线率、高速流量、情报线索等核心业务数据的动态监测、风险预警与质量管控，变被动响应为主动预防。</w:t>
      </w:r>
    </w:p>
    <w:p>
      <w:pPr>
        <w:pStyle w:val="null3"/>
        <w:ind w:firstLine="600"/>
        <w:jc w:val="both"/>
      </w:pPr>
      <w:r>
        <w:rPr>
          <w:sz w:val="21"/>
        </w:rPr>
        <w:t>架构优化与协同增效：优化系统架构，强化与省厅情指要情系统、警务云公共服务（统一认证、消息服务等）及外部数据源（气象、</w:t>
      </w:r>
      <w:r>
        <w:rPr>
          <w:sz w:val="21"/>
        </w:rPr>
        <w:t>ETC、5G执法仪等）的深度集成与业务协同，打通省、市、县三级指挥链条，提升跨部门、跨层级应急响应与协同作战效率。</w:t>
      </w:r>
    </w:p>
    <w:p>
      <w:pPr>
        <w:pStyle w:val="null3"/>
        <w:ind w:firstLine="600"/>
        <w:jc w:val="both"/>
      </w:pPr>
      <w:r>
        <w:rPr>
          <w:sz w:val="21"/>
        </w:rPr>
        <w:t>稳定可靠与持续运维：通过应用状态监测与告警、数据供应链路可视化、视频优播等模块建设，提升系统高可用性、可维护性和用户体验，为常态化、高负荷的交通指挥业务提供坚实技术保障。</w:t>
      </w:r>
    </w:p>
    <w:p>
      <w:pPr>
        <w:pStyle w:val="null3"/>
        <w:ind w:firstLine="600"/>
        <w:jc w:val="both"/>
      </w:pPr>
      <w:r>
        <w:rPr>
          <w:sz w:val="21"/>
        </w:rPr>
        <w:t>业务架构：应围绕</w:t>
      </w:r>
      <w:r>
        <w:rPr>
          <w:sz w:val="21"/>
        </w:rPr>
        <w:t>“指挥调度、数据治理、系统运维、情报互通”四大核心业务域展开，纵向贯通省局、支队、大队三级用户，横向整合内外部系统与数据资源。</w:t>
      </w:r>
    </w:p>
    <w:p>
      <w:pPr>
        <w:pStyle w:val="null3"/>
        <w:ind w:firstLine="602"/>
        <w:jc w:val="both"/>
      </w:pPr>
      <w:r>
        <w:rPr>
          <w:sz w:val="21"/>
          <w:b/>
        </w:rPr>
        <w:t>注：</w:t>
      </w:r>
      <w:r>
        <w:rPr>
          <w:sz w:val="21"/>
          <w:b/>
        </w:rPr>
        <w:t>1.投标人须按照本项目技术建设要求，在原系统源码基础上完成全面的国产化适配改造工作，应在投标文件中单独提交《国产化改造专项履约承诺函》。2.投标人须按照本项目技术建设要求，完成气象、ETC、5G执法仪的关键外部数据源标准化集成对接，同步打通省、市、县三级指挥链条业务协同体系，应在投标文件中单独提交《关键外部数据源集成专项履约承诺函》。</w:t>
      </w:r>
    </w:p>
    <w:p>
      <w:pPr>
        <w:pStyle w:val="null3"/>
        <w:ind w:left="645"/>
        <w:jc w:val="both"/>
        <w:outlineLvl w:val="2"/>
      </w:pPr>
      <w:r>
        <w:rPr>
          <w:sz w:val="21"/>
          <w:b/>
        </w:rPr>
        <w:t>3.定制软件开发服务要求（需包括功能设计、流程设计、界面设计）</w:t>
      </w:r>
    </w:p>
    <w:p>
      <w:pPr>
        <w:pStyle w:val="null3"/>
        <w:ind w:firstLine="600"/>
        <w:jc w:val="both"/>
      </w:pPr>
      <w:r>
        <w:rPr>
          <w:sz w:val="21"/>
        </w:rPr>
        <w:t>3.1融合数据风险评估及处置体系功能模块</w:t>
      </w:r>
    </w:p>
    <w:p>
      <w:pPr>
        <w:pStyle w:val="null3"/>
        <w:ind w:firstLine="600"/>
        <w:jc w:val="both"/>
      </w:pPr>
      <w:r>
        <w:rPr>
          <w:sz w:val="21"/>
        </w:rPr>
        <w:t>升级融合数据风险评估及处置体系，建设数据深度分析模型，提升视频在线率分析预警处置、高速公路流量数据研判分析预警处置、情报线索办结率预警处置能力。建设数据质量评估指标体系，完善指挥系统视频在线率评估指标、高速公路流量数据研判评估指标、情报线索处置过程评估指标、警情回复考核指标。建设外部系统对接接口，解决库对接效率不高的问题，建立标准化数据交互体系，包括</w:t>
      </w:r>
      <w:r>
        <w:rPr>
          <w:sz w:val="21"/>
        </w:rPr>
        <w:t>5G执法仪、视频流数据接入、气象数据、ETC数据、道路缓行数据等五类标准数据对接接口。</w:t>
      </w:r>
    </w:p>
    <w:p>
      <w:pPr>
        <w:pStyle w:val="null3"/>
        <w:ind w:firstLine="600"/>
        <w:jc w:val="both"/>
      </w:pPr>
      <w:r>
        <w:rPr>
          <w:sz w:val="21"/>
        </w:rPr>
        <w:t>3.2交通指挥调度功能模块</w:t>
      </w:r>
    </w:p>
    <w:p>
      <w:pPr>
        <w:pStyle w:val="null3"/>
        <w:ind w:firstLine="600"/>
        <w:jc w:val="both"/>
      </w:pPr>
      <w:r>
        <w:rPr>
          <w:sz w:val="21"/>
        </w:rPr>
        <w:t>开发缓行路段任务处置反馈监督和处置反馈机制模块，主要功能包括缓行路段处置反馈、处置结果记录，量化评估指标设置、评估报告生成，警力任务部署可视化及警力状态更新。完善重大事故全流程监督，实现主要功能包括重大事故信息上图，事故信息实时标注、事故处置全流程记录。完善三级情报线索管理，开发情报传递系统，主要功能包括线索下发、线索签收、线索处置反馈、线索审核、线索超时提醒、情报线索提醒等功能，实现线索处置进度跟踪，提升传递效率。</w:t>
      </w:r>
    </w:p>
    <w:p>
      <w:pPr>
        <w:pStyle w:val="null3"/>
        <w:ind w:firstLine="600"/>
        <w:jc w:val="both"/>
      </w:pPr>
      <w:r>
        <w:rPr>
          <w:sz w:val="21"/>
        </w:rPr>
        <w:t>3.3视频优播功能模块</w:t>
      </w:r>
    </w:p>
    <w:p>
      <w:pPr>
        <w:pStyle w:val="null3"/>
        <w:ind w:firstLine="600"/>
        <w:jc w:val="both"/>
      </w:pPr>
      <w:r>
        <w:rPr>
          <w:sz w:val="21"/>
        </w:rPr>
        <w:t>改进视频播放能力，提升视频播放流畅度，通过视频质量清洗，排除异常设备，保证视频播放质量，主要功能包括视频播放信息、视频质量预检信息。</w:t>
      </w:r>
    </w:p>
    <w:p>
      <w:pPr>
        <w:pStyle w:val="null3"/>
        <w:ind w:firstLine="600"/>
        <w:jc w:val="both"/>
      </w:pPr>
      <w:r>
        <w:rPr>
          <w:sz w:val="21"/>
        </w:rPr>
        <w:t>3.4应用状态监测与告警功能模块</w:t>
      </w:r>
    </w:p>
    <w:p>
      <w:pPr>
        <w:pStyle w:val="null3"/>
        <w:ind w:firstLine="600"/>
        <w:jc w:val="both"/>
      </w:pPr>
      <w:r>
        <w:rPr>
          <w:sz w:val="21"/>
        </w:rPr>
        <w:t>开发应用状态监测与告警模块，主要功能包括应用状态自动化监测信息、日志统一接入信息、日志链路追踪信息、告警规则信息、自动化故障恢复机制信息、基础环境自动化监测信息、中间件服务状态监测信息以及预警信息。通过对这些信息的协同运用，构建基础环境层面的健康监测，实现故障诊断和修复建议智能化。</w:t>
      </w:r>
    </w:p>
    <w:p>
      <w:pPr>
        <w:pStyle w:val="null3"/>
        <w:ind w:firstLine="600"/>
        <w:jc w:val="both"/>
      </w:pPr>
      <w:r>
        <w:rPr>
          <w:sz w:val="21"/>
        </w:rPr>
        <w:t>3.5数据供应链路可视化功能模块</w:t>
      </w:r>
    </w:p>
    <w:p>
      <w:pPr>
        <w:pStyle w:val="null3"/>
        <w:ind w:firstLine="600"/>
        <w:jc w:val="both"/>
      </w:pPr>
      <w:r>
        <w:rPr>
          <w:sz w:val="21"/>
        </w:rPr>
        <w:t>开发数据供应链路可视化模块，展示数据从来源到使用的全流程。主要功能包括数据源信息、任务配置信息、数据供应链路可视化监管信息、数据血缘关系图谱信息、数据流转日志记录信息。记录数据流转全过程，生成可追溯的日志文件。并提供日志查询和分析功能。</w:t>
      </w:r>
    </w:p>
    <w:p>
      <w:pPr>
        <w:pStyle w:val="null3"/>
        <w:ind w:firstLine="600"/>
        <w:jc w:val="both"/>
      </w:pPr>
      <w:r>
        <w:rPr>
          <w:sz w:val="21"/>
        </w:rPr>
        <w:t>3.6系统反馈机制功能模块</w:t>
      </w:r>
    </w:p>
    <w:p>
      <w:pPr>
        <w:pStyle w:val="null3"/>
        <w:ind w:firstLine="600"/>
        <w:jc w:val="both"/>
      </w:pPr>
      <w:r>
        <w:rPr>
          <w:sz w:val="21"/>
        </w:rPr>
        <w:t>系统提供用户使用意见采集功能，针对收集的用户使用意见，进行跟踪反馈和处理，主要功能模块包括系统使用意见信息、反馈跟踪信息。</w:t>
      </w:r>
    </w:p>
    <w:p>
      <w:pPr>
        <w:pStyle w:val="null3"/>
        <w:ind w:firstLine="600"/>
        <w:jc w:val="both"/>
      </w:pPr>
      <w:r>
        <w:rPr>
          <w:sz w:val="21"/>
        </w:rPr>
        <w:t>3.7值班要情应用功能模块</w:t>
      </w:r>
    </w:p>
    <w:p>
      <w:pPr>
        <w:pStyle w:val="null3"/>
        <w:ind w:firstLine="600"/>
        <w:jc w:val="both"/>
      </w:pPr>
      <w:r>
        <w:rPr>
          <w:sz w:val="21"/>
        </w:rPr>
        <w:t>对值班要情应用模块进行全面升级改造，使系统在功能、性能、易用性、实用性上有大幅度的提高，满足新的业务需求，需按照国产技术路线，采用国产数据库、中间件等实现相关功能。功能模块主要包括：统一身份认证、待办事宜、要情管理、刊物管理、会议报名、领导批阅端、重点跟办、资料管理、查询统计、互动交流、移动警务应用、日志管理、系统管理、外部系统支撑（对接省厅统一消息服务进行短信发送）、与省厅情指要情对接（对接省厅情指要情系统接口，通过调用对方接口完成与省厅要情系统相关信息交互）、与交管指挥系统对接（为交管指挥系统提供接口，对方通过调用本系统提供的接口完成与交管指挥系统的相关信息交互）、其他辅助功能等。</w:t>
      </w:r>
    </w:p>
    <w:p>
      <w:pPr>
        <w:pStyle w:val="null3"/>
        <w:ind w:left="645"/>
        <w:jc w:val="both"/>
        <w:outlineLvl w:val="2"/>
      </w:pPr>
      <w:r>
        <w:rPr>
          <w:sz w:val="21"/>
          <w:b/>
        </w:rPr>
        <w:t>4.定制软件升级服务要求（需包括功能设计、流程设计、界面设计）</w:t>
      </w:r>
    </w:p>
    <w:p>
      <w:pPr>
        <w:pStyle w:val="null3"/>
        <w:ind w:firstLine="600"/>
        <w:jc w:val="both"/>
      </w:pPr>
      <w:r>
        <w:rPr>
          <w:sz w:val="21"/>
        </w:rPr>
        <w:t>基于国产技术路线对广东省公安厅交通指挥系统开展全功能、全环境的升级改造，</w:t>
      </w:r>
      <w:r>
        <w:rPr>
          <w:sz w:val="21"/>
        </w:rPr>
        <w:t>覆盖缓行监测、交通警情管理、信息采编、勤务巡查、</w:t>
      </w:r>
      <w:r>
        <w:rPr>
          <w:sz w:val="21"/>
        </w:rPr>
        <w:t>交通视频</w:t>
      </w:r>
      <w:r>
        <w:rPr>
          <w:sz w:val="21"/>
        </w:rPr>
        <w:t>等核心模块。原系统为</w:t>
      </w:r>
      <w:r>
        <w:rPr>
          <w:sz w:val="21"/>
        </w:rPr>
        <w:t>B/S架构，升级改造后全面迁移至省厅国产云环境。改造内容包括使用国产数据库对原有数据库进行编译，并完成数据安全迁移；使用国产中间件；对系统功能模块进行服务与应用适配；同时完成前端页面在国产操作系统和浏览器环境下的兼容性改造。通过本次改造，全面提升系统的自主可控性、安全性与可持续运行能力。</w:t>
      </w:r>
    </w:p>
    <w:p>
      <w:pPr>
        <w:pStyle w:val="null3"/>
        <w:ind w:firstLine="600"/>
        <w:jc w:val="both"/>
      </w:pPr>
      <w:r>
        <w:rPr>
          <w:sz w:val="21"/>
        </w:rPr>
        <w:t>具体适配改造要求包括：</w:t>
      </w:r>
    </w:p>
    <w:p>
      <w:pPr>
        <w:pStyle w:val="null3"/>
        <w:ind w:firstLine="600"/>
        <w:jc w:val="both"/>
      </w:pPr>
      <w:r>
        <w:rPr>
          <w:sz w:val="21"/>
        </w:rPr>
        <w:t>（</w:t>
      </w:r>
      <w:r>
        <w:rPr>
          <w:sz w:val="21"/>
        </w:rPr>
        <w:t>1）数据库适配改造：包括数据库接口适配、数据类型与格式适配、SQL语句适配、安全性适配、性能优化、功能特性适配；</w:t>
      </w:r>
    </w:p>
    <w:p>
      <w:pPr>
        <w:pStyle w:val="null3"/>
        <w:ind w:firstLine="600"/>
        <w:jc w:val="both"/>
      </w:pPr>
      <w:r>
        <w:rPr>
          <w:sz w:val="21"/>
        </w:rPr>
        <w:t>（</w:t>
      </w:r>
      <w:r>
        <w:rPr>
          <w:sz w:val="21"/>
        </w:rPr>
        <w:t>2）中间件适配改造：包括接口与协议适配、功能特性适配、性能优化、安全性与稳定性适配、程序代码改造；</w:t>
      </w:r>
    </w:p>
    <w:p>
      <w:pPr>
        <w:pStyle w:val="null3"/>
        <w:ind w:firstLine="600"/>
        <w:jc w:val="both"/>
      </w:pPr>
      <w:r>
        <w:rPr>
          <w:sz w:val="21"/>
        </w:rPr>
        <w:t>（</w:t>
      </w:r>
      <w:r>
        <w:rPr>
          <w:sz w:val="21"/>
        </w:rPr>
        <w:t>3）操作系统适配：包括接口与API适配、系统调用与资源管理适配、安全性与权限管理适配、兼容性与稳定性测试、用户体验与界面适配；</w:t>
      </w:r>
    </w:p>
    <w:p>
      <w:pPr>
        <w:pStyle w:val="null3"/>
        <w:ind w:firstLine="600"/>
        <w:jc w:val="both"/>
      </w:pPr>
      <w:r>
        <w:rPr>
          <w:sz w:val="21"/>
        </w:rPr>
        <w:t>（</w:t>
      </w:r>
      <w:r>
        <w:rPr>
          <w:sz w:val="21"/>
        </w:rPr>
        <w:t>4）浏览器适配：包括浏览器兼容性处理、API与特性适配、页面布局与渲染适配、性能优化、安全性与隐私保护、用户体验与交互适配；</w:t>
      </w:r>
    </w:p>
    <w:p>
      <w:pPr>
        <w:pStyle w:val="null3"/>
        <w:ind w:firstLine="600"/>
        <w:jc w:val="both"/>
      </w:pPr>
      <w:r>
        <w:rPr>
          <w:sz w:val="21"/>
        </w:rPr>
        <w:t>（</w:t>
      </w:r>
      <w:r>
        <w:rPr>
          <w:sz w:val="21"/>
        </w:rPr>
        <w:t>5）数据迁移适配：包括数据格式与标准的转换、数据完整性与准确性的保障、性能测试与优化；</w:t>
      </w:r>
    </w:p>
    <w:p>
      <w:pPr>
        <w:pStyle w:val="null3"/>
        <w:ind w:firstLine="600"/>
        <w:jc w:val="both"/>
      </w:pPr>
      <w:r>
        <w:rPr>
          <w:sz w:val="21"/>
        </w:rPr>
        <w:t>（</w:t>
      </w:r>
      <w:r>
        <w:rPr>
          <w:sz w:val="21"/>
        </w:rPr>
        <w:t>6）系统切换与上线：包括系统切换保障、系统切换执行、旧系统下线。</w:t>
      </w:r>
    </w:p>
    <w:p>
      <w:pPr>
        <w:pStyle w:val="null3"/>
        <w:ind w:left="645"/>
        <w:jc w:val="both"/>
        <w:outlineLvl w:val="2"/>
      </w:pPr>
      <w:r>
        <w:rPr>
          <w:sz w:val="21"/>
          <w:b/>
        </w:rPr>
        <w:t>5.系统非功能性要求</w:t>
      </w:r>
    </w:p>
    <w:p>
      <w:pPr>
        <w:pStyle w:val="null3"/>
        <w:ind w:firstLine="600"/>
        <w:jc w:val="both"/>
      </w:pPr>
      <w:r>
        <w:rPr>
          <w:sz w:val="21"/>
        </w:rPr>
        <w:t>（</w:t>
      </w:r>
      <w:r>
        <w:rPr>
          <w:sz w:val="21"/>
        </w:rPr>
        <w:t>1）稳定性指标</w:t>
      </w:r>
    </w:p>
    <w:p>
      <w:pPr>
        <w:pStyle w:val="null3"/>
        <w:ind w:firstLine="600"/>
        <w:jc w:val="both"/>
      </w:pPr>
      <w:r>
        <w:rPr>
          <w:sz w:val="21"/>
        </w:rPr>
        <w:t>系统有效工作时间：</w:t>
      </w:r>
      <w:r>
        <w:rPr>
          <w:sz w:val="21"/>
        </w:rPr>
        <w:t>≥99%；</w:t>
      </w:r>
    </w:p>
    <w:p>
      <w:pPr>
        <w:pStyle w:val="null3"/>
        <w:ind w:firstLine="600"/>
        <w:jc w:val="both"/>
      </w:pPr>
      <w:r>
        <w:rPr>
          <w:sz w:val="21"/>
        </w:rPr>
        <w:t>系统故障平均间隔时间：</w:t>
      </w:r>
      <w:r>
        <w:rPr>
          <w:sz w:val="21"/>
        </w:rPr>
        <w:t>≥60天；</w:t>
      </w:r>
    </w:p>
    <w:p>
      <w:pPr>
        <w:pStyle w:val="null3"/>
        <w:ind w:firstLine="600"/>
        <w:jc w:val="both"/>
      </w:pPr>
      <w:r>
        <w:rPr>
          <w:sz w:val="21"/>
        </w:rPr>
        <w:t>系统一年的故障停机时间不超过</w:t>
      </w:r>
      <w:r>
        <w:rPr>
          <w:sz w:val="21"/>
        </w:rPr>
        <w:t>60分钟（停电等不可预测因素除外）；</w:t>
      </w:r>
    </w:p>
    <w:p>
      <w:pPr>
        <w:pStyle w:val="null3"/>
        <w:ind w:firstLine="600"/>
        <w:jc w:val="both"/>
      </w:pPr>
      <w:r>
        <w:rPr>
          <w:sz w:val="21"/>
        </w:rPr>
        <w:t>不得出现以下情况：无故退出系统；发生系统不可控制的故障提示；因系统故障导致操作系统或机器无法正常工作。</w:t>
      </w:r>
    </w:p>
    <w:p>
      <w:pPr>
        <w:pStyle w:val="null3"/>
        <w:ind w:firstLine="600"/>
        <w:jc w:val="both"/>
      </w:pPr>
      <w:r>
        <w:rPr>
          <w:sz w:val="21"/>
        </w:rPr>
        <w:t>（</w:t>
      </w:r>
      <w:r>
        <w:rPr>
          <w:sz w:val="21"/>
        </w:rPr>
        <w:t>2）并发支持指标</w:t>
      </w:r>
    </w:p>
    <w:p>
      <w:pPr>
        <w:pStyle w:val="null3"/>
        <w:ind w:firstLine="600"/>
        <w:jc w:val="both"/>
      </w:pPr>
      <w:r>
        <w:rPr>
          <w:sz w:val="21"/>
        </w:rPr>
        <w:t>接入业务并发请求峰值：</w:t>
      </w:r>
      <w:r>
        <w:rPr>
          <w:sz w:val="21"/>
        </w:rPr>
        <w:t>100个/秒</w:t>
      </w:r>
    </w:p>
    <w:p>
      <w:pPr>
        <w:pStyle w:val="null3"/>
        <w:ind w:firstLine="600"/>
        <w:jc w:val="both"/>
      </w:pPr>
      <w:r>
        <w:rPr>
          <w:sz w:val="21"/>
        </w:rPr>
        <w:t>（</w:t>
      </w:r>
      <w:r>
        <w:rPr>
          <w:sz w:val="21"/>
        </w:rPr>
        <w:t>3）响应指标</w:t>
      </w:r>
    </w:p>
    <w:p>
      <w:pPr>
        <w:pStyle w:val="null3"/>
        <w:ind w:firstLine="600"/>
        <w:jc w:val="both"/>
      </w:pPr>
      <w:r>
        <w:rPr>
          <w:sz w:val="21"/>
        </w:rPr>
        <w:t>系统涉及单表查询功能响应时间应在</w:t>
      </w:r>
      <w:r>
        <w:rPr>
          <w:sz w:val="21"/>
        </w:rPr>
        <w:t>2秒之内；</w:t>
      </w:r>
    </w:p>
    <w:p>
      <w:pPr>
        <w:pStyle w:val="null3"/>
        <w:ind w:firstLine="600"/>
        <w:jc w:val="both"/>
      </w:pPr>
      <w:r>
        <w:rPr>
          <w:sz w:val="21"/>
        </w:rPr>
        <w:t>系统设计多表查询功能响应时间应在</w:t>
      </w:r>
      <w:r>
        <w:rPr>
          <w:sz w:val="21"/>
        </w:rPr>
        <w:t>5秒之内；</w:t>
      </w:r>
    </w:p>
    <w:p>
      <w:pPr>
        <w:pStyle w:val="null3"/>
        <w:ind w:firstLine="600"/>
        <w:jc w:val="both"/>
      </w:pPr>
      <w:r>
        <w:rPr>
          <w:sz w:val="21"/>
        </w:rPr>
        <w:t>复杂报表、统计查询功能响应时间应在</w:t>
      </w:r>
      <w:r>
        <w:rPr>
          <w:sz w:val="21"/>
        </w:rPr>
        <w:t>8秒之内；</w:t>
      </w:r>
    </w:p>
    <w:p>
      <w:pPr>
        <w:pStyle w:val="null3"/>
        <w:ind w:firstLine="600"/>
        <w:jc w:val="both"/>
      </w:pPr>
      <w:r>
        <w:rPr>
          <w:sz w:val="21"/>
        </w:rPr>
        <w:t>（</w:t>
      </w:r>
      <w:r>
        <w:rPr>
          <w:sz w:val="21"/>
        </w:rPr>
        <w:t>4）易用性要求</w:t>
      </w:r>
    </w:p>
    <w:p>
      <w:pPr>
        <w:pStyle w:val="null3"/>
        <w:ind w:firstLine="600"/>
        <w:jc w:val="both"/>
      </w:pPr>
      <w:r>
        <w:rPr>
          <w:sz w:val="21"/>
        </w:rPr>
        <w:t>要求系统页面简洁直观，各项功能层次清晰、操作易用友好，系统易安装、易更新升级，</w:t>
      </w:r>
      <w:r>
        <w:rPr>
          <w:sz w:val="21"/>
        </w:rPr>
        <w:t>web系统支持国产浏览器。</w:t>
      </w:r>
    </w:p>
    <w:p>
      <w:pPr>
        <w:pStyle w:val="null3"/>
        <w:ind w:left="645"/>
        <w:jc w:val="both"/>
        <w:outlineLvl w:val="2"/>
      </w:pPr>
      <w:r>
        <w:rPr>
          <w:sz w:val="21"/>
          <w:b/>
        </w:rPr>
        <w:t>6.</w:t>
      </w:r>
      <w:r>
        <w:rPr>
          <w:sz w:val="21"/>
          <w:b/>
        </w:rPr>
        <w:t>系统演示说明</w:t>
      </w:r>
    </w:p>
    <w:p>
      <w:pPr>
        <w:pStyle w:val="null3"/>
        <w:ind w:firstLine="600"/>
        <w:jc w:val="both"/>
      </w:pPr>
      <w:r>
        <w:rPr>
          <w:sz w:val="21"/>
        </w:rPr>
        <w:t>广东省作为粤港澳大湾区的核心区域，其交通枢纽地位至关重要。面对高人口密度、巨大交通流量与有限城市道路资源之间的突出矛盾，交通管理压力日益加剧，尤其在节假日期间，严重的交通拥堵现象显著影响了市民的出行效率与体验。为有效应对这一挑战，提升疏堵管控的及时性与科学性，通过本项目建设构建一套基于实时路况的智能预警与响应体系，要求投标方必须具备对全省高速路网运行状态的精准感知、实时预警与前瞻预测能力，能够对</w:t>
      </w:r>
      <w:r>
        <w:rPr>
          <w:sz w:val="21"/>
        </w:rPr>
        <w:t>“全省高速路网缓行预警”、“出入省方向流量监测”的系统功能业务流程进行录屏演示，视频5分钟以内，以U盘1份（不留密码，无病毒，不压缩）的形式提交，需在提交投标文件截止时间前密封递交，逾期送达的，采购代理机构将拒收。业务流程需要包括全省高速公路缓行预警，缓行情况反馈。演示内容如下：</w:t>
      </w:r>
    </w:p>
    <w:p>
      <w:pPr>
        <w:pStyle w:val="null3"/>
        <w:ind w:firstLine="600"/>
        <w:jc w:val="both"/>
      </w:pPr>
      <w:r>
        <w:rPr>
          <w:sz w:val="21"/>
        </w:rPr>
        <w:t>（</w:t>
      </w:r>
      <w:r>
        <w:rPr>
          <w:sz w:val="21"/>
        </w:rPr>
        <w:t>1）用户使用账号密码登录系统后，登录后进入事件监测-缓行预警模块，即可查询当前全省范围内的实时缓行路段，对应缓行路段将在地图上直观呈现，支持关联周边视频；同时支持通过缓行距离、缓行持续时长、缓行时速多维度条件进行精准筛选查询。</w:t>
      </w:r>
    </w:p>
    <w:p>
      <w:pPr>
        <w:pStyle w:val="null3"/>
        <w:ind w:firstLine="600"/>
        <w:jc w:val="both"/>
      </w:pPr>
      <w:r>
        <w:rPr>
          <w:sz w:val="21"/>
        </w:rPr>
        <w:t>（</w:t>
      </w:r>
      <w:r>
        <w:rPr>
          <w:sz w:val="21"/>
        </w:rPr>
        <w:t>2）开启交管数据图层，勾选易缓行点段目录下的对应图层，系统将在地图上加载并展示该图层信息。</w:t>
      </w:r>
    </w:p>
    <w:p>
      <w:pPr>
        <w:pStyle w:val="null3"/>
        <w:ind w:firstLine="600"/>
        <w:jc w:val="both"/>
      </w:pPr>
      <w:r>
        <w:rPr>
          <w:sz w:val="21"/>
        </w:rPr>
        <w:t>（</w:t>
      </w:r>
      <w:r>
        <w:rPr>
          <w:sz w:val="21"/>
        </w:rPr>
        <w:t>3）选中目标图层后，可直观掌握全省高速公路易缓行点的实时缓行状态；点击具体缓行点段，即可查看该点段的详细信息，包括拥堵方向、缓行车速、缓行距离、缓行时间、处置情况等。</w:t>
      </w:r>
    </w:p>
    <w:p>
      <w:pPr>
        <w:pStyle w:val="null3"/>
        <w:ind w:firstLine="600"/>
        <w:jc w:val="both"/>
      </w:pPr>
      <w:r>
        <w:rPr>
          <w:sz w:val="21"/>
        </w:rPr>
        <w:t>（</w:t>
      </w:r>
      <w:r>
        <w:rPr>
          <w:sz w:val="21"/>
        </w:rPr>
        <w:t>4）进入实时数据墙界面。在此界面中，可查看出省方向流量总数及同比、环比数据，以及入省方向流量总数及同比、环比数据，同时支持按日期维度进行精准查询，为省级高速出入口流量监测报告的核心数据提取提供支撑。</w:t>
      </w:r>
    </w:p>
    <w:p>
      <w:pPr>
        <w:pStyle w:val="null3"/>
        <w:ind w:firstLine="600"/>
        <w:jc w:val="both"/>
      </w:pPr>
      <w:r>
        <w:rPr>
          <w:sz w:val="21"/>
        </w:rPr>
        <w:t>（</w:t>
      </w:r>
      <w:r>
        <w:rPr>
          <w:sz w:val="21"/>
        </w:rPr>
        <w:t>5）点击入省车流量模块或出省车流量模块，即可跳转至详情界面，查看各卡口对应的入省流量、出省流量详细信息。</w:t>
      </w:r>
    </w:p>
    <w:p>
      <w:pPr>
        <w:pStyle w:val="null3"/>
        <w:ind w:left="645"/>
        <w:jc w:val="left"/>
        <w:outlineLvl w:val="1"/>
      </w:pPr>
      <w:r>
        <w:rPr>
          <w:sz w:val="21"/>
          <w:b/>
        </w:rPr>
        <w:t>(二)商务要求：</w:t>
      </w:r>
    </w:p>
    <w:p>
      <w:pPr>
        <w:pStyle w:val="null3"/>
        <w:ind w:left="645"/>
        <w:jc w:val="both"/>
        <w:outlineLvl w:val="2"/>
      </w:pPr>
      <w:r>
        <w:rPr>
          <w:sz w:val="21"/>
          <w:b/>
        </w:rPr>
        <w:t>1.服务期限</w:t>
      </w:r>
    </w:p>
    <w:p>
      <w:pPr>
        <w:pStyle w:val="null3"/>
        <w:ind w:firstLine="600"/>
        <w:jc w:val="left"/>
      </w:pPr>
      <w:r>
        <w:rPr>
          <w:sz w:val="21"/>
        </w:rPr>
        <w:t>软件开发服务建设期为</w:t>
      </w:r>
      <w:r>
        <w:rPr>
          <w:sz w:val="21"/>
        </w:rPr>
        <w:t>12个月。2个月内（合同签订后）完成需求调研与系统详细设计，9个月内完成软件开发、部署，完成初验并投入试运行，12个月内完成项目验收。</w:t>
      </w:r>
    </w:p>
    <w:p>
      <w:pPr>
        <w:pStyle w:val="null3"/>
        <w:ind w:left="645"/>
        <w:jc w:val="both"/>
        <w:outlineLvl w:val="2"/>
      </w:pPr>
      <w:r>
        <w:rPr>
          <w:sz w:val="21"/>
          <w:b/>
        </w:rPr>
        <w:t>2.服务地点</w:t>
      </w:r>
    </w:p>
    <w:p>
      <w:pPr>
        <w:pStyle w:val="null3"/>
        <w:ind w:firstLine="600"/>
        <w:jc w:val="left"/>
      </w:pPr>
      <w:r>
        <w:rPr>
          <w:sz w:val="21"/>
        </w:rPr>
        <w:t>广东省公安厅交通管理总队</w:t>
      </w:r>
    </w:p>
    <w:p>
      <w:pPr>
        <w:pStyle w:val="null3"/>
        <w:ind w:left="645"/>
        <w:jc w:val="both"/>
        <w:outlineLvl w:val="2"/>
      </w:pPr>
      <w:r>
        <w:rPr>
          <w:sz w:val="21"/>
          <w:b/>
        </w:rPr>
        <w:t>3.服务要求</w:t>
      </w:r>
    </w:p>
    <w:p>
      <w:pPr>
        <w:pStyle w:val="null3"/>
        <w:ind w:firstLine="600"/>
        <w:jc w:val="both"/>
      </w:pPr>
      <w:r>
        <w:rPr>
          <w:sz w:val="21"/>
        </w:rPr>
        <w:t>3.1服务质量要求</w:t>
      </w:r>
    </w:p>
    <w:p>
      <w:pPr>
        <w:pStyle w:val="null3"/>
        <w:ind w:firstLine="600"/>
        <w:jc w:val="both"/>
      </w:pPr>
      <w:r>
        <w:rPr>
          <w:sz w:val="21"/>
        </w:rPr>
        <w:t>（</w:t>
      </w:r>
      <w:r>
        <w:rPr>
          <w:sz w:val="21"/>
        </w:rPr>
        <w:t>1）中标人须依据国家、广东省、行业相关的规范标准开展工作，按采购人要求提交服务实施方案和阶段性工作报告。</w:t>
      </w:r>
    </w:p>
    <w:p>
      <w:pPr>
        <w:pStyle w:val="null3"/>
        <w:ind w:firstLine="600"/>
        <w:jc w:val="both"/>
      </w:pPr>
      <w:r>
        <w:rPr>
          <w:sz w:val="21"/>
        </w:rPr>
        <w:t>（</w:t>
      </w:r>
      <w:r>
        <w:rPr>
          <w:sz w:val="21"/>
        </w:rPr>
        <w:t>2）中标人应按采购人要求，配合完成本项目关联系统的数据资产、数字化资产建档建卡，包括但不限于：系统登记、资产清查盘点、建立并完善资产信息卡等工作。具体建档建卡要素和格式须符合《财政部关于加强行政事业单位数据资产管理的通知》（财资〔2024〕1号）《固定资产等资产基础分类与代码》（GB/T14885-2022）等国家和广东省相关政策，以及采购人内控制度的要求。中标人需保证其交付工作及数据资产信息的齐全性、准确性和真实性。</w:t>
      </w:r>
    </w:p>
    <w:p>
      <w:pPr>
        <w:pStyle w:val="null3"/>
        <w:ind w:firstLine="600"/>
        <w:jc w:val="both"/>
      </w:pPr>
      <w:r>
        <w:rPr>
          <w:sz w:val="21"/>
        </w:rPr>
        <w:t>（</w:t>
      </w:r>
      <w:r>
        <w:rPr>
          <w:sz w:val="21"/>
        </w:rPr>
        <w:t>3）中标人须按采购人制定的项目质量管理要求开展服务，无条件接受采购人对项目质量管理要求落实情况的监督考核。包括但不限于：根据采购人提出的项目需重点解决问题清单合理制定解决方案，在项目实施过程中将问题予以解决，确保项目服务质量；根据采购人提出的服务团队岗位职责清单，制定岗位职责手册，定岗定人，确保各核心岗位均指派能胜任的专人提供服务。</w:t>
      </w:r>
    </w:p>
    <w:p>
      <w:pPr>
        <w:pStyle w:val="null3"/>
        <w:ind w:firstLine="600"/>
        <w:jc w:val="both"/>
      </w:pPr>
      <w:r>
        <w:rPr>
          <w:sz w:val="21"/>
        </w:rPr>
        <w:t>（</w:t>
      </w:r>
      <w:r>
        <w:rPr>
          <w:sz w:val="21"/>
        </w:rPr>
        <w:t>4）为保证本项目能按时高质量的顺利完成，规避项目风险或将风险降至最低程度，供应商应建立项目质量管理体系，包括但不限于质量目标、质量指标、岗位责任、问题处理计划、质量评价、整改完善等内容，并建立服务团队内部奖惩制度。</w:t>
      </w:r>
    </w:p>
    <w:p>
      <w:pPr>
        <w:pStyle w:val="null3"/>
        <w:ind w:firstLine="600"/>
        <w:jc w:val="both"/>
      </w:pPr>
      <w:r>
        <w:rPr>
          <w:sz w:val="21"/>
        </w:rPr>
        <w:t>3.2服务组织管理</w:t>
      </w:r>
    </w:p>
    <w:p>
      <w:pPr>
        <w:pStyle w:val="null3"/>
        <w:ind w:firstLine="600"/>
        <w:jc w:val="both"/>
      </w:pPr>
      <w:r>
        <w:rPr>
          <w:sz w:val="21"/>
        </w:rPr>
        <w:t>（</w:t>
      </w:r>
      <w:r>
        <w:rPr>
          <w:sz w:val="21"/>
        </w:rPr>
        <w:t>1）组织机构：为使工程按质、按量、按时及有序实施，中标人对本项目必须建立一个完善和稳定的管理组织机构。</w:t>
      </w:r>
    </w:p>
    <w:p>
      <w:pPr>
        <w:pStyle w:val="null3"/>
        <w:ind w:firstLine="600"/>
        <w:jc w:val="both"/>
      </w:pPr>
      <w:r>
        <w:rPr>
          <w:sz w:val="21"/>
        </w:rPr>
        <w:t>（</w:t>
      </w:r>
      <w:r>
        <w:rPr>
          <w:sz w:val="21"/>
        </w:rPr>
        <w:t>2）核心人员要求：在项目负责人员方面，必须包括一名专职负责的项目经理常驻项目现场，负责项目日常的沟通协调、项目文档管理等协调管理工作。在建设期内，包括项目核心人员在内的项目团队常驻项目现场进行开发、处理问题和交流情况。核心人员应为投标人自有员工，项目负责人应具有计算机或信息管理专业学习背景，具有人力资源和社会保障部、工业和信息化部颁发的系统架构设计师（高级）证书。</w:t>
      </w:r>
      <w:r>
        <w:rPr>
          <w:sz w:val="21"/>
        </w:rPr>
        <w:t>需投入项目组成员</w:t>
      </w:r>
      <w:r>
        <w:rPr>
          <w:sz w:val="21"/>
        </w:rPr>
        <w:t>4</w:t>
      </w:r>
      <w:r>
        <w:rPr>
          <w:sz w:val="21"/>
        </w:rPr>
        <w:t>人（除项目负责人），人员应具有与本项目相关的智慧交通或交通违法处理或车驾管管理或道路安全评估项目经验。</w:t>
      </w:r>
    </w:p>
    <w:p>
      <w:pPr>
        <w:pStyle w:val="null3"/>
        <w:ind w:firstLine="600"/>
        <w:jc w:val="both"/>
      </w:pPr>
      <w:r>
        <w:rPr>
          <w:sz w:val="21"/>
        </w:rPr>
        <w:t>（</w:t>
      </w:r>
      <w:r>
        <w:rPr>
          <w:sz w:val="21"/>
        </w:rPr>
        <w:t>3）驻场服务的相关要求：驻场人员工作场所由采购人提供；中标人应按照国家有关规定为派驻人员配置设备、办公设施和用品、发放工资、购买社保、缴存公积金等。所派驻人员在服务期间发生劳资纠纷、工伤、安全事件和事故时由中标人承担责任，采购人免责；中标人驻场人员应遵守我方有关保密管理、信息化驻场服务等日常管理制度规定，违反有关规定采购人有权按照有关规定追究中标单位的赔偿责任。</w:t>
      </w:r>
    </w:p>
    <w:p>
      <w:pPr>
        <w:pStyle w:val="null3"/>
        <w:ind w:firstLine="600"/>
        <w:jc w:val="both"/>
      </w:pPr>
      <w:r>
        <w:rPr>
          <w:sz w:val="21"/>
        </w:rPr>
        <w:t>（</w:t>
      </w:r>
      <w:r>
        <w:rPr>
          <w:sz w:val="21"/>
        </w:rPr>
        <w:t>4）调整原则：本项目的项目经理必须具体负责项目的实施，在系统建设期内，投标人承诺的项目经理和开发实施的主要人员未经采购人同意不得调整；投标人如中途更换项目经理和主要开发技术人员，必须征得采购人同意。</w:t>
      </w:r>
    </w:p>
    <w:p>
      <w:pPr>
        <w:pStyle w:val="null3"/>
        <w:ind w:firstLine="600"/>
        <w:jc w:val="both"/>
      </w:pPr>
      <w:r>
        <w:rPr>
          <w:sz w:val="21"/>
        </w:rPr>
        <w:t>（</w:t>
      </w:r>
      <w:r>
        <w:rPr>
          <w:sz w:val="21"/>
        </w:rPr>
        <w:t>5）服务期内中标人投入本项目人员应保持相对固定，涉及人员更换时，应在5个工作日内向采购人提出申请，经采购人审核同意方可更换。</w:t>
      </w:r>
    </w:p>
    <w:p>
      <w:pPr>
        <w:pStyle w:val="null3"/>
        <w:ind w:firstLine="600"/>
        <w:jc w:val="both"/>
      </w:pPr>
      <w:r>
        <w:rPr>
          <w:sz w:val="21"/>
        </w:rPr>
        <w:t>（</w:t>
      </w:r>
      <w:r>
        <w:rPr>
          <w:sz w:val="21"/>
        </w:rPr>
        <w:t>6）投标人应针对本项制定项目管理方案，应包含但不限于项目管理的进度管理、质量管理、组织架构、人员管理等内容。</w:t>
      </w:r>
    </w:p>
    <w:p>
      <w:pPr>
        <w:pStyle w:val="null3"/>
        <w:ind w:firstLine="600"/>
        <w:jc w:val="both"/>
      </w:pPr>
      <w:r>
        <w:rPr>
          <w:sz w:val="21"/>
        </w:rPr>
        <w:t>3.3其他要求</w:t>
      </w:r>
    </w:p>
    <w:p>
      <w:pPr>
        <w:pStyle w:val="null3"/>
        <w:ind w:firstLine="600"/>
        <w:jc w:val="both"/>
      </w:pPr>
      <w:r>
        <w:rPr>
          <w:sz w:val="21"/>
        </w:rPr>
        <w:t>投标人应具有与本项目相关的智慧交通、交通违法处理、车驾管管理、道路安全评估相关的以下功能模块对应的软件著作权证书（证书获取日期需在投标截止前）：智慧交通业务应用类、交通数据分析类、道路安全评估类、交通违法处理类、驾驶人考务信息类、电动自行车管理类、车驾管档案管理类。</w:t>
      </w:r>
    </w:p>
    <w:p>
      <w:pPr>
        <w:pStyle w:val="null3"/>
        <w:ind w:left="645"/>
        <w:jc w:val="both"/>
        <w:outlineLvl w:val="2"/>
      </w:pPr>
      <w:r>
        <w:rPr>
          <w:sz w:val="21"/>
          <w:b/>
        </w:rPr>
        <w:t>4.验收要求</w:t>
      </w:r>
    </w:p>
    <w:p>
      <w:pPr>
        <w:pStyle w:val="null3"/>
        <w:ind w:firstLine="600"/>
        <w:jc w:val="both"/>
      </w:pPr>
      <w:r>
        <w:rPr>
          <w:sz w:val="21"/>
        </w:rPr>
        <w:t>（</w:t>
      </w:r>
      <w:r>
        <w:rPr>
          <w:sz w:val="21"/>
        </w:rPr>
        <w:t>1）项目验收按照《广东省公安厅信息化项目管理办法》相关规定执行。</w:t>
      </w:r>
    </w:p>
    <w:p>
      <w:pPr>
        <w:pStyle w:val="null3"/>
        <w:ind w:firstLine="600"/>
        <w:jc w:val="both"/>
      </w:pPr>
      <w:r>
        <w:rPr>
          <w:sz w:val="21"/>
        </w:rPr>
        <w:t>（</w:t>
      </w:r>
      <w:r>
        <w:rPr>
          <w:sz w:val="21"/>
        </w:rPr>
        <w:t>2）验收流程分为初步验收、试运行与最终验收。</w:t>
      </w:r>
    </w:p>
    <w:p>
      <w:pPr>
        <w:pStyle w:val="null3"/>
        <w:ind w:firstLine="600"/>
        <w:jc w:val="both"/>
      </w:pPr>
      <w:r>
        <w:rPr>
          <w:sz w:val="21"/>
        </w:rPr>
        <w:t>初步验收。在项目定制软件开发服务的系统开发、测试、部署等工作完成后，可以申请进行项目初步验收。项目初步验收主要检验系统的功能、性能等，验收依据是本合同及其附件的内容和要求。</w:t>
      </w:r>
    </w:p>
    <w:p>
      <w:pPr>
        <w:pStyle w:val="null3"/>
        <w:ind w:firstLine="600"/>
        <w:jc w:val="both"/>
      </w:pPr>
      <w:r>
        <w:rPr>
          <w:sz w:val="21"/>
        </w:rPr>
        <w:t>试运行。初步验收通过后，系统进入三个月试运行。试运行期间，如由于系统自身原因，发生严重影响系统使用的重大故障，则试运行期自故障修复之日起，重新计算；如由于系统自身原因，发生局部（或轻微）影响系统使用的一般故障，则从系统发生故障之日起暂停计算系统试运行时间，从故障修复之日起，继续计算系统试运行时间。</w:t>
      </w:r>
    </w:p>
    <w:p>
      <w:pPr>
        <w:pStyle w:val="null3"/>
        <w:ind w:firstLine="600"/>
        <w:jc w:val="both"/>
      </w:pPr>
      <w:r>
        <w:rPr>
          <w:sz w:val="21"/>
        </w:rPr>
        <w:t>最终验收。</w:t>
      </w:r>
      <w:r>
        <w:rPr>
          <w:sz w:val="21"/>
        </w:rPr>
        <w:t>项目完成所有服务内容，</w:t>
      </w:r>
      <w:r>
        <w:rPr>
          <w:sz w:val="21"/>
        </w:rPr>
        <w:t>且通过等保测评、商用密码应用评估、验收测评、信息技术应用创新符合性测试（信息技术应用创新符合性测试费用由中标方承担），</w:t>
      </w:r>
      <w:r>
        <w:rPr>
          <w:sz w:val="21"/>
        </w:rPr>
        <w:t>由中标方向采购人提出终验书面申请，采购人无异议的，按相关规定开展项目最终验收。</w:t>
      </w:r>
    </w:p>
    <w:p>
      <w:pPr>
        <w:pStyle w:val="null3"/>
        <w:ind w:firstLine="600"/>
        <w:jc w:val="both"/>
      </w:pPr>
      <w:r>
        <w:rPr>
          <w:sz w:val="21"/>
        </w:rPr>
        <w:t>（</w:t>
      </w:r>
      <w:r>
        <w:rPr>
          <w:sz w:val="21"/>
        </w:rPr>
        <w:t>3）验收的主要依据包括本合同文件、招标需求、投标文件，以及用户需求说明书和设计方案、验收测试报告。</w:t>
      </w:r>
    </w:p>
    <w:p>
      <w:pPr>
        <w:pStyle w:val="null3"/>
        <w:ind w:left="645"/>
        <w:jc w:val="both"/>
        <w:outlineLvl w:val="2"/>
      </w:pPr>
      <w:r>
        <w:rPr>
          <w:sz w:val="21"/>
          <w:b/>
        </w:rPr>
        <w:t>5.售后服务要求</w:t>
      </w:r>
    </w:p>
    <w:p>
      <w:pPr>
        <w:pStyle w:val="null3"/>
        <w:ind w:firstLine="600"/>
        <w:jc w:val="both"/>
      </w:pPr>
      <w:r>
        <w:rPr>
          <w:sz w:val="21"/>
        </w:rPr>
        <w:t>软件开发服务功能模块质保期</w:t>
      </w:r>
      <w:r>
        <w:rPr>
          <w:sz w:val="22"/>
        </w:rPr>
        <w:t>为自项目终验合格之日起</w:t>
      </w:r>
      <w:r>
        <w:rPr>
          <w:sz w:val="21"/>
        </w:rPr>
        <w:t>1年，质保期内提供免费产品升级服务和相关的信息技术和跟进工作。</w:t>
      </w:r>
    </w:p>
    <w:p>
      <w:pPr>
        <w:pStyle w:val="null3"/>
        <w:ind w:firstLine="600"/>
        <w:jc w:val="both"/>
      </w:pPr>
      <w:r>
        <w:rPr>
          <w:sz w:val="21"/>
        </w:rPr>
        <w:t>质保期内需提供</w:t>
      </w:r>
      <w:r>
        <w:rPr>
          <w:sz w:val="21"/>
        </w:rPr>
        <w:t>7*24小时的电话支持，并在敏感时期、重大节假日提供技术人员专门值守服务。应提供定期的安全漏洞修复、性能优化等服务，总结常见问题及解决方案，优化服务流程。</w:t>
      </w:r>
    </w:p>
    <w:p>
      <w:pPr>
        <w:pStyle w:val="null3"/>
        <w:ind w:firstLine="600"/>
        <w:jc w:val="both"/>
      </w:pPr>
      <w:r>
        <w:rPr>
          <w:sz w:val="21"/>
        </w:rPr>
        <w:t>售后服务方案应包括但不限于服务体系、管理制度、服务内容、故障解决方案、专业技术人员保障及现场服务措施等内容。</w:t>
      </w:r>
    </w:p>
    <w:p>
      <w:pPr>
        <w:pStyle w:val="null3"/>
        <w:ind w:left="645"/>
        <w:jc w:val="both"/>
        <w:outlineLvl w:val="2"/>
      </w:pPr>
      <w:r>
        <w:rPr>
          <w:sz w:val="21"/>
          <w:b/>
        </w:rPr>
        <w:t>6.付款方式</w:t>
      </w:r>
    </w:p>
    <w:p>
      <w:pPr>
        <w:pStyle w:val="null3"/>
        <w:ind w:firstLine="600"/>
        <w:jc w:val="both"/>
      </w:pPr>
      <w:r>
        <w:rPr>
          <w:sz w:val="21"/>
        </w:rPr>
        <w:t>（</w:t>
      </w:r>
      <w:r>
        <w:rPr>
          <w:sz w:val="21"/>
        </w:rPr>
        <w:t>1）项目首笔款，签订项目合同后的5个工作日内办理支付申请手续，申请支付合同总额的30%。</w:t>
      </w:r>
    </w:p>
    <w:p>
      <w:pPr>
        <w:pStyle w:val="null3"/>
        <w:ind w:firstLine="600"/>
        <w:jc w:val="both"/>
      </w:pPr>
      <w:r>
        <w:rPr>
          <w:sz w:val="21"/>
        </w:rPr>
        <w:t>（</w:t>
      </w:r>
      <w:r>
        <w:rPr>
          <w:sz w:val="21"/>
        </w:rPr>
        <w:t>2）项目初验款，软件系统初步验收通过后的10个工作日内办理支付申请手续，申请支付合同总额的40%。</w:t>
      </w:r>
    </w:p>
    <w:p>
      <w:pPr>
        <w:pStyle w:val="null3"/>
        <w:ind w:firstLine="600"/>
        <w:jc w:val="both"/>
      </w:pPr>
      <w:r>
        <w:rPr>
          <w:sz w:val="21"/>
        </w:rPr>
        <w:t>（</w:t>
      </w:r>
      <w:r>
        <w:rPr>
          <w:sz w:val="21"/>
        </w:rPr>
        <w:t>3）项目终验款，项目终验合格并审计结算后的10个工作日内，办理政府集中支付申请手续，申请支付至结算总价的100%。</w:t>
      </w:r>
    </w:p>
    <w:p>
      <w:pPr>
        <w:pStyle w:val="null3"/>
        <w:ind w:left="645"/>
        <w:jc w:val="both"/>
        <w:outlineLvl w:val="2"/>
      </w:pPr>
      <w:r>
        <w:rPr>
          <w:sz w:val="21"/>
          <w:b/>
        </w:rPr>
        <w:t>7.费用要求</w:t>
      </w:r>
    </w:p>
    <w:p>
      <w:pPr>
        <w:pStyle w:val="null3"/>
        <w:ind w:firstLine="600"/>
        <w:jc w:val="both"/>
      </w:pPr>
      <w:r>
        <w:rPr>
          <w:sz w:val="21"/>
        </w:rPr>
        <w:t>本项目投标总报价要求包含全部建设费用。包括但不限于项目实施期间实施调研工作、部署调试、项目实施人员的工资、补贴等人工费、交通费、餐费、资料费等相关费用，投标时应包含在投标总价内。</w:t>
      </w:r>
    </w:p>
    <w:p>
      <w:pPr>
        <w:pStyle w:val="null3"/>
      </w:pPr>
      <w:r>
        <w:rPr/>
        <w:t>采购包1（广东省公安厅2026-11交通指挥系统升级改造（2026年）项目）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软件开发服务建设期为12个月。2个月内（合同签订后）完成需求调研与系统详细设计，9个月内完成软件开发、部署，完成初验并投入试运行，12个月内完成项目验收。</w:t>
            </w:r>
          </w:p>
        </w:tc>
      </w:tr>
      <w:tr>
        <w:tc>
          <w:tcPr>
            <w:tcW w:type="dxa" w:w="4153"/>
          </w:tcPr>
          <w:p>
            <w:pPr>
              <w:pStyle w:val="null3"/>
            </w:pPr>
            <w:r>
              <w:rPr/>
              <w:t>标的提供的地点</w:t>
            </w:r>
          </w:p>
        </w:tc>
        <w:tc>
          <w:tcPr>
            <w:tcW w:type="dxa" w:w="4153"/>
          </w:tcPr>
          <w:p>
            <w:pPr>
              <w:pStyle w:val="null3"/>
            </w:pPr>
            <w:r>
              <w:rPr/>
              <w:t>广东省公安厅交通管理总队。</w:t>
            </w:r>
          </w:p>
        </w:tc>
      </w:tr>
      <w:tr>
        <w:tc>
          <w:tcPr>
            <w:tcW w:type="dxa" w:w="4153"/>
          </w:tcPr>
          <w:p>
            <w:pPr>
              <w:pStyle w:val="null3"/>
            </w:pPr>
            <w:r>
              <w:rPr/>
              <w:t>付款方式</w:t>
            </w:r>
          </w:p>
        </w:tc>
        <w:tc>
          <w:tcPr>
            <w:tcW w:type="dxa" w:w="4153"/>
          </w:tcPr>
          <w:p>
            <w:pPr>
              <w:pStyle w:val="null3"/>
            </w:pPr>
            <w:r>
              <w:rPr/>
              <w:t>1期：支付比例30%,签订项目合同后的5个工作日内办理支付申请手续，申请支付合同总额的30%。</w:t>
            </w:r>
          </w:p>
          <w:p>
            <w:pPr>
              <w:pStyle w:val="null3"/>
            </w:pPr>
            <w:r>
              <w:rPr/>
              <w:t>2期：支付比例40%,软件系统初步验收通过后的10个工作日内办理支付申请手续，申请支付合同总额的40%。</w:t>
            </w:r>
          </w:p>
          <w:p>
            <w:pPr>
              <w:pStyle w:val="null3"/>
            </w:pPr>
            <w:r>
              <w:rPr/>
              <w:t>3期：支付比例30%,项目终验合格并审计结算后的10个工作日内，办理政府集中支付申请手续，申请支付至结算总价的100%。 详见《第二章采购需求》。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1期：初步验收。在项目定制软件开发服务的系统开发、测试、部署等工作完成后，可以申请进行项目初步验收。项目初步验收主要检验系统的功能、性能等，验收依据是本合同及其附件的内容和要求。</w:t>
            </w:r>
          </w:p>
          <w:p>
            <w:pPr>
              <w:pStyle w:val="null3"/>
            </w:pPr>
            <w:r>
              <w:rPr/>
              <w:t>2期：试运行。初步验收通过后，系统进入三个月试运行。试运行期间，如由于系统自身原因，发生严重影响系统使用的重大故障，则试运行期自故障修复之日起，重新计算；如由于系统自身原因，发生局部（或轻微）影响系统使用的一般故障，则从系统发生故障之日起暂停计算系统试运行时间，从故障修复之日起，继续计算系统试运行时间。</w:t>
            </w:r>
          </w:p>
          <w:p>
            <w:pPr>
              <w:pStyle w:val="null3"/>
            </w:pPr>
            <w:r>
              <w:rPr/>
              <w:t>3期：最终验收。项目完成所有服务内容，且通过等保测评、商用密码应用评估、验收测评、信息技术应用创新符合性测试（信息技术应用创新符合性测试费用由中标方承担），由中标方向采购人提出终验书面申请，采购人无异议的，按相关规定开展项目最终验收。 详见《第二章采购需求》。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交通指挥系统升级改造</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2,440,000.00</w:t>
            </w:r>
          </w:p>
        </w:tc>
        <w:tc>
          <w:tcPr>
            <w:tcW w:type="dxa" w:w="933"/>
          </w:tcPr>
          <w:p>
            <w:pPr>
              <w:pStyle w:val="null3"/>
              <w:jc w:val="right"/>
            </w:pPr>
            <w:r>
              <w:rPr/>
              <w:t>2,440,000.00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交通指挥系统升级改造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w:t>
            </w:r>
            <w:r>
              <w:rPr/>
              <w:t xml:space="preserve"> </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广东省公安厅</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020-38931901-821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公安厅2026-11交通指挥系统升级改造（2026年）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采购包1（广东省公安厅2026-11交通指挥系统升级改造（2026年）项目）：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采购包1（广东省公安厅2026-11交通指挥系统升级改造（2026年）项目）：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2024年度或2025年度经会计师事务所审计的财务状况报告；②同时提供a.基本开户行出具的资信证明，b.《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采购包1（广东省公安厅2026-11交通指挥系统升级改造（2026年）项目）：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采购包1(广东省公安厅2026-11交通指挥系统升级改造（2026年）项目):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对项目业务总体需求的理解一 (1.5分)</w:t>
            </w:r>
          </w:p>
        </w:tc>
        <w:tc>
          <w:tcPr>
            <w:tcW w:type="dxa" w:w="5076"/>
          </w:tcPr>
          <w:p>
            <w:pPr>
              <w:pStyle w:val="null3"/>
              <w:jc w:val="left"/>
            </w:pPr>
            <w:r>
              <w:rPr/>
              <w:t>对项目业务总体需求的理解包括但不限于1.数据链路现状及问题分析、2.原平台业务现状及问题分析、3.项目执行重点难点分析等内容。 提供全部内容得1.5分，每缺1项扣0.5分。</w:t>
            </w:r>
          </w:p>
        </w:tc>
      </w:tr>
      <w:tr>
        <w:tc>
          <w:tcPr>
            <w:tcW w:type="dxa" w:w="922"/>
            <w:gridSpan w:val="2"/>
            <w:vMerge/>
          </w:tcPr>
          <w:p/>
        </w:tc>
        <w:tc>
          <w:tcPr>
            <w:tcW w:type="dxa" w:w="2307"/>
          </w:tcPr>
          <w:p>
            <w:pPr>
              <w:pStyle w:val="null3"/>
              <w:jc w:val="left"/>
            </w:pPr>
            <w:r>
              <w:rPr/>
              <w:t>对项目业务总体需求的理解二 (7.5分)</w:t>
            </w:r>
          </w:p>
        </w:tc>
        <w:tc>
          <w:tcPr>
            <w:tcW w:type="dxa" w:w="5076"/>
          </w:tcPr>
          <w:p>
            <w:pPr>
              <w:pStyle w:val="null3"/>
              <w:jc w:val="left"/>
            </w:pPr>
            <w:r>
              <w:rPr/>
              <w:t>根据投标人提供的对项目业务总体需求的理解内容进行评审： 1.完全满足且优于采购需求的，得7.5分。 2.完全满足采购需求的，得4分。 3.不完全满足采购需求的，得1分。 4.不提供的，得0分。</w:t>
            </w:r>
          </w:p>
        </w:tc>
      </w:tr>
      <w:tr>
        <w:tc>
          <w:tcPr>
            <w:tcW w:type="dxa" w:w="922"/>
            <w:gridSpan w:val="2"/>
            <w:vMerge/>
          </w:tcPr>
          <w:p/>
        </w:tc>
        <w:tc>
          <w:tcPr>
            <w:tcW w:type="dxa" w:w="2307"/>
          </w:tcPr>
          <w:p>
            <w:pPr>
              <w:pStyle w:val="null3"/>
              <w:jc w:val="left"/>
            </w:pPr>
            <w:r>
              <w:rPr/>
              <w:t>项目总体技术方案一 (1.0分)</w:t>
            </w:r>
          </w:p>
        </w:tc>
        <w:tc>
          <w:tcPr>
            <w:tcW w:type="dxa" w:w="5076"/>
          </w:tcPr>
          <w:p>
            <w:pPr>
              <w:pStyle w:val="null3"/>
              <w:jc w:val="left"/>
            </w:pPr>
            <w:r>
              <w:rPr/>
              <w:t>项目总体技术方案包含但不限于1.整体设计思路、2.业务架构等内容。 提供全部内容得1分，每缺1项扣0.5分。</w:t>
            </w:r>
          </w:p>
        </w:tc>
      </w:tr>
      <w:tr>
        <w:tc>
          <w:tcPr>
            <w:tcW w:type="dxa" w:w="922"/>
            <w:gridSpan w:val="2"/>
            <w:vMerge/>
          </w:tcPr>
          <w:p/>
        </w:tc>
        <w:tc>
          <w:tcPr>
            <w:tcW w:type="dxa" w:w="2307"/>
          </w:tcPr>
          <w:p>
            <w:pPr>
              <w:pStyle w:val="null3"/>
              <w:jc w:val="left"/>
            </w:pPr>
            <w:r>
              <w:rPr/>
              <w:t>项目总体技术方案二 (8.0分)</w:t>
            </w:r>
          </w:p>
        </w:tc>
        <w:tc>
          <w:tcPr>
            <w:tcW w:type="dxa" w:w="5076"/>
          </w:tcPr>
          <w:p>
            <w:pPr>
              <w:pStyle w:val="null3"/>
              <w:jc w:val="left"/>
            </w:pPr>
            <w:r>
              <w:rPr/>
              <w:t>根据投标人提供的项目总体技术方案内容进行评审： 1.完全满足且优于采购需求的，得8分。 2.完全满足采购需求的，得5分。 3.不完全满足采购需求的，得2分。 4.不提供的，得0分。</w:t>
            </w:r>
          </w:p>
        </w:tc>
      </w:tr>
      <w:tr>
        <w:tc>
          <w:tcPr>
            <w:tcW w:type="dxa" w:w="922"/>
            <w:gridSpan w:val="2"/>
            <w:vMerge/>
          </w:tcPr>
          <w:p/>
        </w:tc>
        <w:tc>
          <w:tcPr>
            <w:tcW w:type="dxa" w:w="2307"/>
          </w:tcPr>
          <w:p>
            <w:pPr>
              <w:pStyle w:val="null3"/>
              <w:jc w:val="left"/>
            </w:pPr>
            <w:r>
              <w:rPr/>
              <w:t>详细功能设计方案一 (1.0分)</w:t>
            </w:r>
          </w:p>
        </w:tc>
        <w:tc>
          <w:tcPr>
            <w:tcW w:type="dxa" w:w="5076"/>
          </w:tcPr>
          <w:p>
            <w:pPr>
              <w:pStyle w:val="null3"/>
              <w:jc w:val="left"/>
            </w:pPr>
            <w:r>
              <w:rPr/>
              <w:t>详细功能设计方案包括但不限于1.定制软件开发的功能设计、流程设计、界面设计；2.定制软件升级的功能设计、流程设计、界面设计等。 提供全部内容得1分，每缺1项扣0.5分。</w:t>
            </w:r>
          </w:p>
        </w:tc>
      </w:tr>
      <w:tr>
        <w:tc>
          <w:tcPr>
            <w:tcW w:type="dxa" w:w="922"/>
            <w:gridSpan w:val="2"/>
            <w:vMerge/>
          </w:tcPr>
          <w:p/>
        </w:tc>
        <w:tc>
          <w:tcPr>
            <w:tcW w:type="dxa" w:w="2307"/>
          </w:tcPr>
          <w:p>
            <w:pPr>
              <w:pStyle w:val="null3"/>
              <w:jc w:val="left"/>
            </w:pPr>
            <w:r>
              <w:rPr/>
              <w:t>详细功能设计方案二 (8.0分)</w:t>
            </w:r>
          </w:p>
        </w:tc>
        <w:tc>
          <w:tcPr>
            <w:tcW w:type="dxa" w:w="5076"/>
          </w:tcPr>
          <w:p>
            <w:pPr>
              <w:pStyle w:val="null3"/>
              <w:jc w:val="left"/>
            </w:pPr>
            <w:r>
              <w:rPr/>
              <w:t>根据投标人提供的详细功能设计方案内容进行评审： 1.完全满足且优于采购需求的，得8分。 2.完全满足采购需求的，得5分。 3.不完全满足采购需求的，得2分。 4.不提供的，得0分。</w:t>
            </w:r>
          </w:p>
        </w:tc>
      </w:tr>
      <w:tr>
        <w:tc>
          <w:tcPr>
            <w:tcW w:type="dxa" w:w="922"/>
            <w:gridSpan w:val="2"/>
            <w:vMerge/>
          </w:tcPr>
          <w:p/>
        </w:tc>
        <w:tc>
          <w:tcPr>
            <w:tcW w:type="dxa" w:w="2307"/>
          </w:tcPr>
          <w:p>
            <w:pPr>
              <w:pStyle w:val="null3"/>
              <w:jc w:val="left"/>
            </w:pPr>
            <w:r>
              <w:rPr/>
              <w:t>项目管理方案一 (2.0分)</w:t>
            </w:r>
          </w:p>
        </w:tc>
        <w:tc>
          <w:tcPr>
            <w:tcW w:type="dxa" w:w="5076"/>
          </w:tcPr>
          <w:p>
            <w:pPr>
              <w:pStyle w:val="null3"/>
              <w:jc w:val="left"/>
            </w:pPr>
            <w:r>
              <w:rPr/>
              <w:t>项目管理方案包含但不限于1.项目管理的进度管理、2.质量管理、3.组织架构、4.人员管理等内容。 提供全部内容得2分，每缺1项扣0.5分。</w:t>
            </w:r>
          </w:p>
        </w:tc>
      </w:tr>
      <w:tr>
        <w:tc>
          <w:tcPr>
            <w:tcW w:type="dxa" w:w="922"/>
            <w:gridSpan w:val="2"/>
            <w:vMerge/>
          </w:tcPr>
          <w:p/>
        </w:tc>
        <w:tc>
          <w:tcPr>
            <w:tcW w:type="dxa" w:w="2307"/>
          </w:tcPr>
          <w:p>
            <w:pPr>
              <w:pStyle w:val="null3"/>
              <w:jc w:val="left"/>
            </w:pPr>
            <w:r>
              <w:rPr/>
              <w:t>项目管理方案二 (2.0分)</w:t>
            </w:r>
          </w:p>
        </w:tc>
        <w:tc>
          <w:tcPr>
            <w:tcW w:type="dxa" w:w="5076"/>
          </w:tcPr>
          <w:p>
            <w:pPr>
              <w:pStyle w:val="null3"/>
              <w:jc w:val="left"/>
            </w:pPr>
            <w:r>
              <w:rPr/>
              <w:t>根据投标人提供的项目管理方案内容进行评审： 1.完全满足且优于采购需求的，得2分。 2.完全满足采购需求的，得1分。 3.不完全满足采购需求的，得0.5分。 4.不提供的，得0分。</w:t>
            </w:r>
          </w:p>
        </w:tc>
      </w:tr>
      <w:tr>
        <w:tc>
          <w:tcPr>
            <w:tcW w:type="dxa" w:w="922"/>
            <w:gridSpan w:val="2"/>
            <w:vMerge/>
          </w:tcPr>
          <w:p/>
        </w:tc>
        <w:tc>
          <w:tcPr>
            <w:tcW w:type="dxa" w:w="2307"/>
          </w:tcPr>
          <w:p>
            <w:pPr>
              <w:pStyle w:val="null3"/>
              <w:jc w:val="left"/>
            </w:pPr>
            <w:r>
              <w:rPr/>
              <w:t>售后服务方案一 (3.0分)</w:t>
            </w:r>
          </w:p>
        </w:tc>
        <w:tc>
          <w:tcPr>
            <w:tcW w:type="dxa" w:w="5076"/>
          </w:tcPr>
          <w:p>
            <w:pPr>
              <w:pStyle w:val="null3"/>
              <w:jc w:val="left"/>
            </w:pPr>
            <w:r>
              <w:rPr/>
              <w:t>售后服务方案包含但不限于1.服务体系、2.管理制度、3.服务内容、4.故障解决方案、5.专业技术人员保障、6.现场服务措施等内容。 提供全部内容得3分，每缺1项扣0.5分。</w:t>
            </w:r>
          </w:p>
        </w:tc>
      </w:tr>
      <w:tr>
        <w:tc>
          <w:tcPr>
            <w:tcW w:type="dxa" w:w="922"/>
            <w:gridSpan w:val="2"/>
            <w:vMerge/>
          </w:tcPr>
          <w:p/>
        </w:tc>
        <w:tc>
          <w:tcPr>
            <w:tcW w:type="dxa" w:w="2307"/>
          </w:tcPr>
          <w:p>
            <w:pPr>
              <w:pStyle w:val="null3"/>
              <w:jc w:val="left"/>
            </w:pPr>
            <w:r>
              <w:rPr/>
              <w:t>售后服务方案二 (2.0分)</w:t>
            </w:r>
          </w:p>
        </w:tc>
        <w:tc>
          <w:tcPr>
            <w:tcW w:type="dxa" w:w="5076"/>
          </w:tcPr>
          <w:p>
            <w:pPr>
              <w:pStyle w:val="null3"/>
              <w:jc w:val="left"/>
            </w:pPr>
            <w:r>
              <w:rPr/>
              <w:t>根据投标人提供的售后服务方案内容进行评审： 1.完全满足且优于采购需求的，得2分。 2.完全满足采购需求的，得1分。 3.不完全满足采购需求的，得0.5分。 4.不提供的，得0分。</w:t>
            </w:r>
          </w:p>
        </w:tc>
      </w:tr>
      <w:tr>
        <w:tc>
          <w:tcPr>
            <w:tcW w:type="dxa" w:w="922"/>
            <w:gridSpan w:val="2"/>
            <w:vMerge/>
          </w:tcPr>
          <w:p/>
        </w:tc>
        <w:tc>
          <w:tcPr>
            <w:tcW w:type="dxa" w:w="2307"/>
          </w:tcPr>
          <w:p>
            <w:pPr>
              <w:pStyle w:val="null3"/>
              <w:jc w:val="left"/>
            </w:pPr>
            <w:r>
              <w:rPr/>
              <w:t>国产化改造专项履约承诺函 (4.0分)</w:t>
            </w:r>
          </w:p>
        </w:tc>
        <w:tc>
          <w:tcPr>
            <w:tcW w:type="dxa" w:w="5076"/>
          </w:tcPr>
          <w:p>
            <w:pPr>
              <w:pStyle w:val="null3"/>
              <w:jc w:val="left"/>
            </w:pPr>
            <w:r>
              <w:rPr/>
              <w:t>需投标人自拟格式，出具承诺函并加盖公章。要求承诺在原系统源码基础上完成数据库、中间件、操作系统等全栈国产化适配、数据平滑迁移、业务不中断等工作。承诺书中缺一项核心内容不得分，不提供承诺函不得分。完全承诺的投标人得4分，未提供不得分。</w:t>
            </w:r>
          </w:p>
        </w:tc>
      </w:tr>
      <w:tr>
        <w:tc>
          <w:tcPr>
            <w:tcW w:type="dxa" w:w="922"/>
            <w:gridSpan w:val="2"/>
            <w:vMerge/>
          </w:tcPr>
          <w:p/>
        </w:tc>
        <w:tc>
          <w:tcPr>
            <w:tcW w:type="dxa" w:w="2307"/>
          </w:tcPr>
          <w:p>
            <w:pPr>
              <w:pStyle w:val="null3"/>
              <w:jc w:val="left"/>
            </w:pPr>
            <w:r>
              <w:rPr/>
              <w:t>关键外部数据源集成专项履约承诺函 (4.0分)</w:t>
            </w:r>
          </w:p>
        </w:tc>
        <w:tc>
          <w:tcPr>
            <w:tcW w:type="dxa" w:w="5076"/>
          </w:tcPr>
          <w:p>
            <w:pPr>
              <w:pStyle w:val="null3"/>
              <w:jc w:val="left"/>
            </w:pPr>
            <w:r>
              <w:rPr/>
              <w:t>需投标人自拟格式，出具承诺函并加盖公章。要求承诺完成外部数据源（气象、ETC、5G 执法仪）集成与业务协同，打通省、市、县三级指挥链条。承诺函中缺一项核心内容不得分，不提供承诺函不得分。完全承诺的投标人得4分，未提供不得分。</w:t>
            </w:r>
          </w:p>
        </w:tc>
      </w:tr>
      <w:tr>
        <w:tc>
          <w:tcPr>
            <w:tcW w:type="dxa" w:w="922"/>
            <w:gridSpan w:val="2"/>
            <w:vMerge/>
          </w:tcPr>
          <w:p/>
        </w:tc>
        <w:tc>
          <w:tcPr>
            <w:tcW w:type="dxa" w:w="2307"/>
          </w:tcPr>
          <w:p>
            <w:pPr>
              <w:pStyle w:val="null3"/>
              <w:jc w:val="left"/>
            </w:pPr>
            <w:r>
              <w:rPr/>
              <w:t>功能演示 (16.0分)</w:t>
            </w:r>
          </w:p>
        </w:tc>
        <w:tc>
          <w:tcPr>
            <w:tcW w:type="dxa" w:w="5076"/>
          </w:tcPr>
          <w:p>
            <w:pPr>
              <w:pStyle w:val="null3"/>
              <w:jc w:val="left"/>
            </w:pPr>
            <w:r>
              <w:rPr/>
              <w:t>根据投标人提供的“全省高速路网缓行预警”、“出入省方向流量监测”的系统功能业务流程录屏进行评审（视频时长不超过5分钟，使用模拟数据，业务流程需要包括全省高速公路缓行预警，缓行情况反馈等）： 1．用户使用账号密码登录系统后，登录后进入事件监测-缓行预警模块，即可查询当前全省范围内的实时缓行路段，对应缓行路段将在地图上直观呈现，支持关联周边交通视频；同时支持通过缓行距离、缓行持续时长、缓行时速多维度条件进行精准筛选查询，完全满足该流程的得4分，不满足则不得分。未提供或缺项提供的不得分； 2．开启交管数据图层，勾选易缓行点段目录下的对应图层，系统将在地图上加载并展示该图层信息，完全满足该流程的得2分，不满足则不得分。未提供或缺项提供的不得分； 3．选中目标图层后，可直观掌握全省高速公路易缓行点的实时缓行状态；点击具体缓行点段，即可查看该点段的详细信息，包括拥堵方向、缓行车速、缓行距离、缓行时间、处置情况等，完全满足该流程的得4分，不满足则不得分。未提供或缺项提供的不得分； 4．进入实时数据墙界面。在此界面中，可查看出省方向流量总数及同比、环比数据，以及入省方向流量总数及同比、环比数据，同时支持按日期维度进行精准查询，为省级高速出入口流量监测报告的核心数据提取提供支撑，完全满足该流程的得4分，不满足则不得分。未提供或缺项提供的不得分； 5．点击入省车流量模块或出省车流量模块，即可跳转至详情界面，查看各卡口对应的入省流量、出省流量详细信息，完全满足该流程的得2分，不满足则不得分。未提供或缺项提供的不得分； 注：演示视频以U盘1份（不留密码，无病毒，不压缩）的形式提交，需在提交投标文件截止时间前密封递交，逾期送达的，采购代理机构将拒收。</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投标人同类项目业绩情况 (8.0分)</w:t>
            </w:r>
          </w:p>
        </w:tc>
        <w:tc>
          <w:tcPr>
            <w:tcW w:type="dxa" w:w="5076"/>
          </w:tcPr>
          <w:p>
            <w:pPr>
              <w:pStyle w:val="null3"/>
              <w:jc w:val="left"/>
            </w:pPr>
            <w:r>
              <w:rPr/>
              <w:t>（一）评分内容： 2022年1月1日至本项目投标截止日止（以合同签订时间为准）投标人具有同类系统建设项目业绩情况，每提供1个得2分，本项最高得8分，不提供此项不得分。 （二）评分标准： （1）要求提供合同关键信息（合同封面，金额页，签章落款页）作为得分依据。 （2）以上证明文件均提供复印件或扫描件。未按要求提供有效证明材料或提供不清晰导致评为无法识别的不计得分。</w:t>
            </w:r>
          </w:p>
        </w:tc>
      </w:tr>
      <w:tr>
        <w:tc>
          <w:tcPr>
            <w:tcW w:type="dxa" w:w="922"/>
            <w:gridSpan w:val="2"/>
            <w:vMerge/>
          </w:tcPr>
          <w:p/>
        </w:tc>
        <w:tc>
          <w:tcPr>
            <w:tcW w:type="dxa" w:w="2307"/>
          </w:tcPr>
          <w:p>
            <w:pPr>
              <w:pStyle w:val="null3"/>
              <w:jc w:val="left"/>
            </w:pPr>
            <w:r>
              <w:rPr/>
              <w:t>拟安排的项目负责人情况（仅限一人） (4.0分)</w:t>
            </w:r>
          </w:p>
        </w:tc>
        <w:tc>
          <w:tcPr>
            <w:tcW w:type="dxa" w:w="5076"/>
          </w:tcPr>
          <w:p>
            <w:pPr>
              <w:pStyle w:val="null3"/>
              <w:jc w:val="left"/>
            </w:pPr>
            <w:r>
              <w:rPr/>
              <w:t>（一）评分内容： 拟安排的项目负责人须为投标人自有员工（以社保为准），否则本项不得分。在此基础上，项目负责人每满足以下1项要求得2分，最高得4分： 1.计算机或信息管理专业学习背景； 2.具有人力资源和社会保障部、工业和信息化部颁发的系统架构设计师（高级）证书。 （二）评分依据： （1）提供项目负责人通过投标单位缴纳的载有社保部门或税务部门公章的投标截止日前近一个月（含投标当月）的个人社保证明（如投标截止日前近一个月的社保证明因社保部门或税务部门原因暂时无法取得，则可以往前顺延一个月）；如供应商为新成立单位且成立时间不足一个月的，可提供加盖公章的情况说明或者证明材料，无需提供相关人员社保亦视为符合； （2）提供毕业证书（或学位证书）以及学信网查询记录，对于学信网无法查询的，还需提供毕业院校或人社部门或教育部门等颁发机构或监管机构出具的证明，否则无效；海外留学人员（含港澳台）学历无法通过学信网站查询，允许提供“教育部留学服务中心出具的国外学历认证证书以及教育部留学服务中心官网查询截图； （3）提供人力资源和社会保障部、工业和信息化部颁发系统架构设计师（高级）证书，否则不得分； （4）提供以上证明文件扫描件，如涉及网站截图或照片等证明材料,需提供清晰图片。未按要求提供有效证明材料或提供不清晰导致评委无法识别的不计得分。</w:t>
            </w:r>
          </w:p>
        </w:tc>
      </w:tr>
      <w:tr>
        <w:tc>
          <w:tcPr>
            <w:tcW w:type="dxa" w:w="922"/>
            <w:gridSpan w:val="2"/>
            <w:vMerge/>
          </w:tcPr>
          <w:p/>
        </w:tc>
        <w:tc>
          <w:tcPr>
            <w:tcW w:type="dxa" w:w="2307"/>
          </w:tcPr>
          <w:p>
            <w:pPr>
              <w:pStyle w:val="null3"/>
              <w:jc w:val="left"/>
            </w:pPr>
            <w:r>
              <w:rPr/>
              <w:t>拟安排的项目主要团队成员（主要技术人员）情况（项目负责人除外） (4.0分)</w:t>
            </w:r>
          </w:p>
        </w:tc>
        <w:tc>
          <w:tcPr>
            <w:tcW w:type="dxa" w:w="5076"/>
          </w:tcPr>
          <w:p>
            <w:pPr>
              <w:pStyle w:val="null3"/>
              <w:jc w:val="left"/>
            </w:pPr>
            <w:r>
              <w:rPr/>
              <w:t>（一）评分内容： 本项目需投入项目组成员4人，对项目组成员相关项目经验设置评分项，合计最高得4分，具体如下： 项目组成员中，每有1人具有与本项目相关的智慧交通或交通违法处理或车驾管管理或道路安全评估项目经验，提供类似项目经验的项目合同得1分，最高得4分。 （二）评分标准： （1）提供团队成员通过投标单位缴纳的载有社保部门或税务部门公章的投标截止日前近一个月（含投标当月）的个人社保证明（如投标截止日前近一个月的社保证明因社保部门或税务部门原因暂时无法取得，则可以往前顺延一个月）；如供应商为新成立单位且成立时间不足一个月的，可提供加盖公章的情况说明或者证明材料，无需提供相关人员社保亦视为符合； （2）提供项目合同关键页（首页，签字页）扫描件，或提供相应的投标文件关键页（首页、参与项目的人员名单页）明确包含参与本次项目建设的人员信息。未按要求提供有效证明材料或提供不清晰导致评委无法识别的不计得分。</w:t>
            </w:r>
          </w:p>
        </w:tc>
      </w:tr>
      <w:tr>
        <w:tc>
          <w:tcPr>
            <w:tcW w:type="dxa" w:w="922"/>
            <w:gridSpan w:val="2"/>
            <w:vMerge/>
          </w:tcPr>
          <w:p/>
        </w:tc>
        <w:tc>
          <w:tcPr>
            <w:tcW w:type="dxa" w:w="2307"/>
          </w:tcPr>
          <w:p>
            <w:pPr>
              <w:pStyle w:val="null3"/>
              <w:jc w:val="left"/>
            </w:pPr>
            <w:r>
              <w:rPr/>
              <w:t>投标人自主知识产权产品（创新、设计）情况 (14.0分)</w:t>
            </w:r>
          </w:p>
        </w:tc>
        <w:tc>
          <w:tcPr>
            <w:tcW w:type="dxa" w:w="5076"/>
          </w:tcPr>
          <w:p>
            <w:pPr>
              <w:pStyle w:val="null3"/>
              <w:jc w:val="left"/>
            </w:pPr>
            <w:r>
              <w:rPr/>
              <w:t>（一）评分内容： 投标人具有与本项目相关的智慧交通、交通违法处理、车驾管管理、道路安全评估相关的以下功能模块对应的软件著作权证书（证书获取日期需在投标截止前）：智慧交通业务应用类、交通数据分析类、道路安全评估类、交通违法处理类、驾驶人考务信息类、电动自行车管理类、车驾管档案管理类。每具备1类对应证书得2分，同一类不重复得分，最高得14分。 （二）评分依据: （1）要求提供有效的软件著作权证书等证明材料作为得分依据（如软著证书无法体现系统功能的或名称不完全一致的，还需同时提供系统功能截图页面，以及投标人需说明属于同类功能系统，格式自拟）。 （2）提供以上资料的扫描件，如涉及网站截图或照片等证明材料,需提供清晰图片。未按要求提供有效证明材料或提供不清晰导致评委无法识别的不计得分。 注：要求提供以上产品软件著作权证书复印件或者扫描件，不提供不得分。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sz w:val="44"/>
          <w:b/>
        </w:rPr>
        <w:t>广东省政府采购</w:t>
      </w:r>
    </w:p>
    <w:p>
      <w:pPr>
        <w:pStyle w:val="null3"/>
        <w:ind w:firstLine="883"/>
        <w:jc w:val="center"/>
      </w:pPr>
      <w:r>
        <w:rPr>
          <w:sz w:val="44"/>
          <w:b/>
        </w:rPr>
        <w:t>合同书</w:t>
      </w:r>
    </w:p>
    <w:p>
      <w:pPr>
        <w:pStyle w:val="null3"/>
        <w:ind w:firstLine="600"/>
        <w:jc w:val="left"/>
      </w:pPr>
      <w:r>
        <w:rPr>
          <w:sz w:val="28"/>
          <w:b/>
        </w:rPr>
        <w:t>项目名称</w:t>
      </w:r>
      <w:r>
        <w:rPr>
          <w:sz w:val="28"/>
        </w:rPr>
        <w:t>：</w:t>
      </w:r>
      <w:r>
        <w:rPr>
          <w:sz w:val="21"/>
          <w:u w:val="single"/>
        </w:rPr>
        <w:t>广东省公安厅</w:t>
      </w:r>
      <w:r>
        <w:rPr>
          <w:sz w:val="21"/>
          <w:u w:val="single"/>
        </w:rPr>
        <w:t>2026-11</w:t>
      </w:r>
      <w:r>
        <w:rPr>
          <w:sz w:val="21"/>
          <w:u w:val="single"/>
        </w:rPr>
        <w:t>交通指挥系统升级改造（</w:t>
      </w:r>
      <w:r>
        <w:rPr>
          <w:sz w:val="21"/>
          <w:u w:val="single"/>
        </w:rPr>
        <w:t>2026</w:t>
      </w:r>
      <w:r>
        <w:rPr>
          <w:sz w:val="21"/>
          <w:u w:val="single"/>
        </w:rPr>
        <w:t>）项目</w:t>
      </w:r>
    </w:p>
    <w:p>
      <w:pPr>
        <w:pStyle w:val="null3"/>
        <w:ind w:firstLine="562"/>
        <w:jc w:val="left"/>
      </w:pPr>
      <w:r>
        <w:rPr>
          <w:sz w:val="28"/>
          <w:b/>
        </w:rPr>
        <w:t>合同编号：</w:t>
      </w:r>
      <w:r>
        <w:rPr>
          <w:sz w:val="21"/>
          <w:u w:val="single"/>
        </w:rPr>
        <w:t xml:space="preserve">                                             </w:t>
      </w:r>
    </w:p>
    <w:p>
      <w:pPr>
        <w:pStyle w:val="null3"/>
        <w:ind w:firstLine="562"/>
        <w:jc w:val="left"/>
      </w:pPr>
      <w:r>
        <w:rPr>
          <w:sz w:val="28"/>
          <w:b/>
        </w:rPr>
        <w:t>签约地点：</w:t>
      </w:r>
      <w:r>
        <w:rPr>
          <w:sz w:val="21"/>
          <w:u w:val="single"/>
        </w:rPr>
        <w:t xml:space="preserve">  </w:t>
      </w:r>
      <w:r>
        <w:rPr>
          <w:sz w:val="28"/>
          <w:u w:val="single"/>
        </w:rPr>
        <w:t xml:space="preserve">                </w:t>
      </w:r>
      <w:r>
        <w:rPr>
          <w:sz w:val="28"/>
          <w:u w:val="single"/>
        </w:rPr>
        <w:t>广州市</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ind w:firstLine="562"/>
        <w:jc w:val="left"/>
      </w:pPr>
      <w:r>
        <w:rPr>
          <w:sz w:val="28"/>
          <w:b/>
        </w:rPr>
        <w:t>签订日期：</w:t>
      </w:r>
      <w:r>
        <w:rPr>
          <w:sz w:val="21"/>
          <w:u w:val="single"/>
        </w:rPr>
        <w:t xml:space="preserve">      </w:t>
      </w:r>
      <w:r>
        <w:rPr>
          <w:sz w:val="28"/>
        </w:rPr>
        <w:t>年</w:t>
      </w:r>
      <w:r>
        <w:rPr>
          <w:sz w:val="21"/>
          <w:u w:val="single"/>
        </w:rPr>
        <w:t xml:space="preserve">      </w:t>
      </w:r>
      <w:r>
        <w:rPr>
          <w:sz w:val="28"/>
        </w:rPr>
        <w:t>月</w:t>
      </w:r>
      <w:r>
        <w:rPr>
          <w:sz w:val="21"/>
          <w:u w:val="single"/>
        </w:rPr>
        <w:t xml:space="preserve">      </w:t>
      </w:r>
      <w:r>
        <w:rPr>
          <w:sz w:val="28"/>
        </w:rPr>
        <w:t>日</w:t>
      </w:r>
    </w:p>
    <w:p>
      <w:pPr>
        <w:pStyle w:val="null3"/>
        <w:ind w:firstLine="600"/>
        <w:jc w:val="left"/>
      </w:pPr>
      <w:r>
        <w:rPr>
          <w:sz w:val="21"/>
        </w:rPr>
        <w:t xml:space="preserve"> </w:t>
      </w:r>
    </w:p>
    <w:p>
      <w:pPr>
        <w:pStyle w:val="null3"/>
        <w:ind w:firstLine="442"/>
        <w:jc w:val="both"/>
      </w:pPr>
      <w:r>
        <w:rPr/>
        <w:t xml:space="preserve"> </w:t>
      </w:r>
    </w:p>
    <w:p>
      <w:pPr>
        <w:pStyle w:val="null3"/>
        <w:ind w:firstLine="442"/>
        <w:jc w:val="left"/>
      </w:pPr>
      <w:r>
        <w:rPr>
          <w:sz w:val="22"/>
          <w:b/>
        </w:rPr>
        <w:t>甲方：</w:t>
      </w:r>
      <w:r>
        <w:rPr>
          <w:sz w:val="21"/>
          <w:b/>
          <w:u w:val="single"/>
        </w:rPr>
        <w:t xml:space="preserve">   </w:t>
      </w:r>
      <w:r>
        <w:rPr>
          <w:sz w:val="22"/>
          <w:b/>
          <w:u w:val="single"/>
        </w:rPr>
        <w:t>广东省公安厅</w:t>
      </w:r>
      <w:r>
        <w:rPr>
          <w:sz w:val="21"/>
          <w:b/>
          <w:u w:val="single"/>
        </w:rPr>
        <w:t xml:space="preserve">   </w:t>
      </w:r>
      <w:r>
        <w:rPr>
          <w:sz w:val="22"/>
          <w:b/>
        </w:rPr>
        <w:t>；执行单位：</w:t>
      </w:r>
      <w:r>
        <w:rPr>
          <w:sz w:val="21"/>
          <w:b/>
          <w:u w:val="single"/>
        </w:rPr>
        <w:t xml:space="preserve"> </w:t>
      </w:r>
      <w:r>
        <w:rPr>
          <w:sz w:val="21"/>
          <w:b/>
          <w:u w:val="single"/>
        </w:rPr>
        <w:t xml:space="preserve">    </w:t>
      </w:r>
      <w:r>
        <w:rPr>
          <w:sz w:val="21"/>
          <w:b/>
          <w:u w:val="single"/>
        </w:rPr>
        <w:t xml:space="preserve">                         </w:t>
      </w:r>
      <w:r>
        <w:rPr>
          <w:sz w:val="21"/>
          <w:b/>
          <w:u w:val="single"/>
        </w:rPr>
        <w:t xml:space="preserve"> </w:t>
      </w:r>
      <w:r>
        <w:rPr>
          <w:sz w:val="21"/>
          <w:b/>
          <w:u w:val="single"/>
        </w:rPr>
        <w:t xml:space="preserve">   </w:t>
      </w:r>
    </w:p>
    <w:p>
      <w:pPr>
        <w:pStyle w:val="null3"/>
        <w:ind w:firstLine="442"/>
        <w:jc w:val="left"/>
      </w:pPr>
      <w:r>
        <w:rPr>
          <w:sz w:val="22"/>
          <w:b/>
        </w:rPr>
        <w:t>乙方：</w:t>
      </w:r>
      <w:r>
        <w:rPr>
          <w:sz w:val="21"/>
          <w:b/>
          <w:u w:val="single"/>
        </w:rPr>
        <w:t xml:space="preserve"> </w:t>
      </w:r>
      <w:r>
        <w:rPr>
          <w:sz w:val="21"/>
          <w:b/>
          <w:u w:val="single"/>
        </w:rPr>
        <w:t xml:space="preserve">                       </w:t>
      </w:r>
      <w:r>
        <w:rPr>
          <w:sz w:val="21"/>
          <w:b/>
          <w:u w:val="single"/>
        </w:rPr>
        <w:t xml:space="preserve">                                        </w:t>
      </w:r>
    </w:p>
    <w:p>
      <w:pPr>
        <w:pStyle w:val="null3"/>
        <w:spacing w:before="150"/>
        <w:ind w:firstLine="440"/>
        <w:jc w:val="left"/>
      </w:pPr>
      <w:r>
        <w:rPr>
          <w:sz w:val="22"/>
        </w:rPr>
        <w:t>根据</w:t>
      </w:r>
      <w:r>
        <w:rPr>
          <w:sz w:val="22"/>
          <w:u w:val="single"/>
        </w:rPr>
        <w:t>广东省公安厅</w:t>
      </w:r>
      <w:r>
        <w:rPr>
          <w:sz w:val="22"/>
          <w:u w:val="single"/>
        </w:rPr>
        <w:t>2026-11</w:t>
      </w:r>
      <w:r>
        <w:rPr>
          <w:sz w:val="22"/>
          <w:u w:val="single"/>
        </w:rPr>
        <w:t>交通指挥系统升级改造（</w:t>
      </w:r>
      <w:r>
        <w:rPr>
          <w:sz w:val="22"/>
          <w:u w:val="single"/>
        </w:rPr>
        <w:t>2026</w:t>
      </w:r>
      <w:r>
        <w:rPr>
          <w:sz w:val="22"/>
          <w:u w:val="single"/>
        </w:rPr>
        <w:t>）项目（采购编号：</w:t>
      </w:r>
      <w:r>
        <w:rPr>
          <w:sz w:val="21"/>
          <w:u w:val="single"/>
        </w:rPr>
        <w:t xml:space="preserve">     </w:t>
      </w:r>
      <w:r>
        <w:rPr>
          <w:sz w:val="22"/>
          <w:u w:val="single"/>
        </w:rPr>
        <w:t>）</w:t>
      </w:r>
      <w:r>
        <w:rPr>
          <w:sz w:val="22"/>
        </w:rPr>
        <w:t>的采购结果，按照《中华人民共和国民法典</w:t>
      </w:r>
      <w:r>
        <w:rPr>
          <w:sz w:val="22"/>
        </w:rPr>
        <w:t>》《</w:t>
      </w:r>
      <w:r>
        <w:rPr>
          <w:sz w:val="22"/>
        </w:rPr>
        <w:t>中华人民共和国政府采购法》、</w:t>
      </w:r>
      <w:r>
        <w:rPr>
          <w:sz w:val="22"/>
        </w:rPr>
        <w:t>招标文件</w:t>
      </w:r>
      <w:r>
        <w:rPr>
          <w:sz w:val="22"/>
        </w:rPr>
        <w:t>、乙方投标承诺的内容和要求，经双方协商，本着平等互利和诚实信用的原则，一致同意遵守本合同如下。</w:t>
      </w:r>
    </w:p>
    <w:p>
      <w:pPr>
        <w:pStyle w:val="null3"/>
        <w:spacing w:before="150" w:after="150"/>
        <w:ind w:firstLine="442"/>
        <w:jc w:val="left"/>
      </w:pPr>
      <w:r>
        <w:rPr>
          <w:sz w:val="22"/>
          <w:b/>
        </w:rPr>
        <w:t>一、合同金额</w:t>
      </w:r>
    </w:p>
    <w:p>
      <w:pPr>
        <w:pStyle w:val="null3"/>
        <w:ind w:firstLine="440"/>
        <w:jc w:val="left"/>
      </w:pPr>
      <w:r>
        <w:rPr>
          <w:sz w:val="22"/>
        </w:rPr>
        <w:t>合同金额为（大写）：</w:t>
      </w:r>
      <w:r>
        <w:rPr>
          <w:sz w:val="21"/>
          <w:u w:val="single"/>
        </w:rPr>
        <w:t xml:space="preserve"> </w:t>
      </w:r>
      <w:r>
        <w:rPr>
          <w:sz w:val="21"/>
          <w:u w:val="single"/>
        </w:rPr>
        <w:t xml:space="preserve"> </w:t>
      </w:r>
      <w:r>
        <w:rPr>
          <w:sz w:val="21"/>
          <w:u w:val="single"/>
        </w:rPr>
        <w:t xml:space="preserve"> </w:t>
      </w:r>
      <w:r>
        <w:rPr>
          <w:sz w:val="22"/>
        </w:rPr>
        <w:t>元整（￥</w:t>
      </w:r>
      <w:r>
        <w:rPr>
          <w:sz w:val="21"/>
          <w:u w:val="single"/>
        </w:rPr>
        <w:t xml:space="preserve"> </w:t>
      </w:r>
      <w:r>
        <w:rPr>
          <w:sz w:val="21"/>
          <w:u w:val="single"/>
        </w:rPr>
        <w:t xml:space="preserve"> </w:t>
      </w:r>
      <w:r>
        <w:rPr>
          <w:sz w:val="22"/>
        </w:rPr>
        <w:t>元）人民币。</w:t>
      </w:r>
    </w:p>
    <w:p>
      <w:pPr>
        <w:pStyle w:val="null3"/>
        <w:spacing w:before="150" w:after="150"/>
        <w:ind w:firstLine="442"/>
        <w:jc w:val="left"/>
      </w:pPr>
      <w:r>
        <w:rPr>
          <w:sz w:val="22"/>
          <w:b/>
        </w:rPr>
        <w:t>二、服务范围</w:t>
      </w:r>
    </w:p>
    <w:p>
      <w:pPr>
        <w:pStyle w:val="null3"/>
        <w:ind w:firstLine="440"/>
        <w:jc w:val="left"/>
      </w:pPr>
      <w:r>
        <w:rPr>
          <w:sz w:val="22"/>
          <w:u w:val="single"/>
        </w:rPr>
        <w:t>广东省公安厅</w:t>
      </w:r>
      <w:r>
        <w:rPr>
          <w:sz w:val="22"/>
          <w:u w:val="single"/>
        </w:rPr>
        <w:t>2026-11</w:t>
      </w:r>
      <w:r>
        <w:rPr>
          <w:sz w:val="22"/>
          <w:u w:val="single"/>
        </w:rPr>
        <w:t>交通指挥系统升级改造（</w:t>
      </w:r>
      <w:r>
        <w:rPr>
          <w:sz w:val="22"/>
          <w:u w:val="single"/>
        </w:rPr>
        <w:t>2026</w:t>
      </w:r>
      <w:r>
        <w:rPr>
          <w:sz w:val="22"/>
          <w:u w:val="single"/>
        </w:rPr>
        <w:t>）项目</w:t>
      </w:r>
      <w:r>
        <w:rPr>
          <w:sz w:val="22"/>
        </w:rPr>
        <w:t>服务范围包括：</w:t>
      </w:r>
    </w:p>
    <w:p>
      <w:pPr>
        <w:pStyle w:val="null3"/>
        <w:ind w:firstLine="440"/>
        <w:jc w:val="left"/>
      </w:pPr>
      <w:r>
        <w:rPr>
          <w:sz w:val="22"/>
        </w:rPr>
        <w:t>1.</w:t>
      </w:r>
      <w:r>
        <w:rPr>
          <w:sz w:val="22"/>
          <w:u w:val="single"/>
        </w:rPr>
        <w:t>软件开发</w:t>
      </w:r>
      <w:r>
        <w:rPr>
          <w:sz w:val="22"/>
          <w:u w:val="single"/>
        </w:rPr>
        <w:t>服务</w:t>
      </w:r>
      <w:r>
        <w:rPr>
          <w:sz w:val="22"/>
          <w:u w:val="single"/>
        </w:rPr>
        <w:t>，</w:t>
      </w:r>
      <w:r>
        <w:rPr>
          <w:sz w:val="22"/>
          <w:u w:val="single"/>
        </w:rPr>
        <w:t>包括定制软件开发服务、定制软件升级服务。</w:t>
      </w:r>
    </w:p>
    <w:p>
      <w:pPr>
        <w:pStyle w:val="null3"/>
        <w:ind w:firstLine="440"/>
        <w:jc w:val="left"/>
      </w:pPr>
      <w:r>
        <w:rPr>
          <w:sz w:val="22"/>
          <w:u w:val="single"/>
        </w:rPr>
        <w:t>（</w:t>
      </w:r>
      <w:r>
        <w:rPr>
          <w:sz w:val="22"/>
          <w:u w:val="single"/>
        </w:rPr>
        <w:t>1</w:t>
      </w:r>
      <w:r>
        <w:rPr>
          <w:sz w:val="22"/>
          <w:u w:val="single"/>
        </w:rPr>
        <w:t>）定制软件开发服务：在省公安厅交通指挥系统基础上，新建融合数据风险评估及处置体系、交通指挥调度、视频优播模块、应用状态监测与告警、数据供应链路可视化、系统反馈机制、值班要情应用模块。</w:t>
      </w:r>
    </w:p>
    <w:p>
      <w:pPr>
        <w:pStyle w:val="null3"/>
        <w:ind w:firstLine="440"/>
        <w:jc w:val="left"/>
      </w:pPr>
      <w:r>
        <w:rPr>
          <w:sz w:val="22"/>
          <w:u w:val="single"/>
        </w:rPr>
        <w:t>（</w:t>
      </w:r>
      <w:r>
        <w:rPr>
          <w:sz w:val="22"/>
          <w:u w:val="single"/>
        </w:rPr>
        <w:t>2</w:t>
      </w:r>
      <w:r>
        <w:rPr>
          <w:sz w:val="22"/>
          <w:u w:val="single"/>
        </w:rPr>
        <w:t>）定制软件升级服务：按照</w:t>
      </w:r>
      <w:r>
        <w:rPr>
          <w:sz w:val="22"/>
          <w:u w:val="single"/>
        </w:rPr>
        <w:t>国产技术路线</w:t>
      </w:r>
      <w:r>
        <w:rPr>
          <w:sz w:val="22"/>
          <w:u w:val="single"/>
        </w:rPr>
        <w:t>开展系统适配改造，基于警务云国产化软硬件资源重新部署，适配改造服务包括数据库适配改造、中间件适配改造、操作系统适配、浏览器适配、数据迁移适配等</w:t>
      </w:r>
      <w:r>
        <w:rPr>
          <w:sz w:val="22"/>
          <w:u w:val="single"/>
        </w:rPr>
        <w:t>。</w:t>
      </w:r>
    </w:p>
    <w:p>
      <w:pPr>
        <w:pStyle w:val="null3"/>
        <w:spacing w:before="150" w:after="150"/>
        <w:ind w:firstLine="442"/>
        <w:jc w:val="left"/>
      </w:pPr>
      <w:r>
        <w:rPr>
          <w:sz w:val="22"/>
          <w:b/>
        </w:rPr>
        <w:t>三</w:t>
      </w:r>
      <w:r>
        <w:rPr>
          <w:sz w:val="22"/>
          <w:b/>
        </w:rPr>
        <w:t>、服务期间（项目完成期限）</w:t>
      </w:r>
    </w:p>
    <w:p>
      <w:pPr>
        <w:pStyle w:val="null3"/>
        <w:ind w:firstLine="440"/>
        <w:jc w:val="left"/>
      </w:pPr>
      <w:r>
        <w:rPr>
          <w:sz w:val="22"/>
        </w:rPr>
        <w:t>本项目服务期为自合同签订之日起</w:t>
      </w:r>
      <w:r>
        <w:rPr>
          <w:sz w:val="22"/>
        </w:rPr>
        <w:t>12</w:t>
      </w:r>
      <w:r>
        <w:rPr>
          <w:sz w:val="22"/>
        </w:rPr>
        <w:t>个月，具体进度要求如下。</w:t>
      </w:r>
    </w:p>
    <w:p>
      <w:pPr>
        <w:pStyle w:val="null3"/>
        <w:ind w:firstLine="440"/>
        <w:jc w:val="left"/>
      </w:pPr>
      <w:r>
        <w:rPr>
          <w:sz w:val="22"/>
        </w:rPr>
        <w:t>（</w:t>
      </w:r>
      <w:r>
        <w:rPr>
          <w:sz w:val="22"/>
        </w:rPr>
        <w:t>1</w:t>
      </w:r>
      <w:r>
        <w:rPr>
          <w:sz w:val="22"/>
        </w:rPr>
        <w:t>）自合同签订之日起</w:t>
      </w:r>
      <w:r>
        <w:rPr>
          <w:sz w:val="22"/>
        </w:rPr>
        <w:t>9</w:t>
      </w:r>
      <w:r>
        <w:rPr>
          <w:sz w:val="22"/>
        </w:rPr>
        <w:t>个月内完成所有软件系统开发、系统迁移改造、部署、测试、上线，并通过初步验收后进入试运行期（试运行期不少于</w:t>
      </w:r>
      <w:r>
        <w:rPr>
          <w:sz w:val="22"/>
        </w:rPr>
        <w:t>3</w:t>
      </w:r>
      <w:r>
        <w:rPr>
          <w:sz w:val="22"/>
        </w:rPr>
        <w:t>个月）。</w:t>
      </w:r>
    </w:p>
    <w:p>
      <w:pPr>
        <w:pStyle w:val="null3"/>
        <w:ind w:firstLine="440"/>
        <w:jc w:val="left"/>
      </w:pPr>
      <w:r>
        <w:rPr>
          <w:sz w:val="22"/>
        </w:rPr>
        <w:t>（</w:t>
      </w:r>
      <w:r>
        <w:rPr>
          <w:sz w:val="22"/>
        </w:rPr>
        <w:t>2</w:t>
      </w:r>
      <w:r>
        <w:rPr>
          <w:sz w:val="22"/>
        </w:rPr>
        <w:t>）在系统试运行结束后，进行项目终验。</w:t>
      </w:r>
    </w:p>
    <w:p>
      <w:pPr>
        <w:pStyle w:val="null3"/>
        <w:ind w:firstLine="440"/>
        <w:jc w:val="left"/>
      </w:pPr>
      <w:r>
        <w:rPr>
          <w:sz w:val="22"/>
          <w:b/>
        </w:rPr>
        <w:t>四</w:t>
      </w:r>
      <w:r>
        <w:rPr>
          <w:sz w:val="22"/>
          <w:b/>
        </w:rPr>
        <w:t>、甲方乙方的权利和义务</w:t>
      </w:r>
    </w:p>
    <w:p>
      <w:pPr>
        <w:pStyle w:val="null3"/>
        <w:ind w:firstLine="440"/>
        <w:jc w:val="left"/>
      </w:pPr>
      <w:r>
        <w:rPr>
          <w:sz w:val="22"/>
        </w:rPr>
        <w:t>1.</w:t>
      </w:r>
      <w:r>
        <w:rPr>
          <w:sz w:val="22"/>
        </w:rPr>
        <w:t>甲方的权利和义务</w:t>
      </w:r>
    </w:p>
    <w:p>
      <w:pPr>
        <w:pStyle w:val="null3"/>
        <w:ind w:firstLine="440"/>
        <w:jc w:val="left"/>
      </w:pPr>
      <w:r>
        <w:rPr>
          <w:sz w:val="22"/>
        </w:rPr>
        <w:t>（</w:t>
      </w:r>
      <w:r>
        <w:rPr>
          <w:sz w:val="22"/>
        </w:rPr>
        <w:t>1</w:t>
      </w:r>
      <w:r>
        <w:rPr>
          <w:sz w:val="22"/>
        </w:rPr>
        <w:t>）</w:t>
      </w:r>
      <w:r>
        <w:rPr>
          <w:sz w:val="22"/>
        </w:rPr>
        <w:t>甲方派出熟悉本项目的业务人员配合乙方完成项目业务需求调研分析。</w:t>
      </w:r>
    </w:p>
    <w:p>
      <w:pPr>
        <w:pStyle w:val="null3"/>
        <w:ind w:firstLine="440"/>
        <w:jc w:val="left"/>
      </w:pPr>
      <w:r>
        <w:rPr>
          <w:sz w:val="22"/>
        </w:rPr>
        <w:t>（</w:t>
      </w:r>
      <w:r>
        <w:rPr>
          <w:sz w:val="22"/>
        </w:rPr>
        <w:t>2</w:t>
      </w:r>
      <w:r>
        <w:rPr>
          <w:sz w:val="22"/>
        </w:rPr>
        <w:t>）</w:t>
      </w:r>
      <w:r>
        <w:rPr>
          <w:sz w:val="22"/>
        </w:rPr>
        <w:t>甲方应当在双方约定的时间内向乙方提供与项目相关的资料。</w:t>
      </w:r>
    </w:p>
    <w:p>
      <w:pPr>
        <w:pStyle w:val="null3"/>
        <w:ind w:firstLine="440"/>
        <w:jc w:val="left"/>
      </w:pPr>
      <w:r>
        <w:rPr>
          <w:sz w:val="22"/>
        </w:rPr>
        <w:t>（</w:t>
      </w:r>
      <w:r>
        <w:rPr>
          <w:sz w:val="22"/>
        </w:rPr>
        <w:t>3</w:t>
      </w:r>
      <w:r>
        <w:rPr>
          <w:sz w:val="22"/>
        </w:rPr>
        <w:t>）</w:t>
      </w:r>
      <w:r>
        <w:rPr>
          <w:sz w:val="22"/>
        </w:rPr>
        <w:t>甲方应当负责项目建设的所有外部关系的协调，为乙方提供外部条件。</w:t>
      </w:r>
    </w:p>
    <w:p>
      <w:pPr>
        <w:pStyle w:val="null3"/>
        <w:ind w:firstLine="440"/>
        <w:jc w:val="left"/>
      </w:pPr>
      <w:r>
        <w:rPr>
          <w:sz w:val="22"/>
        </w:rPr>
        <w:t>（</w:t>
      </w:r>
      <w:r>
        <w:rPr>
          <w:sz w:val="22"/>
        </w:rPr>
        <w:t>4</w:t>
      </w:r>
      <w:r>
        <w:rPr>
          <w:sz w:val="22"/>
        </w:rPr>
        <w:t>）</w:t>
      </w:r>
      <w:r>
        <w:rPr>
          <w:sz w:val="22"/>
        </w:rPr>
        <w:t>甲方依据本合同对乙方服务质量进行检查、质询和监督，有权对项目实施过程出现的质量问题提出整改要求。</w:t>
      </w:r>
    </w:p>
    <w:p>
      <w:pPr>
        <w:pStyle w:val="null3"/>
        <w:ind w:firstLine="440"/>
        <w:jc w:val="left"/>
      </w:pPr>
      <w:r>
        <w:rPr>
          <w:sz w:val="22"/>
        </w:rPr>
        <w:t>（</w:t>
      </w:r>
      <w:r>
        <w:rPr>
          <w:sz w:val="22"/>
        </w:rPr>
        <w:t>5</w:t>
      </w:r>
      <w:r>
        <w:rPr>
          <w:sz w:val="22"/>
        </w:rPr>
        <w:t>）</w:t>
      </w:r>
      <w:r>
        <w:rPr>
          <w:sz w:val="22"/>
        </w:rPr>
        <w:t>甲方有权要求乙方保持服务团队人员的稳定性，乙方更换服务团队人员须先经甲方同意。甲方有权对工作能力、态度等</w:t>
      </w:r>
      <w:r>
        <w:rPr>
          <w:sz w:val="22"/>
        </w:rPr>
        <w:t>方面不符合要求的服务人员向乙方提出更换的要求，乙方须无条件按照甲方要求在</w:t>
      </w:r>
      <w:r>
        <w:rPr>
          <w:sz w:val="22"/>
        </w:rPr>
        <w:t>3</w:t>
      </w:r>
      <w:r>
        <w:rPr>
          <w:sz w:val="22"/>
        </w:rPr>
        <w:t>日内更换相关人员。</w:t>
      </w:r>
    </w:p>
    <w:p>
      <w:pPr>
        <w:pStyle w:val="null3"/>
        <w:ind w:firstLine="440"/>
        <w:jc w:val="left"/>
      </w:pPr>
      <w:r>
        <w:rPr>
          <w:sz w:val="22"/>
        </w:rPr>
        <w:t>（</w:t>
      </w:r>
      <w:r>
        <w:rPr>
          <w:sz w:val="22"/>
        </w:rPr>
        <w:t>6</w:t>
      </w:r>
      <w:r>
        <w:rPr>
          <w:sz w:val="22"/>
        </w:rPr>
        <w:t>）</w:t>
      </w:r>
      <w:r>
        <w:rPr>
          <w:sz w:val="22"/>
        </w:rPr>
        <w:t>甲方应及时确认项目交付成果和组织验收。</w:t>
      </w:r>
    </w:p>
    <w:p>
      <w:pPr>
        <w:pStyle w:val="null3"/>
        <w:ind w:firstLine="440"/>
        <w:jc w:val="left"/>
      </w:pPr>
      <w:r>
        <w:rPr>
          <w:sz w:val="22"/>
        </w:rPr>
        <w:t>2.</w:t>
      </w:r>
      <w:r>
        <w:rPr>
          <w:sz w:val="22"/>
        </w:rPr>
        <w:t>乙方的权利和义务</w:t>
      </w:r>
    </w:p>
    <w:p>
      <w:pPr>
        <w:pStyle w:val="null3"/>
        <w:ind w:firstLine="440"/>
        <w:jc w:val="left"/>
      </w:pPr>
      <w:r>
        <w:rPr>
          <w:sz w:val="22"/>
        </w:rPr>
        <w:t>（</w:t>
      </w:r>
      <w:r>
        <w:rPr>
          <w:sz w:val="22"/>
        </w:rPr>
        <w:t>1</w:t>
      </w:r>
      <w:r>
        <w:rPr>
          <w:sz w:val="22"/>
        </w:rPr>
        <w:t>）</w:t>
      </w:r>
      <w:r>
        <w:rPr>
          <w:sz w:val="22"/>
        </w:rPr>
        <w:t>乙方应严格执行广东省公安厅信息化项目管理相关要求，从组织管理、协调机制、技术基础，支撑保障等各方面创造良好的服务环境，确保按时、按质、按量完成本项目服务内容。</w:t>
      </w:r>
    </w:p>
    <w:p>
      <w:pPr>
        <w:pStyle w:val="null3"/>
        <w:ind w:firstLine="440"/>
        <w:jc w:val="left"/>
      </w:pPr>
      <w:r>
        <w:rPr>
          <w:sz w:val="22"/>
        </w:rPr>
        <w:t>（</w:t>
      </w:r>
      <w:r>
        <w:rPr>
          <w:sz w:val="22"/>
        </w:rPr>
        <w:t>2</w:t>
      </w:r>
      <w:r>
        <w:rPr>
          <w:sz w:val="22"/>
        </w:rPr>
        <w:t>）</w:t>
      </w:r>
      <w:r>
        <w:rPr>
          <w:sz w:val="22"/>
        </w:rPr>
        <w:t>乙方应制定本项目具体的实施计划及里程碑，对项目进展进行跟踪和检查。定期参加由甲方组织召开的项目例会，定期提交项目进展情况。</w:t>
      </w:r>
    </w:p>
    <w:p>
      <w:pPr>
        <w:pStyle w:val="null3"/>
        <w:ind w:firstLine="440"/>
        <w:jc w:val="left"/>
      </w:pPr>
      <w:r>
        <w:rPr>
          <w:sz w:val="22"/>
        </w:rPr>
        <w:t>（</w:t>
      </w:r>
      <w:r>
        <w:rPr>
          <w:sz w:val="22"/>
        </w:rPr>
        <w:t>3</w:t>
      </w:r>
      <w:r>
        <w:rPr>
          <w:sz w:val="22"/>
        </w:rPr>
        <w:t>）</w:t>
      </w:r>
      <w:r>
        <w:rPr>
          <w:sz w:val="22"/>
        </w:rPr>
        <w:t>乙方应根据甲方需求，组建完善、稳定的服务团队，及时响应，保障服务质量。在项目实施过程中，项目经理和主要技术人员未经甲方许可不得变更。</w:t>
      </w:r>
    </w:p>
    <w:p>
      <w:pPr>
        <w:pStyle w:val="null3"/>
        <w:ind w:firstLine="440"/>
        <w:jc w:val="left"/>
      </w:pPr>
      <w:r>
        <w:rPr>
          <w:sz w:val="22"/>
        </w:rPr>
        <w:t>（</w:t>
      </w:r>
      <w:r>
        <w:rPr>
          <w:sz w:val="22"/>
        </w:rPr>
        <w:t>4</w:t>
      </w:r>
      <w:r>
        <w:rPr>
          <w:sz w:val="22"/>
        </w:rPr>
        <w:t>）</w:t>
      </w:r>
      <w:r>
        <w:rPr>
          <w:sz w:val="22"/>
        </w:rPr>
        <w:t>乙方应按本合同规定向甲方公开本项目有关技术细节及提供必要的技术资料，并提供培训和技术支持，</w:t>
      </w:r>
      <w:r>
        <w:rPr>
          <w:sz w:val="22"/>
        </w:rPr>
        <w:t>培训于项目终验前在甲方指定场所完成，培训内容包括系统功能演示、系统操作、日常管理与维护等，</w:t>
      </w:r>
      <w:r>
        <w:rPr>
          <w:sz w:val="22"/>
        </w:rPr>
        <w:t>确保培训对象理解并掌握操作、管理和维护。</w:t>
      </w:r>
    </w:p>
    <w:p>
      <w:pPr>
        <w:pStyle w:val="null3"/>
        <w:ind w:firstLine="440"/>
        <w:jc w:val="left"/>
      </w:pPr>
      <w:r>
        <w:rPr>
          <w:sz w:val="22"/>
        </w:rPr>
        <w:t>（</w:t>
      </w:r>
      <w:r>
        <w:rPr>
          <w:sz w:val="22"/>
        </w:rPr>
        <w:t>5</w:t>
      </w:r>
      <w:r>
        <w:rPr>
          <w:sz w:val="22"/>
        </w:rPr>
        <w:t>）</w:t>
      </w:r>
      <w:r>
        <w:rPr>
          <w:sz w:val="22"/>
        </w:rPr>
        <w:t>乙方所提供的一切资料应通过合法途径获得，任何第三方不得对该资料主张权利，否则，乙方应承担相应的责任，并承担由此给甲方造成的一切损失。</w:t>
      </w:r>
    </w:p>
    <w:p>
      <w:pPr>
        <w:pStyle w:val="null3"/>
        <w:ind w:firstLine="440"/>
        <w:jc w:val="left"/>
      </w:pPr>
      <w:r>
        <w:rPr>
          <w:sz w:val="22"/>
        </w:rPr>
        <w:t>（</w:t>
      </w:r>
      <w:r>
        <w:rPr>
          <w:sz w:val="22"/>
        </w:rPr>
        <w:t>7</w:t>
      </w:r>
      <w:r>
        <w:rPr>
          <w:sz w:val="22"/>
        </w:rPr>
        <w:t>）</w:t>
      </w:r>
      <w:r>
        <w:rPr>
          <w:sz w:val="22"/>
        </w:rPr>
        <w:t>乙方在履行本合同期间应接受甲方的服务质量检查</w:t>
      </w:r>
    </w:p>
    <w:p>
      <w:pPr>
        <w:pStyle w:val="null3"/>
        <w:spacing w:before="150" w:after="150"/>
        <w:ind w:firstLine="442"/>
        <w:jc w:val="left"/>
      </w:pPr>
      <w:r>
        <w:rPr>
          <w:sz w:val="22"/>
          <w:b/>
        </w:rPr>
        <w:t>五</w:t>
      </w:r>
      <w:r>
        <w:rPr>
          <w:sz w:val="22"/>
          <w:b/>
        </w:rPr>
        <w:t>、</w:t>
      </w:r>
      <w:r>
        <w:rPr>
          <w:sz w:val="22"/>
          <w:b/>
        </w:rPr>
        <w:t>项目验收</w:t>
      </w:r>
    </w:p>
    <w:p>
      <w:pPr>
        <w:pStyle w:val="null3"/>
        <w:ind w:firstLine="440"/>
        <w:jc w:val="left"/>
      </w:pPr>
      <w:r>
        <w:rPr>
          <w:sz w:val="22"/>
        </w:rPr>
        <w:t>1.</w:t>
      </w:r>
      <w:r>
        <w:rPr>
          <w:sz w:val="22"/>
        </w:rPr>
        <w:t>本项目按照《</w:t>
      </w:r>
      <w:r>
        <w:rPr>
          <w:sz w:val="22"/>
        </w:rPr>
        <w:t>广东省公安厅信息化项目管理办法</w:t>
      </w:r>
      <w:r>
        <w:rPr>
          <w:sz w:val="22"/>
        </w:rPr>
        <w:t>》</w:t>
      </w:r>
      <w:r>
        <w:rPr>
          <w:sz w:val="22"/>
        </w:rPr>
        <w:t>相关规定</w:t>
      </w:r>
      <w:r>
        <w:rPr>
          <w:sz w:val="22"/>
        </w:rPr>
        <w:t>执行。</w:t>
      </w:r>
    </w:p>
    <w:p>
      <w:pPr>
        <w:pStyle w:val="null3"/>
        <w:ind w:firstLine="440"/>
        <w:jc w:val="left"/>
      </w:pPr>
      <w:r>
        <w:rPr>
          <w:sz w:val="22"/>
        </w:rPr>
        <w:t>2.</w:t>
      </w:r>
      <w:r>
        <w:rPr>
          <w:sz w:val="22"/>
        </w:rPr>
        <w:t>验收流程分为初步验收、试运行与最终验收。</w:t>
      </w:r>
    </w:p>
    <w:p>
      <w:pPr>
        <w:pStyle w:val="null3"/>
        <w:ind w:firstLine="440"/>
        <w:jc w:val="left"/>
      </w:pPr>
      <w:r>
        <w:rPr>
          <w:sz w:val="22"/>
        </w:rPr>
        <w:t>初步验收。</w:t>
      </w:r>
      <w:r>
        <w:rPr>
          <w:sz w:val="21"/>
        </w:rPr>
        <w:t>在项目定制软件开发服务的系统开发、测试、部署等工作完成后，可以申请进行项目初步验收。项目初步验收主要检验系统的功能、性能等，验收依据是本合同及其附件的内容和要求</w:t>
      </w:r>
      <w:r>
        <w:rPr>
          <w:sz w:val="22"/>
        </w:rPr>
        <w:t>。</w:t>
      </w:r>
    </w:p>
    <w:p>
      <w:pPr>
        <w:pStyle w:val="null3"/>
        <w:ind w:firstLine="440"/>
        <w:jc w:val="left"/>
      </w:pPr>
      <w:r>
        <w:rPr>
          <w:sz w:val="22"/>
        </w:rPr>
        <w:t>试运行。初步验收通过后，系统进入</w:t>
      </w:r>
      <w:r>
        <w:rPr>
          <w:sz w:val="22"/>
        </w:rPr>
        <w:t>三</w:t>
      </w:r>
      <w:r>
        <w:rPr>
          <w:sz w:val="22"/>
        </w:rPr>
        <w:t>个月试运行。系统试运行期间，如由于系统自身原因，发生严重影响系统使用的重大故障，则试运行期自故障修复之日起，重新计算；如由于系统自身原因，发生局部（或轻微）影响系统使用的一般故障，则从系统发生故障之日起暂停计算系统试运行时间，故障修复之日起，继续计算系统试运行时间。</w:t>
      </w:r>
    </w:p>
    <w:p>
      <w:pPr>
        <w:pStyle w:val="null3"/>
        <w:ind w:firstLine="440"/>
        <w:jc w:val="left"/>
      </w:pPr>
      <w:r>
        <w:rPr>
          <w:sz w:val="22"/>
        </w:rPr>
        <w:t>最终验收。</w:t>
      </w:r>
      <w:r>
        <w:rPr>
          <w:sz w:val="21"/>
        </w:rPr>
        <w:t>项目完成所有服务内容，</w:t>
      </w:r>
      <w:r>
        <w:rPr>
          <w:sz w:val="21"/>
        </w:rPr>
        <w:t>且通过等保测评、商用密码应用评估、验收测评、信息技术应用创新符合性测试（信息技术应用创新符合性测试费用由乙方承担），</w:t>
      </w:r>
      <w:r>
        <w:rPr>
          <w:sz w:val="21"/>
        </w:rPr>
        <w:t>由乙方向甲方提出终验书面申请，甲方无异议的，按相关规定开展项目最终验收。</w:t>
      </w:r>
    </w:p>
    <w:p>
      <w:pPr>
        <w:pStyle w:val="null3"/>
        <w:ind w:firstLine="440"/>
        <w:jc w:val="left"/>
      </w:pPr>
      <w:r>
        <w:rPr>
          <w:sz w:val="22"/>
        </w:rPr>
        <w:t>3.</w:t>
      </w:r>
      <w:r>
        <w:rPr>
          <w:sz w:val="22"/>
        </w:rPr>
        <w:t>验收的主要依据包括本合同文件、招标需求、投标文件，以及用户需求说明书和设计方案、验收测试报告。</w:t>
      </w:r>
    </w:p>
    <w:p>
      <w:pPr>
        <w:pStyle w:val="null3"/>
        <w:spacing w:before="150" w:after="150"/>
        <w:ind w:firstLine="442"/>
        <w:jc w:val="left"/>
      </w:pPr>
      <w:r>
        <w:rPr>
          <w:sz w:val="22"/>
          <w:b/>
        </w:rPr>
        <w:t>六</w:t>
      </w:r>
      <w:r>
        <w:rPr>
          <w:sz w:val="22"/>
          <w:b/>
        </w:rPr>
        <w:t>、付款方式</w:t>
      </w:r>
    </w:p>
    <w:p>
      <w:pPr>
        <w:pStyle w:val="null3"/>
        <w:ind w:firstLine="440"/>
        <w:jc w:val="both"/>
      </w:pPr>
      <w:r>
        <w:rPr>
          <w:sz w:val="22"/>
        </w:rPr>
        <w:t>1</w:t>
      </w:r>
      <w:r>
        <w:rPr>
          <w:sz w:val="22"/>
        </w:rPr>
        <w:t>.</w:t>
      </w:r>
      <w:r>
        <w:rPr>
          <w:sz w:val="22"/>
        </w:rPr>
        <w:t>项目首笔款，签订项目合同后，由乙方向甲方提出支付申请及支付佐证材料，甲方应在</w:t>
      </w:r>
      <w:r>
        <w:rPr>
          <w:sz w:val="22"/>
        </w:rPr>
        <w:t>5</w:t>
      </w:r>
      <w:r>
        <w:rPr>
          <w:sz w:val="22"/>
        </w:rPr>
        <w:t>个工作日内，向乙方支付合同金额</w:t>
      </w:r>
      <w:r>
        <w:rPr>
          <w:sz w:val="22"/>
        </w:rPr>
        <w:t>30%</w:t>
      </w:r>
      <w:r>
        <w:rPr>
          <w:sz w:val="22"/>
        </w:rPr>
        <w:t>款项。</w:t>
      </w:r>
    </w:p>
    <w:p>
      <w:pPr>
        <w:pStyle w:val="null3"/>
        <w:ind w:firstLine="440"/>
        <w:jc w:val="both"/>
      </w:pPr>
      <w:r>
        <w:rPr>
          <w:sz w:val="22"/>
        </w:rPr>
        <w:t>2</w:t>
      </w:r>
      <w:r>
        <w:rPr>
          <w:sz w:val="22"/>
        </w:rPr>
        <w:t>.</w:t>
      </w:r>
      <w:r>
        <w:rPr>
          <w:sz w:val="22"/>
        </w:rPr>
        <w:t>项目初验款，软件系统初步验收合格后</w:t>
      </w:r>
      <w:r>
        <w:rPr>
          <w:sz w:val="22"/>
        </w:rPr>
        <w:t>10</w:t>
      </w:r>
      <w:r>
        <w:rPr>
          <w:sz w:val="22"/>
        </w:rPr>
        <w:t>个工作日内由乙方向甲方提出支付申请及支付佐证材料，甲方应在</w:t>
      </w:r>
      <w:r>
        <w:rPr>
          <w:sz w:val="22"/>
        </w:rPr>
        <w:t>10</w:t>
      </w:r>
      <w:r>
        <w:rPr>
          <w:sz w:val="22"/>
        </w:rPr>
        <w:t>个工作日内，向乙方支付合同金额</w:t>
      </w:r>
      <w:r>
        <w:rPr>
          <w:sz w:val="22"/>
        </w:rPr>
        <w:t>40%</w:t>
      </w:r>
      <w:r>
        <w:rPr>
          <w:sz w:val="22"/>
        </w:rPr>
        <w:t>款项。</w:t>
      </w:r>
    </w:p>
    <w:p>
      <w:pPr>
        <w:pStyle w:val="null3"/>
        <w:ind w:firstLine="440"/>
        <w:jc w:val="both"/>
      </w:pPr>
      <w:r>
        <w:rPr>
          <w:sz w:val="22"/>
        </w:rPr>
        <w:t>3</w:t>
      </w:r>
      <w:r>
        <w:rPr>
          <w:sz w:val="22"/>
        </w:rPr>
        <w:t>.</w:t>
      </w:r>
      <w:r>
        <w:rPr>
          <w:sz w:val="22"/>
        </w:rPr>
        <w:t>项目终验款，项目终验合格并审计结算后，由乙方向甲方提供发票，甲方应在</w:t>
      </w:r>
      <w:r>
        <w:rPr>
          <w:sz w:val="22"/>
        </w:rPr>
        <w:t>10</w:t>
      </w:r>
      <w:r>
        <w:rPr>
          <w:sz w:val="22"/>
        </w:rPr>
        <w:t>个工作日内向乙方支付至结算总价的</w:t>
      </w:r>
      <w:r>
        <w:rPr>
          <w:sz w:val="22"/>
        </w:rPr>
        <w:t>100%</w:t>
      </w:r>
      <w:r>
        <w:rPr>
          <w:sz w:val="22"/>
        </w:rPr>
        <w:t>。</w:t>
      </w:r>
    </w:p>
    <w:p>
      <w:pPr>
        <w:pStyle w:val="null3"/>
        <w:ind w:firstLine="440"/>
        <w:jc w:val="both"/>
      </w:pPr>
      <w:r>
        <w:rPr>
          <w:sz w:val="22"/>
        </w:rPr>
        <w:t>4</w:t>
      </w:r>
      <w:r>
        <w:rPr>
          <w:sz w:val="22"/>
        </w:rPr>
        <w:t>.</w:t>
      </w:r>
      <w:r>
        <w:rPr>
          <w:sz w:val="22"/>
        </w:rPr>
        <w:t>申请支付合同款项时，乙方向甲方提供与当期支付款项金额等值的中华人民共和国大陆地区合法有效发票。</w:t>
      </w:r>
    </w:p>
    <w:p>
      <w:pPr>
        <w:pStyle w:val="null3"/>
        <w:ind w:firstLine="440"/>
        <w:jc w:val="both"/>
      </w:pPr>
      <w:r>
        <w:rPr>
          <w:sz w:val="22"/>
        </w:rPr>
        <w:t>5</w:t>
      </w:r>
      <w:r>
        <w:rPr>
          <w:sz w:val="22"/>
        </w:rPr>
        <w:t>.</w:t>
      </w:r>
      <w:r>
        <w:rPr>
          <w:sz w:val="22"/>
        </w:rPr>
        <w:t>本合同所指的付款时间为甲方向政府采购支付部门提出支付申请的时间（不含政府采购支付部门审查时间和支付时间），乙方不得以资金付款期限已过为由向甲方索赔或要求支付违约金。</w:t>
      </w:r>
    </w:p>
    <w:p>
      <w:pPr>
        <w:pStyle w:val="null3"/>
        <w:spacing w:before="150" w:after="150"/>
        <w:ind w:firstLine="442"/>
        <w:jc w:val="left"/>
      </w:pPr>
      <w:r>
        <w:rPr>
          <w:sz w:val="22"/>
          <w:b/>
        </w:rPr>
        <w:t>七、售后服务</w:t>
      </w:r>
    </w:p>
    <w:p>
      <w:pPr>
        <w:pStyle w:val="null3"/>
        <w:ind w:firstLine="440"/>
        <w:jc w:val="left"/>
      </w:pPr>
      <w:r>
        <w:rPr>
          <w:sz w:val="22"/>
        </w:rPr>
        <w:t>软件开发服务功能模块质保期为自项目终验合格之日起</w:t>
      </w:r>
      <w:r>
        <w:rPr>
          <w:sz w:val="22"/>
        </w:rPr>
        <w:t>1</w:t>
      </w:r>
      <w:r>
        <w:rPr>
          <w:sz w:val="22"/>
        </w:rPr>
        <w:t>年。</w:t>
      </w:r>
      <w:r>
        <w:rPr>
          <w:sz w:val="21"/>
        </w:rPr>
        <w:t>质保期内提供免费产品升级服务和相关的信息技术和跟进工作</w:t>
      </w:r>
      <w:r>
        <w:rPr>
          <w:sz w:val="22"/>
        </w:rPr>
        <w:t>。</w:t>
      </w:r>
    </w:p>
    <w:p>
      <w:pPr>
        <w:pStyle w:val="null3"/>
        <w:ind w:firstLine="440"/>
        <w:jc w:val="left"/>
      </w:pPr>
      <w:r>
        <w:rPr>
          <w:sz w:val="22"/>
        </w:rPr>
        <w:t>乙方需提供</w:t>
      </w:r>
      <w:r>
        <w:rPr>
          <w:sz w:val="22"/>
        </w:rPr>
        <w:t>7*24</w:t>
      </w:r>
      <w:r>
        <w:rPr>
          <w:sz w:val="22"/>
        </w:rPr>
        <w:t>小时的电话支持，并在敏感时期、重大节假日提供技术人员专门值守服务。项目服务期内，乙方应提供定期的安全漏洞修复、性能优化等服务，总结常见问题及解决方案，优化服务流程</w:t>
      </w:r>
      <w:r>
        <w:rPr>
          <w:sz w:val="22"/>
        </w:rPr>
        <w:t>。</w:t>
      </w:r>
    </w:p>
    <w:p>
      <w:pPr>
        <w:pStyle w:val="null3"/>
        <w:spacing w:before="150" w:after="150"/>
        <w:ind w:firstLine="442"/>
        <w:jc w:val="left"/>
      </w:pPr>
      <w:r>
        <w:rPr>
          <w:sz w:val="22"/>
          <w:b/>
        </w:rPr>
        <w:t>八</w:t>
      </w:r>
      <w:r>
        <w:rPr>
          <w:sz w:val="22"/>
          <w:b/>
        </w:rPr>
        <w:t>、知识产权归属</w:t>
      </w:r>
    </w:p>
    <w:p>
      <w:pPr>
        <w:pStyle w:val="null3"/>
        <w:ind w:firstLine="440"/>
        <w:jc w:val="both"/>
      </w:pPr>
      <w:r>
        <w:rPr>
          <w:sz w:val="22"/>
        </w:rPr>
        <w:t>乙方在规定时间内按照合同、招标文件要求完成系统设计、开发、安装、测试、验收等工作，应以光盘形式向甲方移交项目技术文档、代码和可执行程序等项目成果。</w:t>
      </w:r>
    </w:p>
    <w:p>
      <w:pPr>
        <w:pStyle w:val="null3"/>
        <w:ind w:firstLine="440"/>
        <w:jc w:val="both"/>
      </w:pPr>
      <w:r>
        <w:rPr>
          <w:sz w:val="22"/>
        </w:rPr>
        <w:t>1</w:t>
      </w:r>
      <w:r>
        <w:rPr>
          <w:sz w:val="22"/>
        </w:rPr>
        <w:t>.</w:t>
      </w:r>
      <w:r>
        <w:rPr>
          <w:sz w:val="22"/>
        </w:rPr>
        <w:t>甲方享有包括知识产权在内的项目成果全部权益。未经甲方同意，乙方不得擅自将项目成果转让给第三人，也不得擅自允许第三人使用。</w:t>
      </w:r>
    </w:p>
    <w:p>
      <w:pPr>
        <w:pStyle w:val="null3"/>
        <w:ind w:firstLine="440"/>
        <w:jc w:val="both"/>
      </w:pPr>
      <w:r>
        <w:rPr>
          <w:sz w:val="22"/>
        </w:rPr>
        <w:t>2</w:t>
      </w:r>
      <w:r>
        <w:rPr>
          <w:sz w:val="22"/>
        </w:rPr>
        <w:t>.</w:t>
      </w:r>
      <w:r>
        <w:rPr>
          <w:sz w:val="22"/>
        </w:rPr>
        <w:t>乙方在项目实施过程中制作的软件、源程序代码、项目技术文档以及相关资料的所有权与知识产权归甲方所有，保证其在研发过程中及交付给甲方使用的研发成果不侵犯任何第三人的合法权益。如发生第三人指控甲方侵权的，乙方应当承担全部责任。</w:t>
      </w:r>
    </w:p>
    <w:p>
      <w:pPr>
        <w:pStyle w:val="null3"/>
        <w:ind w:firstLine="440"/>
        <w:jc w:val="both"/>
      </w:pPr>
      <w:r>
        <w:rPr>
          <w:sz w:val="22"/>
        </w:rPr>
        <w:t>3</w:t>
      </w:r>
      <w:r>
        <w:rPr>
          <w:sz w:val="22"/>
        </w:rPr>
        <w:t>.</w:t>
      </w:r>
      <w:r>
        <w:rPr>
          <w:sz w:val="22"/>
        </w:rPr>
        <w:t>甲方有权利用本项目成果进行后续开发或改进，由此产生的项目成果的所有权和知识产权归甲方所有。未经甲方同意，乙方不得利用本项目成果进行后续开发。</w:t>
      </w:r>
    </w:p>
    <w:p>
      <w:pPr>
        <w:pStyle w:val="null3"/>
        <w:spacing w:before="150" w:after="150"/>
        <w:ind w:firstLine="442"/>
        <w:jc w:val="left"/>
      </w:pPr>
      <w:r>
        <w:rPr>
          <w:sz w:val="22"/>
          <w:b/>
        </w:rPr>
        <w:t>九</w:t>
      </w:r>
      <w:r>
        <w:rPr>
          <w:sz w:val="22"/>
          <w:b/>
        </w:rPr>
        <w:t>、保密</w:t>
      </w:r>
    </w:p>
    <w:p>
      <w:pPr>
        <w:pStyle w:val="null3"/>
        <w:ind w:firstLine="440"/>
        <w:jc w:val="left"/>
      </w:pPr>
      <w:r>
        <w:rPr>
          <w:sz w:val="22"/>
        </w:rPr>
        <w:t>1.</w:t>
      </w:r>
      <w:r>
        <w:rPr>
          <w:sz w:val="22"/>
        </w:rPr>
        <w:t>双方均应严格遵守《中华人民共和国数据安全法》以及其他中国法律中关于数据安全保护与使用的规定，合理使用数据，并对数据采取必要的保护措施。在任何情况下，不得进行任何可能侵害数据所有人合法权益的行为。</w:t>
      </w:r>
    </w:p>
    <w:p>
      <w:pPr>
        <w:pStyle w:val="null3"/>
        <w:ind w:firstLine="440"/>
        <w:jc w:val="left"/>
      </w:pPr>
      <w:r>
        <w:rPr>
          <w:sz w:val="22"/>
        </w:rPr>
        <w:t>2.</w:t>
      </w:r>
      <w:r>
        <w:rPr>
          <w:sz w:val="22"/>
        </w:rPr>
        <w:t>开发过程中，乙方不得在互联网环境部署、运行本项目关联的定制软件（含阶段性版本），或者利用互联网开展软件功能、数据流动等测试活动。</w:t>
      </w:r>
    </w:p>
    <w:p>
      <w:pPr>
        <w:pStyle w:val="null3"/>
        <w:ind w:firstLine="440"/>
        <w:jc w:val="left"/>
      </w:pPr>
      <w:r>
        <w:rPr>
          <w:sz w:val="22"/>
        </w:rPr>
        <w:t>3</w:t>
      </w:r>
      <w:r>
        <w:rPr>
          <w:sz w:val="22"/>
        </w:rPr>
        <w:t>.</w:t>
      </w:r>
      <w:r>
        <w:rPr>
          <w:sz w:val="22"/>
        </w:rPr>
        <w:t>为保证数据应用传输通道的安全，在线数据应用服务必须按照甲乙双方网络安全相关要求进行对接。数据应用服务的传输过程，均应采用数据传输加密技术，保证其安全性，如甲方有特殊需求，应向乙方协商。</w:t>
      </w:r>
    </w:p>
    <w:p>
      <w:pPr>
        <w:pStyle w:val="null3"/>
        <w:ind w:firstLine="440"/>
        <w:jc w:val="left"/>
      </w:pPr>
      <w:r>
        <w:rPr>
          <w:sz w:val="22"/>
        </w:rPr>
        <w:t>4</w:t>
      </w:r>
      <w:r>
        <w:rPr>
          <w:sz w:val="22"/>
        </w:rPr>
        <w:t>.</w:t>
      </w:r>
      <w:r>
        <w:rPr>
          <w:sz w:val="22"/>
        </w:rPr>
        <w:t>双方承诺应对本协议之协商、签署、履行等知悉或掌握的对方的保密信息承担保密责任，未经对方事前书面同意，不得擅自公开或披露予第三方。</w:t>
      </w:r>
    </w:p>
    <w:p>
      <w:pPr>
        <w:pStyle w:val="null3"/>
        <w:ind w:firstLine="440"/>
        <w:jc w:val="left"/>
      </w:pPr>
      <w:r>
        <w:rPr>
          <w:sz w:val="22"/>
        </w:rPr>
        <w:t>5</w:t>
      </w:r>
      <w:r>
        <w:rPr>
          <w:sz w:val="22"/>
        </w:rPr>
        <w:t>.</w:t>
      </w:r>
      <w:r>
        <w:rPr>
          <w:sz w:val="22"/>
        </w:rPr>
        <w:t>甲方承诺对于乙方提供的信息服务负有保密义务，不得以任何方式进行委托处理、共享、转让、公开披露或向协议约定的使用主体以外的任何人透露、传播、散布；</w:t>
      </w:r>
    </w:p>
    <w:p>
      <w:pPr>
        <w:pStyle w:val="null3"/>
        <w:ind w:firstLine="440"/>
        <w:jc w:val="left"/>
      </w:pPr>
      <w:r>
        <w:rPr>
          <w:sz w:val="22"/>
        </w:rPr>
        <w:t>6</w:t>
      </w:r>
      <w:r>
        <w:rPr>
          <w:sz w:val="22"/>
        </w:rPr>
        <w:t>.</w:t>
      </w:r>
      <w:r>
        <w:rPr>
          <w:sz w:val="22"/>
        </w:rPr>
        <w:t>甲、乙双方签订合同时，一并签署《保密协议书》，具体协议见附件</w:t>
      </w:r>
      <w:r>
        <w:rPr>
          <w:sz w:val="22"/>
        </w:rPr>
        <w:t>4</w:t>
      </w:r>
      <w:r>
        <w:rPr>
          <w:sz w:val="22"/>
        </w:rPr>
        <w:t>。</w:t>
      </w:r>
    </w:p>
    <w:p>
      <w:pPr>
        <w:pStyle w:val="null3"/>
        <w:spacing w:before="150" w:after="150"/>
        <w:ind w:firstLine="442"/>
        <w:jc w:val="left"/>
      </w:pPr>
      <w:r>
        <w:rPr>
          <w:sz w:val="22"/>
          <w:b/>
        </w:rPr>
        <w:t>十</w:t>
      </w:r>
      <w:r>
        <w:rPr>
          <w:sz w:val="22"/>
          <w:b/>
        </w:rPr>
        <w:t>、违约责任与赔偿损失</w:t>
      </w:r>
    </w:p>
    <w:p>
      <w:pPr>
        <w:pStyle w:val="null3"/>
        <w:ind w:firstLine="440"/>
        <w:jc w:val="left"/>
      </w:pPr>
      <w:r>
        <w:rPr>
          <w:sz w:val="22"/>
        </w:rPr>
        <w:t>1</w:t>
      </w:r>
      <w:r>
        <w:rPr>
          <w:sz w:val="22"/>
        </w:rPr>
        <w:t>.</w:t>
      </w:r>
      <w:r>
        <w:rPr>
          <w:sz w:val="22"/>
        </w:rPr>
        <w:t>乙方提供的服务（或产品）不符合本合同规定的，甲方有权拒收并解除本合同，乙方须退还甲方已支付的款项，并向甲方方支付本合同总价</w:t>
      </w:r>
      <w:r>
        <w:rPr>
          <w:sz w:val="22"/>
        </w:rPr>
        <w:t>5%</w:t>
      </w:r>
      <w:r>
        <w:rPr>
          <w:sz w:val="22"/>
        </w:rPr>
        <w:t>的违约金。</w:t>
      </w:r>
    </w:p>
    <w:p>
      <w:pPr>
        <w:pStyle w:val="null3"/>
        <w:ind w:firstLine="440"/>
        <w:jc w:val="left"/>
      </w:pPr>
      <w:r>
        <w:rPr>
          <w:sz w:val="22"/>
        </w:rPr>
        <w:t>2</w:t>
      </w:r>
      <w:r>
        <w:rPr>
          <w:sz w:val="22"/>
        </w:rPr>
        <w:t>.</w:t>
      </w:r>
      <w:r>
        <w:rPr>
          <w:sz w:val="22"/>
        </w:rPr>
        <w:t>乙方未能按本合同规定的交货时间提供服务，从逾期之日起每日按本合同总价</w:t>
      </w:r>
      <w:r>
        <w:rPr>
          <w:sz w:val="22"/>
        </w:rPr>
        <w:t>3‰</w:t>
      </w:r>
      <w:r>
        <w:rPr>
          <w:sz w:val="22"/>
        </w:rPr>
        <w:t>的数额向甲方支付违约金；逾期</w:t>
      </w:r>
      <w:r>
        <w:rPr>
          <w:sz w:val="22"/>
        </w:rPr>
        <w:t>15</w:t>
      </w:r>
      <w:r>
        <w:rPr>
          <w:sz w:val="22"/>
        </w:rPr>
        <w:t>天以上（含</w:t>
      </w:r>
      <w:r>
        <w:rPr>
          <w:sz w:val="22"/>
        </w:rPr>
        <w:t>15</w:t>
      </w:r>
      <w:r>
        <w:rPr>
          <w:sz w:val="22"/>
        </w:rPr>
        <w:t>天）的，甲方有权终止合同，乙方须退还甲方已支付的款项，并向甲方方支付本合同总价</w:t>
      </w:r>
      <w:r>
        <w:rPr>
          <w:sz w:val="22"/>
        </w:rPr>
        <w:t>5%</w:t>
      </w:r>
      <w:r>
        <w:rPr>
          <w:sz w:val="22"/>
        </w:rPr>
        <w:t>的违约金。</w:t>
      </w:r>
    </w:p>
    <w:p>
      <w:pPr>
        <w:pStyle w:val="null3"/>
        <w:ind w:firstLine="440"/>
        <w:jc w:val="left"/>
      </w:pPr>
      <w:r>
        <w:rPr>
          <w:sz w:val="22"/>
        </w:rPr>
        <w:t>3</w:t>
      </w:r>
      <w:r>
        <w:rPr>
          <w:sz w:val="22"/>
        </w:rPr>
        <w:t>.</w:t>
      </w:r>
      <w:r>
        <w:rPr>
          <w:sz w:val="22"/>
        </w:rPr>
        <w:t>甲方无正当理由拒绝接受服务（或产品）的，甲方向乙方偿付合同总价款的</w:t>
      </w:r>
      <w:r>
        <w:rPr>
          <w:sz w:val="22"/>
        </w:rPr>
        <w:t>5%</w:t>
      </w:r>
      <w:r>
        <w:rPr>
          <w:sz w:val="22"/>
        </w:rPr>
        <w:t>的违约金。甲方逾期付款的，从逾期之日起，每日按逾期未付款的</w:t>
      </w:r>
      <w:r>
        <w:rPr>
          <w:sz w:val="22"/>
        </w:rPr>
        <w:t>3‰</w:t>
      </w:r>
      <w:r>
        <w:rPr>
          <w:sz w:val="22"/>
        </w:rPr>
        <w:t>向乙方支付违约金。</w:t>
      </w:r>
    </w:p>
    <w:p>
      <w:pPr>
        <w:pStyle w:val="null3"/>
        <w:ind w:firstLine="440"/>
        <w:jc w:val="left"/>
      </w:pPr>
      <w:r>
        <w:rPr>
          <w:sz w:val="22"/>
        </w:rPr>
        <w:t>4</w:t>
      </w:r>
      <w:r>
        <w:rPr>
          <w:sz w:val="22"/>
        </w:rPr>
        <w:t>.</w:t>
      </w:r>
      <w:r>
        <w:rPr>
          <w:sz w:val="22"/>
        </w:rPr>
        <w:t>其它违约责任按《中华人民共和国民法典（合同编）》处理。</w:t>
      </w:r>
    </w:p>
    <w:p>
      <w:pPr>
        <w:pStyle w:val="null3"/>
        <w:spacing w:before="150" w:after="150"/>
        <w:ind w:firstLine="442"/>
        <w:jc w:val="left"/>
      </w:pPr>
      <w:r>
        <w:rPr>
          <w:sz w:val="22"/>
          <w:b/>
        </w:rPr>
        <w:t>十一</w:t>
      </w:r>
      <w:r>
        <w:rPr>
          <w:sz w:val="22"/>
          <w:b/>
        </w:rPr>
        <w:t>、争议的解决</w:t>
      </w:r>
    </w:p>
    <w:p>
      <w:pPr>
        <w:pStyle w:val="null3"/>
        <w:ind w:firstLine="440"/>
        <w:jc w:val="left"/>
      </w:pPr>
      <w:r>
        <w:rPr>
          <w:sz w:val="22"/>
        </w:rPr>
        <w:t>凡与本合同有关的一切争议，甲乙双方应首先通过友好协商方式解决，如经协商后仍不能达成协议时，任何一方可以向甲方所在地人民法院提出诉讼。</w:t>
      </w:r>
    </w:p>
    <w:p>
      <w:pPr>
        <w:pStyle w:val="null3"/>
        <w:ind w:firstLine="440"/>
        <w:jc w:val="left"/>
      </w:pPr>
      <w:r>
        <w:rPr>
          <w:sz w:val="22"/>
        </w:rPr>
        <w:t>在法院审理期间，除提交法院审理的事项外，合同其他部分仍继续履行。</w:t>
      </w:r>
    </w:p>
    <w:p>
      <w:pPr>
        <w:pStyle w:val="null3"/>
        <w:spacing w:before="150" w:after="150"/>
        <w:ind w:firstLine="442"/>
        <w:jc w:val="left"/>
      </w:pPr>
      <w:r>
        <w:rPr>
          <w:sz w:val="22"/>
          <w:b/>
        </w:rPr>
        <w:t>十</w:t>
      </w:r>
      <w:r>
        <w:rPr>
          <w:sz w:val="22"/>
          <w:b/>
        </w:rPr>
        <w:t>二</w:t>
      </w:r>
      <w:r>
        <w:rPr>
          <w:sz w:val="22"/>
          <w:b/>
        </w:rPr>
        <w:t>、不可抗力</w:t>
      </w:r>
    </w:p>
    <w:p>
      <w:pPr>
        <w:pStyle w:val="null3"/>
        <w:ind w:firstLine="440"/>
        <w:jc w:val="left"/>
      </w:pPr>
      <w:r>
        <w:rPr>
          <w:sz w:val="22"/>
        </w:rPr>
        <w:t>任何一方由于不可抗力原因不能履行合同时，应在不可抗力事件结束后</w:t>
      </w:r>
      <w:r>
        <w:rPr>
          <w:sz w:val="22"/>
        </w:rPr>
        <w:t>1</w:t>
      </w:r>
      <w:r>
        <w:rPr>
          <w:sz w:val="22"/>
        </w:rPr>
        <w:t>日内向对方通报以减轻可能给对方造成的损失，在取得有关机构的不可抗力证明或双方谅解确认后，允许延期履行或修订合同，并根据情况可部分或全部免于承担违约责任。</w:t>
      </w:r>
    </w:p>
    <w:p>
      <w:pPr>
        <w:pStyle w:val="null3"/>
        <w:spacing w:before="150" w:after="150"/>
        <w:ind w:firstLine="442"/>
        <w:jc w:val="left"/>
      </w:pPr>
      <w:r>
        <w:rPr>
          <w:sz w:val="22"/>
          <w:b/>
        </w:rPr>
        <w:t>十</w:t>
      </w:r>
      <w:r>
        <w:rPr>
          <w:sz w:val="22"/>
          <w:b/>
        </w:rPr>
        <w:t>三</w:t>
      </w:r>
      <w:r>
        <w:rPr>
          <w:sz w:val="22"/>
          <w:b/>
        </w:rPr>
        <w:t>、税费</w:t>
      </w:r>
    </w:p>
    <w:p>
      <w:pPr>
        <w:pStyle w:val="null3"/>
        <w:ind w:firstLine="440"/>
        <w:jc w:val="left"/>
      </w:pPr>
      <w:r>
        <w:rPr>
          <w:sz w:val="22"/>
        </w:rPr>
        <w:t>甲方支付给乙方的合同款已包含与本合同有关的一切税、费。</w:t>
      </w:r>
    </w:p>
    <w:p>
      <w:pPr>
        <w:pStyle w:val="null3"/>
        <w:ind w:firstLine="440"/>
        <w:jc w:val="left"/>
      </w:pPr>
      <w:r>
        <w:rPr>
          <w:sz w:val="22"/>
        </w:rPr>
        <w:t>对乙方及其雇员征收的与本合同履行有关的一切税、费均应由乙方承担</w:t>
      </w:r>
    </w:p>
    <w:p>
      <w:pPr>
        <w:pStyle w:val="null3"/>
        <w:spacing w:before="150" w:after="150"/>
        <w:ind w:firstLine="442"/>
        <w:jc w:val="left"/>
      </w:pPr>
      <w:r>
        <w:rPr>
          <w:sz w:val="22"/>
          <w:b/>
        </w:rPr>
        <w:t>十</w:t>
      </w:r>
      <w:r>
        <w:rPr>
          <w:sz w:val="22"/>
          <w:b/>
        </w:rPr>
        <w:t>四</w:t>
      </w:r>
      <w:r>
        <w:rPr>
          <w:sz w:val="22"/>
          <w:b/>
        </w:rPr>
        <w:t>、其他</w:t>
      </w:r>
    </w:p>
    <w:p>
      <w:pPr>
        <w:pStyle w:val="null3"/>
        <w:ind w:firstLine="440"/>
        <w:jc w:val="left"/>
      </w:pPr>
      <w:r>
        <w:rPr>
          <w:sz w:val="22"/>
        </w:rPr>
        <w:t>1.</w:t>
      </w:r>
      <w:r>
        <w:rPr>
          <w:sz w:val="22"/>
        </w:rPr>
        <w:t>本合同所有附件、招标文件、投标文件、中标通知书均</w:t>
      </w:r>
      <w:r>
        <w:rPr>
          <w:sz w:val="22"/>
        </w:rPr>
        <w:t>为本</w:t>
      </w:r>
      <w:r>
        <w:rPr>
          <w:sz w:val="22"/>
        </w:rPr>
        <w:t>合同的有效组成部分，与本合同具有同等法律效力。</w:t>
      </w:r>
    </w:p>
    <w:p>
      <w:pPr>
        <w:pStyle w:val="null3"/>
        <w:ind w:firstLine="440"/>
        <w:jc w:val="left"/>
      </w:pPr>
      <w:r>
        <w:rPr>
          <w:sz w:val="22"/>
        </w:rPr>
        <w:t>2.</w:t>
      </w:r>
      <w:r>
        <w:rPr>
          <w:sz w:val="22"/>
        </w:rPr>
        <w:t>在执行本合同的过程中，所有经双方签署确认的文件（包括会议纪要、补充协议、往来信函）即成为本合同的有效组成部分。</w:t>
      </w:r>
    </w:p>
    <w:p>
      <w:pPr>
        <w:pStyle w:val="null3"/>
        <w:ind w:firstLine="440"/>
        <w:jc w:val="left"/>
      </w:pPr>
      <w:r>
        <w:rPr>
          <w:sz w:val="22"/>
        </w:rPr>
        <w:t>3.</w:t>
      </w:r>
      <w:r>
        <w:rPr>
          <w:sz w:val="22"/>
        </w:rPr>
        <w:t>如一方地址、电话有变更，应在变更当日内书面通知对方，否则，应承担相应责任。</w:t>
      </w:r>
    </w:p>
    <w:p>
      <w:pPr>
        <w:pStyle w:val="null3"/>
        <w:spacing w:after="150"/>
        <w:ind w:firstLine="440"/>
        <w:jc w:val="left"/>
      </w:pPr>
      <w:r>
        <w:rPr>
          <w:sz w:val="22"/>
        </w:rPr>
        <w:t>4.</w:t>
      </w:r>
      <w:r>
        <w:rPr>
          <w:sz w:val="22"/>
        </w:rPr>
        <w:t>除甲方事先书面同意外，乙方不得部分或全部转让其应履行的合同项下的义务。</w:t>
      </w:r>
    </w:p>
    <w:p>
      <w:pPr>
        <w:pStyle w:val="null3"/>
        <w:ind w:firstLine="600"/>
        <w:jc w:val="both"/>
      </w:pPr>
      <w:r>
        <w:rPr>
          <w:sz w:val="22"/>
          <w:b/>
        </w:rPr>
        <w:t>十五</w:t>
      </w:r>
      <w:r>
        <w:rPr>
          <w:sz w:val="22"/>
          <w:b/>
        </w:rPr>
        <w:t>、合同生效</w:t>
      </w:r>
    </w:p>
    <w:p>
      <w:pPr>
        <w:pStyle w:val="null3"/>
        <w:ind w:firstLine="440"/>
        <w:jc w:val="left"/>
      </w:pPr>
      <w:r>
        <w:rPr>
          <w:sz w:val="22"/>
        </w:rPr>
        <w:t>1.</w:t>
      </w:r>
      <w:r>
        <w:rPr>
          <w:sz w:val="22"/>
        </w:rPr>
        <w:t>合同一式</w:t>
      </w:r>
      <w:r>
        <w:rPr>
          <w:sz w:val="22"/>
          <w:u w:val="single"/>
        </w:rPr>
        <w:t xml:space="preserve">  </w:t>
      </w:r>
      <w:r>
        <w:rPr>
          <w:sz w:val="22"/>
          <w:u w:val="single"/>
        </w:rPr>
        <w:t>伍</w:t>
      </w:r>
      <w:r>
        <w:rPr>
          <w:sz w:val="22"/>
          <w:u w:val="single"/>
        </w:rPr>
        <w:t xml:space="preserve">  </w:t>
      </w:r>
      <w:r>
        <w:rPr>
          <w:sz w:val="22"/>
        </w:rPr>
        <w:t>份。甲方持有叁份，乙方持有贰份，具有同等法律效力。</w:t>
      </w:r>
    </w:p>
    <w:p>
      <w:pPr>
        <w:pStyle w:val="null3"/>
        <w:ind w:firstLine="440"/>
        <w:jc w:val="left"/>
      </w:pPr>
      <w:r>
        <w:rPr>
          <w:sz w:val="22"/>
        </w:rPr>
        <w:t>2.</w:t>
      </w:r>
      <w:r>
        <w:rPr>
          <w:sz w:val="22"/>
        </w:rPr>
        <w:t>本合同在甲乙双方</w:t>
      </w:r>
      <w:r>
        <w:rPr>
          <w:sz w:val="22"/>
        </w:rPr>
        <w:t>法定代表人</w:t>
      </w:r>
      <w:r>
        <w:rPr>
          <w:sz w:val="22"/>
        </w:rPr>
        <w:t>或其授权代表签字盖章后生效。</w:t>
      </w:r>
    </w:p>
    <w:p>
      <w:pPr>
        <w:pStyle w:val="null3"/>
        <w:ind w:firstLine="480"/>
        <w:jc w:val="center"/>
      </w:pPr>
      <w:r>
        <w:rPr>
          <w:sz w:val="24"/>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b/>
              </w:rPr>
              <w:t>甲方（盖章）：</w:t>
            </w:r>
          </w:p>
          <w:p>
            <w:pPr>
              <w:pStyle w:val="null3"/>
              <w:ind w:firstLine="600"/>
              <w:jc w:val="left"/>
            </w:pPr>
          </w:p>
        </w:tc>
        <w:tc>
          <w:tcPr>
            <w:tcW w:type="dxa" w:w="4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乙方（盖章）：</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b/>
              </w:rPr>
              <w:t>地址：</w:t>
            </w:r>
            <w:r>
              <w:rPr>
                <w:sz w:val="21"/>
              </w:rPr>
              <w:t xml:space="preserve"> </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b/>
              </w:rPr>
              <w:t>地址：</w:t>
            </w:r>
            <w:r>
              <w:rPr>
                <w:sz w:val="21"/>
              </w:rPr>
              <w:t xml:space="preserve"> </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b/>
              </w:rPr>
              <w:t>法定代表人：</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b/>
              </w:rPr>
              <w:t>法定代表人：</w:t>
            </w:r>
            <w:r>
              <w:rPr>
                <w:sz w:val="21"/>
              </w:rPr>
              <w:t xml:space="preserve"> </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b/>
              </w:rPr>
              <w:t>签约代表：</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b/>
              </w:rPr>
              <w:t>签约代表：</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b/>
              </w:rPr>
              <w:t>联系人：</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b/>
              </w:rPr>
              <w:t>联系人：</w:t>
            </w:r>
            <w:r>
              <w:rPr>
                <w:sz w:val="21"/>
              </w:rPr>
              <w:t xml:space="preserve"> </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b/>
              </w:rPr>
              <w:t>电话：</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b/>
              </w:rPr>
              <w:t>电话：</w:t>
            </w:r>
            <w:r>
              <w:rPr>
                <w:sz w:val="21"/>
              </w:rPr>
              <w:t xml:space="preserve"> </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b/>
              </w:rPr>
              <w:t>传真：</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b/>
              </w:rPr>
              <w:t>传真：</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b/>
              </w:rPr>
              <w:t>电子邮箱：</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b/>
              </w:rPr>
              <w:t>电子邮箱：</w:t>
            </w:r>
            <w:r>
              <w:rPr>
                <w:sz w:val="21"/>
              </w:rPr>
              <w:t xml:space="preserve"> </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00"/>
              <w:jc w:val="left"/>
            </w:pP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开户银行：</w:t>
            </w:r>
            <w:r>
              <w:rPr>
                <w:sz w:val="21"/>
              </w:rPr>
              <w:t xml:space="preserve"> </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00"/>
              <w:jc w:val="left"/>
            </w:pP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账户名称：</w:t>
            </w:r>
            <w:r>
              <w:rPr>
                <w:sz w:val="21"/>
              </w:rPr>
              <w:t xml:space="preserve"> </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00"/>
              <w:jc w:val="left"/>
            </w:pP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账号：</w:t>
            </w:r>
            <w:r>
              <w:rPr>
                <w:sz w:val="21"/>
              </w:rPr>
              <w:t xml:space="preserve"> </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00"/>
              <w:jc w:val="left"/>
            </w:pP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税务登记证号：</w:t>
            </w:r>
            <w:r>
              <w:rPr>
                <w:sz w:val="21"/>
              </w:rPr>
              <w:t xml:space="preserve"> </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00"/>
              <w:jc w:val="left"/>
            </w:pP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工商登记号：</w:t>
            </w:r>
            <w:r>
              <w:rPr>
                <w:sz w:val="21"/>
              </w:rPr>
              <w:t xml:space="preserve"> </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b/>
              </w:rPr>
              <w:t>签约时间：</w:t>
            </w:r>
            <w:r>
              <w:rPr>
                <w:sz w:val="24"/>
                <w:b/>
              </w:rPr>
              <w:t xml:space="preserve">  </w:t>
            </w:r>
            <w:r>
              <w:rPr>
                <w:sz w:val="21"/>
                <w:b/>
              </w:rPr>
              <w:t xml:space="preserve">  </w:t>
            </w:r>
            <w:r>
              <w:rPr>
                <w:sz w:val="24"/>
                <w:b/>
              </w:rPr>
              <w:t>年</w:t>
            </w:r>
            <w:r>
              <w:rPr>
                <w:sz w:val="21"/>
                <w:b/>
              </w:rPr>
              <w:t xml:space="preserve"> </w:t>
            </w:r>
            <w:r>
              <w:rPr>
                <w:sz w:val="24"/>
                <w:b/>
              </w:rPr>
              <w:t xml:space="preserve"> </w:t>
            </w:r>
            <w:r>
              <w:rPr>
                <w:sz w:val="24"/>
                <w:b/>
              </w:rPr>
              <w:t>月</w:t>
            </w:r>
            <w:r>
              <w:rPr>
                <w:sz w:val="21"/>
                <w:b/>
              </w:rPr>
              <w:t xml:space="preserve"> </w:t>
            </w:r>
            <w:r>
              <w:rPr>
                <w:sz w:val="24"/>
                <w:b/>
              </w:rPr>
              <w:t>日</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b/>
              </w:rPr>
              <w:t>签约时间：</w:t>
            </w:r>
            <w:r>
              <w:rPr>
                <w:sz w:val="21"/>
                <w:b/>
              </w:rPr>
              <w:t xml:space="preserve">  </w:t>
            </w:r>
            <w:r>
              <w:rPr>
                <w:sz w:val="24"/>
                <w:b/>
              </w:rPr>
              <w:t xml:space="preserve"> </w:t>
            </w:r>
            <w:r>
              <w:rPr>
                <w:sz w:val="24"/>
                <w:b/>
              </w:rPr>
              <w:t>年</w:t>
            </w:r>
            <w:r>
              <w:rPr>
                <w:sz w:val="21"/>
                <w:b/>
              </w:rPr>
              <w:t xml:space="preserve"> </w:t>
            </w:r>
            <w:r>
              <w:rPr>
                <w:sz w:val="24"/>
                <w:b/>
              </w:rPr>
              <w:t>月</w:t>
            </w:r>
            <w:r>
              <w:rPr>
                <w:sz w:val="21"/>
                <w:b/>
              </w:rPr>
              <w:t xml:space="preserve"> </w:t>
            </w:r>
            <w:r>
              <w:rPr>
                <w:sz w:val="24"/>
                <w:b/>
              </w:rPr>
              <w:t>日</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sz w:val="24"/>
                <w:b/>
              </w:rPr>
              <w:t>签约地点：</w:t>
            </w:r>
            <w:r>
              <w:rPr>
                <w:sz w:val="24"/>
              </w:rPr>
              <w:t>广州</w:t>
            </w:r>
          </w:p>
        </w:tc>
      </w:tr>
    </w:tbl>
    <w:p>
      <w:pPr>
        <w:pStyle w:val="null3"/>
        <w:ind w:firstLine="482"/>
        <w:jc w:val="both"/>
      </w:pPr>
      <w:r>
        <w:rPr>
          <w:sz w:val="24"/>
          <w:b/>
        </w:rPr>
        <w:t>附件</w:t>
      </w:r>
      <w:r>
        <w:rPr>
          <w:sz w:val="24"/>
          <w:b/>
        </w:rPr>
        <w:t>1</w:t>
      </w:r>
      <w:r>
        <w:rPr>
          <w:sz w:val="24"/>
          <w:b/>
        </w:rPr>
        <w:t>：技术开发内容要求</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firstLine="482"/>
              <w:jc w:val="center"/>
            </w:pPr>
            <w:r>
              <w:rPr>
                <w:sz w:val="24"/>
                <w:b/>
              </w:rPr>
              <w:t>一、</w:t>
            </w:r>
            <w:r>
              <w:rPr>
                <w:sz w:val="24"/>
                <w:b/>
              </w:rPr>
              <w:t>总体</w:t>
            </w:r>
            <w:r>
              <w:rPr>
                <w:sz w:val="24"/>
                <w:b/>
              </w:rPr>
              <w:t>目标</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rPr>
              <w:t>为提升省公安厅交通指挥系统的数据安全与稳定性，将系统当前服务器、数据库和中间件、操作系统等适配国产化产品，确保数据采集的安全性和敏感信息的安全保护，增强系统在紧急情况下的自主可控性和高效运作能力。同时，强化公安交通指挥系统对业务管理支撑能力，推行个人统一身份认证体系，实现警情、网情、线索责任的精准追溯，提高业务流程效率。在此基础上，系统升级数据风险预警模型与指挥调度能力模块，提升省－市－大队三级业务协同效率，构建高可靠路况信息服务体系，实现公安指挥调度决策精准性、跨部门应急响应效率的双重跃升，保障群众出行安全。</w:t>
            </w:r>
          </w:p>
        </w:tc>
      </w:tr>
      <w:tr>
        <w:tc>
          <w:tcPr>
            <w:tcW w:type="dxa" w:w="8306"/>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firstLine="482"/>
              <w:jc w:val="center"/>
            </w:pPr>
            <w:r>
              <w:rPr>
                <w:sz w:val="24"/>
                <w:b/>
              </w:rPr>
              <w:t>二、</w:t>
            </w:r>
            <w:r>
              <w:rPr>
                <w:sz w:val="24"/>
                <w:b/>
              </w:rPr>
              <w:t>设计要求与技术指标要求</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rPr>
              <w:t xml:space="preserve">1. </w:t>
            </w:r>
            <w:r>
              <w:rPr>
                <w:sz w:val="20"/>
              </w:rPr>
              <w:t>定制软件开发服务要求</w:t>
            </w:r>
          </w:p>
          <w:p>
            <w:pPr>
              <w:pStyle w:val="null3"/>
              <w:ind w:firstLine="400"/>
              <w:jc w:val="both"/>
            </w:pPr>
            <w:r>
              <w:rPr>
                <w:sz w:val="20"/>
              </w:rPr>
              <w:t>1.1</w:t>
            </w:r>
            <w:r>
              <w:rPr>
                <w:sz w:val="20"/>
              </w:rPr>
              <w:t>融合数据风险评估及处置体系功能模块</w:t>
            </w:r>
          </w:p>
          <w:p>
            <w:pPr>
              <w:pStyle w:val="null3"/>
              <w:ind w:firstLine="400"/>
              <w:jc w:val="both"/>
            </w:pPr>
            <w:r>
              <w:rPr>
                <w:sz w:val="20"/>
              </w:rPr>
              <w:t>升级融合数据风险评估及处置体系，建设数据深度分析模型，提升视频在线率分析预警处置、高速公路流量数据研判分析预警处置、情报线索办结率预警处置能力。建设数据质量评估指标体系，完善指挥系统视频在线率评估指标、高速公路流量数据研判评估指标、情报线索处置过程评估指标、警情回复考核指标。建设外部系统对接接口，解决库对接效率不高的问题，建立标准化数据交互体系，包括</w:t>
            </w:r>
            <w:r>
              <w:rPr>
                <w:sz w:val="20"/>
              </w:rPr>
              <w:t>5G</w:t>
            </w:r>
            <w:r>
              <w:rPr>
                <w:sz w:val="20"/>
              </w:rPr>
              <w:t>执法仪、视频流数据接入、气象数据、</w:t>
            </w:r>
            <w:r>
              <w:rPr>
                <w:sz w:val="20"/>
              </w:rPr>
              <w:t>ETC</w:t>
            </w:r>
            <w:r>
              <w:rPr>
                <w:sz w:val="20"/>
              </w:rPr>
              <w:t>数据、道路缓行数据等五类标准数据对接接口。</w:t>
            </w:r>
          </w:p>
          <w:p>
            <w:pPr>
              <w:pStyle w:val="null3"/>
              <w:ind w:firstLine="400"/>
              <w:jc w:val="both"/>
            </w:pPr>
            <w:r>
              <w:rPr>
                <w:sz w:val="20"/>
              </w:rPr>
              <w:t>1.2</w:t>
            </w:r>
            <w:r>
              <w:rPr>
                <w:sz w:val="20"/>
              </w:rPr>
              <w:t>交通指挥调度功能模块</w:t>
            </w:r>
          </w:p>
          <w:p>
            <w:pPr>
              <w:pStyle w:val="null3"/>
              <w:ind w:firstLine="400"/>
              <w:jc w:val="both"/>
            </w:pPr>
            <w:r>
              <w:rPr>
                <w:sz w:val="20"/>
              </w:rPr>
              <w:t>开发缓行路段任务处置反馈监督和处置反馈机制模块，主要功能包括缓行路段处置反馈、处置结果记录，量化评估指标设置、评估报告生成，警力任务部署可视化及警力状态更新。完善重大事故全流程监督，实现主要功能包括重大事故信息上图，事故信息实时标注、事故处置全流程记录。完善三级情报线索管理，开发情报传递系统，主要功能包括线索下发、线索签收、线索处置反馈、线索审核、线索超时提醒、情报线索提醒等功能，实现线索处置进度跟踪，提升传递效率。</w:t>
            </w:r>
          </w:p>
          <w:p>
            <w:pPr>
              <w:pStyle w:val="null3"/>
              <w:ind w:firstLine="400"/>
              <w:jc w:val="both"/>
            </w:pPr>
            <w:r>
              <w:rPr>
                <w:sz w:val="20"/>
              </w:rPr>
              <w:t>1.3</w:t>
            </w:r>
            <w:r>
              <w:rPr>
                <w:sz w:val="20"/>
              </w:rPr>
              <w:t>视频优播功能模块</w:t>
            </w:r>
          </w:p>
          <w:p>
            <w:pPr>
              <w:pStyle w:val="null3"/>
              <w:ind w:firstLine="400"/>
              <w:jc w:val="both"/>
            </w:pPr>
            <w:r>
              <w:rPr>
                <w:sz w:val="20"/>
              </w:rPr>
              <w:t>改进视频播放能力，提升视频播放流畅度，通过视频质量清洗，排除异常设备，保证视频播放质量，主要功能包括视频播放信息、视频质量预检信息。</w:t>
            </w:r>
          </w:p>
          <w:p>
            <w:pPr>
              <w:pStyle w:val="null3"/>
              <w:ind w:firstLine="400"/>
              <w:jc w:val="both"/>
            </w:pPr>
            <w:r>
              <w:rPr>
                <w:sz w:val="20"/>
              </w:rPr>
              <w:t>1.4</w:t>
            </w:r>
            <w:r>
              <w:rPr>
                <w:sz w:val="20"/>
              </w:rPr>
              <w:t>应用状态监测与告警功能模块</w:t>
            </w:r>
          </w:p>
          <w:p>
            <w:pPr>
              <w:pStyle w:val="null3"/>
              <w:ind w:firstLine="400"/>
              <w:jc w:val="both"/>
            </w:pPr>
            <w:r>
              <w:rPr>
                <w:sz w:val="20"/>
              </w:rPr>
              <w:t>开发应用状态监测与告警模块，主要功能包括应用状态自动化监测信息、日志统一接入信息、日志链路追踪信息、告警规则信息、自动化故障恢复机制信息、基础环境自动化监测信息、中间件服务状态监测信息以及预警信息。通过对这些信息的协同运用，构建基础环境层面的健康监测，实现故障诊断和修复建议智能化。</w:t>
            </w:r>
          </w:p>
          <w:p>
            <w:pPr>
              <w:pStyle w:val="null3"/>
              <w:ind w:firstLine="400"/>
              <w:jc w:val="both"/>
            </w:pPr>
            <w:r>
              <w:rPr>
                <w:sz w:val="20"/>
              </w:rPr>
              <w:t>1.5</w:t>
            </w:r>
            <w:r>
              <w:rPr>
                <w:sz w:val="20"/>
              </w:rPr>
              <w:t>数据供应链路可视化功能模块</w:t>
            </w:r>
          </w:p>
          <w:p>
            <w:pPr>
              <w:pStyle w:val="null3"/>
              <w:ind w:firstLine="400"/>
              <w:jc w:val="both"/>
            </w:pPr>
            <w:r>
              <w:rPr>
                <w:sz w:val="20"/>
              </w:rPr>
              <w:t>开发数据供应链路可视化模块，展示数据从来源到使用的全流程。主要功能包括数据源信息、任务配置信息、数据供应链路可视化监管信息、数据血缘关系图谱信息、数据流转日志记录信息。记录数据流转全过程，生成可追溯的日志文件。并提供日志查询和分析功能。</w:t>
            </w:r>
          </w:p>
          <w:p>
            <w:pPr>
              <w:pStyle w:val="null3"/>
              <w:ind w:firstLine="400"/>
              <w:jc w:val="both"/>
            </w:pPr>
            <w:r>
              <w:rPr>
                <w:sz w:val="20"/>
              </w:rPr>
              <w:t>1.6</w:t>
            </w:r>
            <w:r>
              <w:rPr>
                <w:sz w:val="20"/>
              </w:rPr>
              <w:t>系统反馈机制功能模块</w:t>
            </w:r>
          </w:p>
          <w:p>
            <w:pPr>
              <w:pStyle w:val="null3"/>
              <w:ind w:firstLine="400"/>
              <w:jc w:val="both"/>
            </w:pPr>
            <w:r>
              <w:rPr>
                <w:sz w:val="20"/>
              </w:rPr>
              <w:t>系统提供用户使用意见采集功能，针对收集的用户使用意见，进行跟踪反馈和处理，主要功能模块包括系统使用意见信息、反馈跟踪信息。</w:t>
            </w:r>
          </w:p>
          <w:p>
            <w:pPr>
              <w:pStyle w:val="null3"/>
              <w:ind w:firstLine="400"/>
              <w:jc w:val="both"/>
            </w:pPr>
            <w:r>
              <w:rPr>
                <w:sz w:val="20"/>
              </w:rPr>
              <w:t>1.7</w:t>
            </w:r>
            <w:r>
              <w:rPr>
                <w:sz w:val="20"/>
              </w:rPr>
              <w:t>值班要情应用功能模块</w:t>
            </w:r>
          </w:p>
          <w:p>
            <w:pPr>
              <w:pStyle w:val="null3"/>
              <w:ind w:firstLine="400"/>
              <w:jc w:val="both"/>
            </w:pPr>
            <w:r>
              <w:rPr>
                <w:sz w:val="20"/>
              </w:rPr>
              <w:t>对值班要情应用模块进行全面升级改造，使系统在功能、性能、易用性、实用性上有大幅度的提高，满足新的业务需求，需按照国产技术路线，采用国产数据库、中间件等实现相关功能。功能模块主要包括：统一身份认证、待办事宜、要情管理、刊物管理、会议报名、领导批阅端、重点跟办、资料管理、查询统计、互动交流、移动警务应用、日志管理、系统管理、外部系统支撑（对接省厅统一消息服务进行短信发送）、与省厅情指要情对接（对接省厅情指要情系统接口，通过调用对方接口完成与省厅要情系统相关信息交互）、与交管指挥系统对接（为交管指挥系统提供接口，对方通过调用本系统提供的接口完成与交管指挥系统的相关信息交互）、其他辅助功能等。</w:t>
            </w:r>
          </w:p>
          <w:p>
            <w:pPr>
              <w:pStyle w:val="null3"/>
              <w:ind w:firstLine="400"/>
              <w:jc w:val="both"/>
            </w:pPr>
            <w:r>
              <w:rPr>
                <w:sz w:val="20"/>
              </w:rPr>
              <w:t xml:space="preserve">2. </w:t>
            </w:r>
            <w:r>
              <w:rPr>
                <w:sz w:val="20"/>
              </w:rPr>
              <w:t>定制软件升级服务要求</w:t>
            </w:r>
          </w:p>
          <w:p>
            <w:pPr>
              <w:pStyle w:val="null3"/>
              <w:ind w:firstLine="400"/>
              <w:jc w:val="both"/>
            </w:pPr>
            <w:r>
              <w:rPr>
                <w:sz w:val="20"/>
              </w:rPr>
              <w:t>按照国产技术路线对广东省公安厅交通指挥系统开展全面升级并适配迁移至省厅国产化云环境，覆盖缓行监测、交通警情管理、信息采编、勤务巡查、</w:t>
            </w:r>
            <w:r>
              <w:rPr>
                <w:sz w:val="20"/>
              </w:rPr>
              <w:t>交通视频</w:t>
            </w:r>
            <w:r>
              <w:rPr>
                <w:sz w:val="20"/>
              </w:rPr>
              <w:t>等核心模块。原系统为</w:t>
            </w:r>
            <w:r>
              <w:rPr>
                <w:sz w:val="20"/>
              </w:rPr>
              <w:t>B/S</w:t>
            </w:r>
            <w:r>
              <w:rPr>
                <w:sz w:val="20"/>
              </w:rPr>
              <w:t>架构，</w:t>
            </w:r>
            <w:r>
              <w:rPr>
                <w:sz w:val="20"/>
              </w:rPr>
              <w:t>升级改造后全面迁移至省厅国产云环境。</w:t>
            </w:r>
            <w:r>
              <w:rPr>
                <w:sz w:val="20"/>
              </w:rPr>
              <w:t>改造内容包括</w:t>
            </w:r>
            <w:r>
              <w:rPr>
                <w:sz w:val="20"/>
              </w:rPr>
              <w:t>使用</w:t>
            </w:r>
            <w:r>
              <w:rPr>
                <w:sz w:val="20"/>
              </w:rPr>
              <w:t>国产数据库</w:t>
            </w:r>
            <w:r>
              <w:rPr>
                <w:sz w:val="20"/>
              </w:rPr>
              <w:t>对原有数据库进行编译</w:t>
            </w:r>
            <w:r>
              <w:rPr>
                <w:sz w:val="20"/>
              </w:rPr>
              <w:t>，并完成数据安全迁移；使用国产中间件；对系统功能模块进行服务与应用适配；同时完成前端页面在国产操作系统和浏览器环境下的兼容性改造。通过本次改造，全面提升系统的自主可控性、安全性与可持续运行能力。</w:t>
            </w:r>
          </w:p>
          <w:p>
            <w:pPr>
              <w:pStyle w:val="null3"/>
              <w:ind w:firstLine="400"/>
              <w:jc w:val="both"/>
            </w:pPr>
            <w:r>
              <w:rPr>
                <w:sz w:val="20"/>
              </w:rPr>
              <w:t>具体适配改造要求包括：</w:t>
            </w:r>
          </w:p>
          <w:p>
            <w:pPr>
              <w:pStyle w:val="null3"/>
              <w:ind w:firstLine="400"/>
              <w:jc w:val="both"/>
            </w:pPr>
            <w:r>
              <w:rPr>
                <w:sz w:val="20"/>
              </w:rPr>
              <w:t>（</w:t>
            </w:r>
            <w:r>
              <w:rPr>
                <w:sz w:val="20"/>
              </w:rPr>
              <w:t>1</w:t>
            </w:r>
            <w:r>
              <w:rPr>
                <w:sz w:val="20"/>
              </w:rPr>
              <w:t>）数据库适配改造：包括数据库接口适配、数据类型与格式适配、</w:t>
            </w:r>
            <w:r>
              <w:rPr>
                <w:sz w:val="20"/>
              </w:rPr>
              <w:t>SQL</w:t>
            </w:r>
            <w:r>
              <w:rPr>
                <w:sz w:val="20"/>
              </w:rPr>
              <w:t>语句适配、安全性适配、性能优化、功能特性适配；</w:t>
            </w:r>
          </w:p>
          <w:p>
            <w:pPr>
              <w:pStyle w:val="null3"/>
              <w:ind w:firstLine="400"/>
              <w:jc w:val="both"/>
            </w:pPr>
            <w:r>
              <w:rPr>
                <w:sz w:val="20"/>
              </w:rPr>
              <w:t>（</w:t>
            </w:r>
            <w:r>
              <w:rPr>
                <w:sz w:val="20"/>
              </w:rPr>
              <w:t>2</w:t>
            </w:r>
            <w:r>
              <w:rPr>
                <w:sz w:val="20"/>
              </w:rPr>
              <w:t>）中间件适配改造：包括接口与协议适配、功能特性适配、性能优化、安全性与稳定性适配、程序代码改造；</w:t>
            </w:r>
          </w:p>
          <w:p>
            <w:pPr>
              <w:pStyle w:val="null3"/>
              <w:ind w:firstLine="400"/>
              <w:jc w:val="both"/>
            </w:pPr>
            <w:r>
              <w:rPr>
                <w:sz w:val="20"/>
              </w:rPr>
              <w:t>（</w:t>
            </w:r>
            <w:r>
              <w:rPr>
                <w:sz w:val="20"/>
              </w:rPr>
              <w:t>3</w:t>
            </w:r>
            <w:r>
              <w:rPr>
                <w:sz w:val="20"/>
              </w:rPr>
              <w:t>）操作系统适配：包括接口与</w:t>
            </w:r>
            <w:r>
              <w:rPr>
                <w:sz w:val="20"/>
              </w:rPr>
              <w:t>API</w:t>
            </w:r>
            <w:r>
              <w:rPr>
                <w:sz w:val="20"/>
              </w:rPr>
              <w:t>适配、系统调用与资源管理适配、安全性与权限管理适配、兼容性与稳定性测试、用户体验与界面适配；</w:t>
            </w:r>
          </w:p>
          <w:p>
            <w:pPr>
              <w:pStyle w:val="null3"/>
              <w:ind w:firstLine="400"/>
              <w:jc w:val="both"/>
            </w:pPr>
            <w:r>
              <w:rPr>
                <w:sz w:val="20"/>
              </w:rPr>
              <w:t>（</w:t>
            </w:r>
            <w:r>
              <w:rPr>
                <w:sz w:val="20"/>
              </w:rPr>
              <w:t>4</w:t>
            </w:r>
            <w:r>
              <w:rPr>
                <w:sz w:val="20"/>
              </w:rPr>
              <w:t>）浏览器适配：包括浏览器兼容性处理、</w:t>
            </w:r>
            <w:r>
              <w:rPr>
                <w:sz w:val="20"/>
              </w:rPr>
              <w:t>API</w:t>
            </w:r>
            <w:r>
              <w:rPr>
                <w:sz w:val="20"/>
              </w:rPr>
              <w:t>与特性适配、页面布局与渲染适配、性能优化、安全性与隐私保护、用户体验与交互适配；</w:t>
            </w:r>
          </w:p>
          <w:p>
            <w:pPr>
              <w:pStyle w:val="null3"/>
              <w:ind w:firstLine="400"/>
              <w:jc w:val="both"/>
            </w:pPr>
            <w:r>
              <w:rPr>
                <w:sz w:val="20"/>
              </w:rPr>
              <w:t>（</w:t>
            </w:r>
            <w:r>
              <w:rPr>
                <w:sz w:val="20"/>
              </w:rPr>
              <w:t>5</w:t>
            </w:r>
            <w:r>
              <w:rPr>
                <w:sz w:val="20"/>
              </w:rPr>
              <w:t>）数据迁移适配：包括数据格式与标准的转换、数据完整性与准确性的保障、性能测试与优化；</w:t>
            </w:r>
          </w:p>
          <w:p>
            <w:pPr>
              <w:pStyle w:val="null3"/>
              <w:ind w:firstLine="400"/>
              <w:jc w:val="both"/>
            </w:pPr>
            <w:r>
              <w:rPr>
                <w:sz w:val="20"/>
              </w:rPr>
              <w:t>（</w:t>
            </w:r>
            <w:r>
              <w:rPr>
                <w:sz w:val="20"/>
              </w:rPr>
              <w:t>6</w:t>
            </w:r>
            <w:r>
              <w:rPr>
                <w:sz w:val="20"/>
              </w:rPr>
              <w:t>）系统切换与上线：包括系统切换保障、系统切换执行、旧系统下线。</w:t>
            </w:r>
          </w:p>
          <w:p>
            <w:pPr>
              <w:pStyle w:val="null3"/>
              <w:ind w:firstLine="400"/>
              <w:jc w:val="both"/>
            </w:pPr>
            <w:r>
              <w:rPr>
                <w:sz w:val="20"/>
              </w:rPr>
              <w:t xml:space="preserve">3. </w:t>
            </w:r>
            <w:r>
              <w:rPr>
                <w:sz w:val="20"/>
              </w:rPr>
              <w:t>系统非功能性要求</w:t>
            </w:r>
          </w:p>
          <w:p>
            <w:pPr>
              <w:pStyle w:val="null3"/>
              <w:ind w:firstLine="400"/>
              <w:jc w:val="both"/>
            </w:pPr>
            <w:r>
              <w:rPr>
                <w:sz w:val="20"/>
              </w:rPr>
              <w:t>（</w:t>
            </w:r>
            <w:r>
              <w:rPr>
                <w:sz w:val="20"/>
              </w:rPr>
              <w:t>1</w:t>
            </w:r>
            <w:r>
              <w:rPr>
                <w:sz w:val="20"/>
              </w:rPr>
              <w:t>）稳定性指标</w:t>
            </w:r>
          </w:p>
          <w:p>
            <w:pPr>
              <w:pStyle w:val="null3"/>
              <w:ind w:firstLine="400"/>
              <w:jc w:val="both"/>
            </w:pPr>
            <w:r>
              <w:rPr>
                <w:sz w:val="20"/>
              </w:rPr>
              <w:t>系统有效工作时间：</w:t>
            </w:r>
            <w:r>
              <w:rPr>
                <w:sz w:val="20"/>
              </w:rPr>
              <w:t>≥</w:t>
            </w:r>
            <w:r>
              <w:rPr>
                <w:sz w:val="20"/>
              </w:rPr>
              <w:t>99%</w:t>
            </w:r>
            <w:r>
              <w:rPr>
                <w:sz w:val="20"/>
              </w:rPr>
              <w:t>；</w:t>
            </w:r>
          </w:p>
          <w:p>
            <w:pPr>
              <w:pStyle w:val="null3"/>
              <w:ind w:firstLine="400"/>
              <w:jc w:val="both"/>
            </w:pPr>
            <w:r>
              <w:rPr>
                <w:sz w:val="20"/>
              </w:rPr>
              <w:t>系统故障平均间隔时间：</w:t>
            </w:r>
            <w:r>
              <w:rPr>
                <w:sz w:val="20"/>
              </w:rPr>
              <w:t>≥</w:t>
            </w:r>
            <w:r>
              <w:rPr>
                <w:sz w:val="20"/>
              </w:rPr>
              <w:t>60</w:t>
            </w:r>
            <w:r>
              <w:rPr>
                <w:sz w:val="20"/>
              </w:rPr>
              <w:t>天；</w:t>
            </w:r>
          </w:p>
          <w:p>
            <w:pPr>
              <w:pStyle w:val="null3"/>
              <w:ind w:firstLine="400"/>
              <w:jc w:val="both"/>
            </w:pPr>
            <w:r>
              <w:rPr>
                <w:sz w:val="20"/>
              </w:rPr>
              <w:t>系统一年的故障停机时间不超过</w:t>
            </w:r>
            <w:r>
              <w:rPr>
                <w:sz w:val="20"/>
              </w:rPr>
              <w:t>60</w:t>
            </w:r>
            <w:r>
              <w:rPr>
                <w:sz w:val="20"/>
              </w:rPr>
              <w:t>分钟（停电等不可预测因素除外）；</w:t>
            </w:r>
          </w:p>
          <w:p>
            <w:pPr>
              <w:pStyle w:val="null3"/>
              <w:ind w:firstLine="400"/>
              <w:jc w:val="both"/>
            </w:pPr>
            <w:r>
              <w:rPr>
                <w:sz w:val="20"/>
              </w:rPr>
              <w:t>不得出现以下情况：无故退出系统；发生系统不可控制的故障提示；因系统故障导致操作系统或机器无法正常工作。</w:t>
            </w:r>
          </w:p>
          <w:p>
            <w:pPr>
              <w:pStyle w:val="null3"/>
              <w:ind w:firstLine="400"/>
              <w:jc w:val="both"/>
            </w:pPr>
            <w:r>
              <w:rPr>
                <w:sz w:val="20"/>
              </w:rPr>
              <w:t>（</w:t>
            </w:r>
            <w:r>
              <w:rPr>
                <w:sz w:val="20"/>
              </w:rPr>
              <w:t>2</w:t>
            </w:r>
            <w:r>
              <w:rPr>
                <w:sz w:val="20"/>
              </w:rPr>
              <w:t>）并发支持指标</w:t>
            </w:r>
          </w:p>
          <w:p>
            <w:pPr>
              <w:pStyle w:val="null3"/>
              <w:ind w:firstLine="400"/>
              <w:jc w:val="both"/>
            </w:pPr>
            <w:r>
              <w:rPr>
                <w:sz w:val="20"/>
              </w:rPr>
              <w:t>接入业务并发请求峰值：</w:t>
            </w:r>
            <w:r>
              <w:rPr>
                <w:sz w:val="20"/>
              </w:rPr>
              <w:t>100</w:t>
            </w:r>
            <w:r>
              <w:rPr>
                <w:sz w:val="20"/>
              </w:rPr>
              <w:t>个</w:t>
            </w:r>
            <w:r>
              <w:rPr>
                <w:sz w:val="20"/>
              </w:rPr>
              <w:t>/</w:t>
            </w:r>
            <w:r>
              <w:rPr>
                <w:sz w:val="20"/>
              </w:rPr>
              <w:t>秒</w:t>
            </w:r>
          </w:p>
          <w:p>
            <w:pPr>
              <w:pStyle w:val="null3"/>
              <w:ind w:firstLine="400"/>
              <w:jc w:val="both"/>
            </w:pPr>
            <w:r>
              <w:rPr>
                <w:sz w:val="20"/>
              </w:rPr>
              <w:t>（</w:t>
            </w:r>
            <w:r>
              <w:rPr>
                <w:sz w:val="20"/>
              </w:rPr>
              <w:t>3</w:t>
            </w:r>
            <w:r>
              <w:rPr>
                <w:sz w:val="20"/>
              </w:rPr>
              <w:t>）响应指标</w:t>
            </w:r>
          </w:p>
          <w:p>
            <w:pPr>
              <w:pStyle w:val="null3"/>
              <w:ind w:firstLine="400"/>
              <w:jc w:val="both"/>
            </w:pPr>
            <w:r>
              <w:rPr>
                <w:sz w:val="20"/>
              </w:rPr>
              <w:t>系统涉及单表查询功能响应时间应在</w:t>
            </w:r>
            <w:r>
              <w:rPr>
                <w:sz w:val="20"/>
              </w:rPr>
              <w:t>2</w:t>
            </w:r>
            <w:r>
              <w:rPr>
                <w:sz w:val="20"/>
              </w:rPr>
              <w:t>秒之内；</w:t>
            </w:r>
          </w:p>
          <w:p>
            <w:pPr>
              <w:pStyle w:val="null3"/>
              <w:ind w:firstLine="400"/>
              <w:jc w:val="both"/>
            </w:pPr>
            <w:r>
              <w:rPr>
                <w:sz w:val="20"/>
              </w:rPr>
              <w:t>系统设计多表查询功能响应时间应在</w:t>
            </w:r>
            <w:r>
              <w:rPr>
                <w:sz w:val="20"/>
              </w:rPr>
              <w:t>5</w:t>
            </w:r>
            <w:r>
              <w:rPr>
                <w:sz w:val="20"/>
              </w:rPr>
              <w:t>秒之内；</w:t>
            </w:r>
          </w:p>
          <w:p>
            <w:pPr>
              <w:pStyle w:val="null3"/>
              <w:ind w:firstLine="400"/>
              <w:jc w:val="both"/>
            </w:pPr>
            <w:r>
              <w:rPr>
                <w:sz w:val="20"/>
              </w:rPr>
              <w:t>复杂报表、统计查询功能响应时间应在</w:t>
            </w:r>
            <w:r>
              <w:rPr>
                <w:sz w:val="20"/>
              </w:rPr>
              <w:t>8</w:t>
            </w:r>
            <w:r>
              <w:rPr>
                <w:sz w:val="20"/>
              </w:rPr>
              <w:t>秒之内；</w:t>
            </w:r>
          </w:p>
          <w:p>
            <w:pPr>
              <w:pStyle w:val="null3"/>
              <w:ind w:firstLine="400"/>
              <w:jc w:val="both"/>
            </w:pPr>
            <w:r>
              <w:rPr>
                <w:sz w:val="20"/>
              </w:rPr>
              <w:t>（</w:t>
            </w:r>
            <w:r>
              <w:rPr>
                <w:sz w:val="20"/>
              </w:rPr>
              <w:t>4</w:t>
            </w:r>
            <w:r>
              <w:rPr>
                <w:sz w:val="20"/>
              </w:rPr>
              <w:t>）易用性要求</w:t>
            </w:r>
          </w:p>
          <w:p>
            <w:pPr>
              <w:pStyle w:val="null3"/>
              <w:ind w:firstLine="400"/>
              <w:jc w:val="left"/>
            </w:pPr>
            <w:r>
              <w:rPr>
                <w:sz w:val="20"/>
              </w:rPr>
              <w:t>要求系统页面简洁直观，各项功能层次清晰、操作易用友好，系统易安装、易更新升级，</w:t>
            </w:r>
            <w:r>
              <w:rPr>
                <w:sz w:val="20"/>
              </w:rPr>
              <w:t>web</w:t>
            </w:r>
            <w:r>
              <w:rPr>
                <w:sz w:val="20"/>
              </w:rPr>
              <w:t>系统支持国产浏览器。</w:t>
            </w:r>
          </w:p>
        </w:tc>
      </w:tr>
    </w:tbl>
    <w:p>
      <w:pPr>
        <w:pStyle w:val="null3"/>
        <w:ind w:firstLine="600"/>
        <w:jc w:val="both"/>
      </w:pPr>
      <w:r>
        <w:rPr>
          <w:sz w:val="24"/>
          <w:b/>
        </w:rPr>
        <w:t>附件</w:t>
      </w:r>
      <w:r>
        <w:rPr>
          <w:sz w:val="24"/>
          <w:b/>
        </w:rPr>
        <w:t>2</w:t>
      </w:r>
      <w:r>
        <w:rPr>
          <w:sz w:val="24"/>
          <w:b/>
        </w:rPr>
        <w:t>：项目总体计划</w:t>
      </w:r>
    </w:p>
    <w:p>
      <w:pPr>
        <w:pStyle w:val="null3"/>
      </w:pPr>
      <w:r>
        <w:rPr/>
        <w:t xml:space="preserve"> </w:t>
      </w:r>
    </w:p>
    <w:p>
      <w:pPr>
        <w:pStyle w:val="null3"/>
        <w:ind w:firstLine="482"/>
        <w:jc w:val="center"/>
      </w:pPr>
      <w:r>
        <w:rPr>
          <w:sz w:val="24"/>
          <w:b/>
        </w:rPr>
        <w:t>项目总体计划（里程碑节点）</w:t>
      </w:r>
    </w:p>
    <w:p>
      <w:pPr>
        <w:pStyle w:val="null3"/>
        <w:ind w:firstLine="480"/>
        <w:jc w:val="left"/>
      </w:pPr>
      <w:r>
        <w:rPr>
          <w:sz w:val="24"/>
        </w:rPr>
        <w:t>为了科学管理和控制项目进程，根据软件工程标准化的要求，结合项目特点和实际，制定</w:t>
      </w:r>
      <w:r>
        <w:rPr>
          <w:sz w:val="24"/>
          <w:u w:val="single"/>
        </w:rPr>
        <w:t>广东省公安厅</w:t>
      </w:r>
      <w:r>
        <w:rPr>
          <w:sz w:val="24"/>
          <w:u w:val="single"/>
        </w:rPr>
        <w:t>2026-11交通指挥系统升级改造（2026）项目</w:t>
      </w:r>
      <w:r>
        <w:rPr>
          <w:sz w:val="24"/>
        </w:rPr>
        <w:t>总体实施计划，详细计划在合同签订后正式提交。在保证总工期不变的情况下，实施中可进行局部调整，总体安排要求如下：</w:t>
      </w:r>
    </w:p>
    <w:p>
      <w:pPr>
        <w:pStyle w:val="null3"/>
        <w:ind w:firstLine="480"/>
        <w:jc w:val="left"/>
      </w:pPr>
      <w:r>
        <w:rPr>
          <w:sz w:val="24"/>
        </w:rPr>
        <w:t>本项目软件开发服务建设期为</w:t>
      </w:r>
      <w:r>
        <w:rPr>
          <w:sz w:val="24"/>
        </w:rPr>
        <w:t>12个月。2个月内（合同签订后）完成需求调研与系统详细设计，9个月内完成软件开发、部署，完成初验并投入试运行，12个月内完成项目终验。</w:t>
      </w:r>
    </w:p>
    <w:p>
      <w:pPr>
        <w:pStyle w:val="null3"/>
        <w:ind w:firstLine="480"/>
        <w:jc w:val="left"/>
      </w:pPr>
      <w:r>
        <w:rPr>
          <w:sz w:val="24"/>
        </w:rPr>
        <w:t>软件开发系统维保期为自项目终验合格之日起</w:t>
      </w:r>
      <w:r>
        <w:rPr>
          <w:sz w:val="24"/>
        </w:rPr>
        <w:t>1年，承建方为所提供的软件系统提供免费升级和维护服务，维保期内需保障系统正常运行。</w:t>
      </w:r>
    </w:p>
    <w:p>
      <w:pPr>
        <w:pStyle w:val="null3"/>
        <w:ind w:firstLine="482"/>
        <w:jc w:val="center"/>
      </w:pPr>
      <w:r>
        <w:rPr>
          <w:sz w:val="24"/>
          <w:b/>
        </w:rPr>
        <w:t>项目实施周期列表（</w:t>
      </w:r>
      <w:r>
        <w:rPr>
          <w:sz w:val="24"/>
          <w:b/>
        </w:rPr>
        <w:t>T：合同签订之日）</w:t>
      </w:r>
    </w:p>
    <w:tbl>
      <w:tblPr>
        <w:tblW w:w="0" w:type="auto"/>
        <w:tblBorders>
          <w:top w:val="none" w:color="000000" w:sz="4"/>
          <w:left w:val="none" w:color="000000" w:sz="4"/>
          <w:bottom w:val="none" w:color="000000" w:sz="4"/>
          <w:right w:val="none" w:color="000000" w:sz="4"/>
          <w:insideH w:val="none"/>
          <w:insideV w:val="none"/>
        </w:tblBorders>
      </w:tblPr>
      <w:tblGrid>
        <w:gridCol w:w="766"/>
        <w:gridCol w:w="2159"/>
        <w:gridCol w:w="2268"/>
        <w:gridCol w:w="3113"/>
      </w:tblGrid>
      <w:tr>
        <w:tc>
          <w:tcPr>
            <w:tcW w:type="dxa" w:w="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序号</w:t>
            </w:r>
          </w:p>
        </w:tc>
        <w:tc>
          <w:tcPr>
            <w:tcW w:type="dxa" w:w="2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服务周期（月）</w:t>
            </w:r>
          </w:p>
        </w:tc>
        <w:tc>
          <w:tcPr>
            <w:tcW w:type="dxa" w:w="2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服务类型</w:t>
            </w:r>
          </w:p>
        </w:tc>
        <w:tc>
          <w:tcPr>
            <w:tcW w:type="dxa" w:w="3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服务内容</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T+0  – T+2</w:t>
            </w:r>
          </w:p>
        </w:tc>
        <w:tc>
          <w:tcPr>
            <w:tcW w:type="dxa" w:w="22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软件开发服务</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需求调研、方案设计</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2</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T+2  – T+9</w:t>
            </w:r>
          </w:p>
        </w:tc>
        <w:tc>
          <w:tcPr>
            <w:tcW w:type="dxa" w:w="2268"/>
            <w:vMerge/>
            <w:tcBorders>
              <w:top w:val="none" w:color="000000" w:sz="4"/>
              <w:left w:val="single" w:color="000000" w:sz="4"/>
              <w:bottom w:val="single" w:color="000000" w:sz="4"/>
              <w:right w:val="single" w:color="000000" w:sz="4"/>
            </w:tcBorders>
          </w:tcP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系统开发、部署、初验</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3</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T+9  – T+12</w:t>
            </w:r>
          </w:p>
        </w:tc>
        <w:tc>
          <w:tcPr>
            <w:tcW w:type="dxa" w:w="2268"/>
            <w:vMerge/>
            <w:tcBorders>
              <w:top w:val="none" w:color="000000" w:sz="4"/>
              <w:left w:val="single" w:color="000000" w:sz="4"/>
              <w:bottom w:val="single" w:color="000000" w:sz="4"/>
              <w:right w:val="single" w:color="000000" w:sz="4"/>
            </w:tcBorders>
          </w:tcP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系统试运行</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4</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T+12 – T+12</w:t>
            </w:r>
          </w:p>
        </w:tc>
        <w:tc>
          <w:tcPr>
            <w:tcW w:type="dxa" w:w="2268"/>
            <w:vMerge/>
            <w:tcBorders>
              <w:top w:val="none" w:color="000000" w:sz="4"/>
              <w:left w:val="single" w:color="000000" w:sz="4"/>
              <w:bottom w:val="single" w:color="000000" w:sz="4"/>
              <w:right w:val="single" w:color="000000" w:sz="4"/>
            </w:tcBorders>
          </w:tcP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项目验收</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5</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T+12 – T+24</w:t>
            </w:r>
          </w:p>
        </w:tc>
        <w:tc>
          <w:tcPr>
            <w:tcW w:type="dxa" w:w="2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项目运维期</w:t>
            </w:r>
          </w:p>
        </w:tc>
        <w:tc>
          <w:tcPr>
            <w:tcW w:type="dxa" w:w="3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进行</w:t>
            </w:r>
            <w:r>
              <w:rPr>
                <w:sz w:val="24"/>
              </w:rPr>
              <w:t>1年免费运维</w:t>
            </w:r>
          </w:p>
        </w:tc>
      </w:tr>
    </w:tbl>
    <w:p>
      <w:pPr>
        <w:pStyle w:val="null3"/>
        <w:ind w:firstLine="600"/>
        <w:jc w:val="both"/>
      </w:pPr>
      <w:r>
        <w:rPr>
          <w:sz w:val="24"/>
          <w:b/>
        </w:rPr>
        <w:t>附件</w:t>
      </w:r>
      <w:r>
        <w:rPr>
          <w:sz w:val="24"/>
          <w:b/>
        </w:rPr>
        <w:t>3</w:t>
      </w:r>
      <w:r>
        <w:rPr>
          <w:sz w:val="24"/>
          <w:b/>
        </w:rPr>
        <w:t>：项目技术文档</w:t>
      </w:r>
    </w:p>
    <w:p>
      <w:pPr>
        <w:pStyle w:val="null3"/>
      </w:pPr>
      <w:r>
        <w:rPr/>
        <w:t xml:space="preserve"> </w:t>
      </w:r>
    </w:p>
    <w:p>
      <w:pPr>
        <w:pStyle w:val="null3"/>
        <w:ind w:firstLine="482"/>
        <w:jc w:val="center"/>
      </w:pPr>
      <w:r>
        <w:rPr>
          <w:sz w:val="24"/>
          <w:b/>
        </w:rPr>
        <w:t>项目技术文档</w:t>
      </w:r>
    </w:p>
    <w:tbl>
      <w:tblPr>
        <w:tblW w:w="0" w:type="auto"/>
        <w:tblBorders>
          <w:top w:val="none" w:color="000000" w:sz="4"/>
          <w:left w:val="none" w:color="000000" w:sz="4"/>
          <w:bottom w:val="none" w:color="000000" w:sz="4"/>
          <w:right w:val="none" w:color="000000" w:sz="4"/>
          <w:insideH w:val="none"/>
          <w:insideV w:val="none"/>
        </w:tblBorders>
      </w:tblPr>
      <w:tblGrid>
        <w:gridCol w:w="1116"/>
        <w:gridCol w:w="708"/>
        <w:gridCol w:w="2276"/>
        <w:gridCol w:w="4206"/>
      </w:tblGrid>
      <w:tr>
        <w:tc>
          <w:tcPr>
            <w:tcW w:type="dxa" w:w="1116"/>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0"/>
                <w:b/>
              </w:rPr>
              <w:t>类别</w:t>
            </w:r>
          </w:p>
        </w:tc>
        <w:tc>
          <w:tcPr>
            <w:tcW w:type="dxa" w:w="70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0"/>
                <w:b/>
              </w:rPr>
              <w:t>序号</w:t>
            </w:r>
          </w:p>
        </w:tc>
        <w:tc>
          <w:tcPr>
            <w:tcW w:type="dxa" w:w="2276"/>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0"/>
                <w:b/>
              </w:rPr>
              <w:t>文档名称</w:t>
            </w:r>
          </w:p>
        </w:tc>
        <w:tc>
          <w:tcPr>
            <w:tcW w:type="dxa" w:w="4206"/>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0"/>
                <w:b/>
              </w:rPr>
              <w:t>内容要求</w:t>
            </w:r>
          </w:p>
        </w:tc>
      </w:tr>
      <w:tr>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需求文档</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需求规格说明书</w:t>
            </w:r>
          </w:p>
        </w:tc>
        <w:tc>
          <w:tcPr>
            <w:tcW w:type="dxa" w:w="4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按照行业标准规范</w:t>
            </w:r>
          </w:p>
        </w:tc>
      </w:tr>
      <w:tr>
        <w:tc>
          <w:tcPr>
            <w:tcW w:type="dxa" w:w="11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项目设计文档</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概要设计说明书</w:t>
            </w:r>
          </w:p>
        </w:tc>
        <w:tc>
          <w:tcPr>
            <w:tcW w:type="dxa" w:w="4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按照行业标准规范</w:t>
            </w:r>
          </w:p>
        </w:tc>
      </w:tr>
      <w:tr>
        <w:tc>
          <w:tcPr>
            <w:tcW w:type="dxa" w:w="1116"/>
            <w:vMerge/>
            <w:tcBorders>
              <w:top w:val="none" w:color="000000" w:sz="4"/>
              <w:left w:val="single" w:color="000000" w:sz="4"/>
              <w:bottom w:val="single" w:color="000000" w:sz="4"/>
              <w:right w:val="single" w:color="000000" w:sz="4"/>
            </w:tcBorders>
          </w:tc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详细设计说明书</w:t>
            </w:r>
          </w:p>
        </w:tc>
        <w:tc>
          <w:tcPr>
            <w:tcW w:type="dxa" w:w="4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按照行业标准规范</w:t>
            </w:r>
          </w:p>
        </w:tc>
      </w:tr>
      <w:tr>
        <w:tc>
          <w:tcPr>
            <w:tcW w:type="dxa" w:w="1116"/>
            <w:vMerge/>
            <w:tcBorders>
              <w:top w:val="none" w:color="000000" w:sz="4"/>
              <w:left w:val="single" w:color="000000" w:sz="4"/>
              <w:bottom w:val="single" w:color="000000" w:sz="4"/>
              <w:right w:val="single" w:color="000000" w:sz="4"/>
            </w:tcBorders>
          </w:tc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数据库设计说明书</w:t>
            </w:r>
          </w:p>
        </w:tc>
        <w:tc>
          <w:tcPr>
            <w:tcW w:type="dxa" w:w="4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按照行业标准规范</w:t>
            </w:r>
          </w:p>
        </w:tc>
      </w:tr>
      <w:tr>
        <w:tc>
          <w:tcPr>
            <w:tcW w:type="dxa" w:w="11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项目测试文件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测试方案</w:t>
            </w:r>
          </w:p>
        </w:tc>
        <w:tc>
          <w:tcPr>
            <w:tcW w:type="dxa" w:w="4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包括测试的时间、地点、参加人员，测试的方法、测试工具，测试内容等</w:t>
            </w:r>
          </w:p>
        </w:tc>
      </w:tr>
      <w:tr>
        <w:tc>
          <w:tcPr>
            <w:tcW w:type="dxa" w:w="1116"/>
            <w:vMerge/>
            <w:tcBorders>
              <w:top w:val="none" w:color="000000" w:sz="4"/>
              <w:left w:val="single" w:color="000000" w:sz="4"/>
              <w:bottom w:val="single" w:color="000000" w:sz="4"/>
              <w:right w:val="single" w:color="000000" w:sz="4"/>
            </w:tcBorders>
          </w:tc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测试记录</w:t>
            </w:r>
          </w:p>
        </w:tc>
        <w:tc>
          <w:tcPr>
            <w:tcW w:type="dxa" w:w="4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按照行业标准规范</w:t>
            </w:r>
          </w:p>
        </w:tc>
      </w:tr>
      <w:tr>
        <w:tc>
          <w:tcPr>
            <w:tcW w:type="dxa" w:w="1116"/>
            <w:vMerge/>
            <w:tcBorders>
              <w:top w:val="none" w:color="000000" w:sz="4"/>
              <w:left w:val="single" w:color="000000" w:sz="4"/>
              <w:bottom w:val="single" w:color="000000" w:sz="4"/>
              <w:right w:val="single" w:color="000000" w:sz="4"/>
            </w:tcBorders>
          </w:tc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项目测试报告</w:t>
            </w:r>
          </w:p>
        </w:tc>
        <w:tc>
          <w:tcPr>
            <w:tcW w:type="dxa" w:w="4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按照国家有关技术标准和本验收规范要求的相关内容，对信息化项目进行检测并</w:t>
            </w:r>
            <w:r>
              <w:rPr>
                <w:sz w:val="20"/>
              </w:rPr>
              <w:t>编制</w:t>
            </w:r>
            <w:r>
              <w:rPr>
                <w:sz w:val="20"/>
              </w:rPr>
              <w:t>报告</w:t>
            </w:r>
          </w:p>
        </w:tc>
      </w:tr>
      <w:tr>
        <w:tc>
          <w:tcPr>
            <w:tcW w:type="dxa" w:w="11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项目培训文件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培训方案、计划</w:t>
            </w:r>
          </w:p>
        </w:tc>
        <w:tc>
          <w:tcPr>
            <w:tcW w:type="dxa" w:w="4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r>
      <w:tr>
        <w:tc>
          <w:tcPr>
            <w:tcW w:type="dxa" w:w="1116"/>
            <w:vMerge/>
            <w:tcBorders>
              <w:top w:val="none" w:color="000000" w:sz="4"/>
              <w:left w:val="single" w:color="000000" w:sz="4"/>
              <w:bottom w:val="single" w:color="000000" w:sz="4"/>
              <w:right w:val="single" w:color="000000" w:sz="4"/>
            </w:tcBorders>
          </w:tc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培训教材</w:t>
            </w:r>
          </w:p>
        </w:tc>
        <w:tc>
          <w:tcPr>
            <w:tcW w:type="dxa" w:w="4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w:t>
            </w:r>
          </w:p>
        </w:tc>
      </w:tr>
      <w:tr>
        <w:tc>
          <w:tcPr>
            <w:tcW w:type="dxa" w:w="1116"/>
            <w:vMerge/>
            <w:tcBorders>
              <w:top w:val="none" w:color="000000" w:sz="4"/>
              <w:left w:val="single" w:color="000000" w:sz="4"/>
              <w:bottom w:val="single" w:color="000000" w:sz="4"/>
              <w:right w:val="single" w:color="000000" w:sz="4"/>
            </w:tcBorders>
          </w:tc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用户手册</w:t>
            </w:r>
          </w:p>
        </w:tc>
        <w:tc>
          <w:tcPr>
            <w:tcW w:type="dxa" w:w="4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对系统软件及应用软件的使用方法、步骤，系统设置等作出详细说明</w:t>
            </w:r>
          </w:p>
        </w:tc>
      </w:tr>
      <w:tr>
        <w:tc>
          <w:tcPr>
            <w:tcW w:type="dxa" w:w="11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项目维护文件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售后服务保证文件</w:t>
            </w:r>
            <w:r>
              <w:rPr>
                <w:sz w:val="20"/>
              </w:rPr>
              <w:t>（</w:t>
            </w:r>
            <w:r>
              <w:rPr>
                <w:sz w:val="20"/>
              </w:rPr>
              <w:t>维护服务条款及承诺</w:t>
            </w:r>
            <w:r>
              <w:rPr>
                <w:sz w:val="20"/>
              </w:rPr>
              <w:t>）</w:t>
            </w:r>
          </w:p>
        </w:tc>
        <w:tc>
          <w:tcPr>
            <w:tcW w:type="dxa" w:w="4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根据招标文件及合同规定，并结合项目的实际情况制定</w:t>
            </w:r>
          </w:p>
        </w:tc>
      </w:tr>
      <w:tr>
        <w:tc>
          <w:tcPr>
            <w:tcW w:type="dxa" w:w="1116"/>
            <w:vMerge/>
            <w:tcBorders>
              <w:top w:val="none" w:color="000000" w:sz="4"/>
              <w:left w:val="single" w:color="000000" w:sz="4"/>
              <w:bottom w:val="single" w:color="000000" w:sz="4"/>
              <w:right w:val="single" w:color="000000" w:sz="4"/>
            </w:tcBorders>
          </w:tc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维护手册</w:t>
            </w:r>
          </w:p>
        </w:tc>
        <w:tc>
          <w:tcPr>
            <w:tcW w:type="dxa" w:w="4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不限于系统配置表、系统结构图、维护管理、故障解决等</w:t>
            </w:r>
          </w:p>
        </w:tc>
      </w:tr>
    </w:tbl>
    <w:p>
      <w:pPr>
        <w:pStyle w:val="null3"/>
        <w:ind w:firstLine="600"/>
        <w:jc w:val="center"/>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440001-2026-21755</w:t>
      </w:r>
    </w:p>
    <w:p>
      <w:pPr>
        <w:pStyle w:val="null3"/>
        <w:jc w:val="center"/>
        <w:outlineLvl w:val="3"/>
      </w:pPr>
      <w:r>
        <w:rPr>
          <w:sz w:val="24"/>
          <w:b/>
        </w:rPr>
        <w:t>采购项目编号：</w:t>
      </w:r>
      <w:r>
        <w:rPr>
          <w:sz w:val="24"/>
          <w:b/>
        </w:rPr>
        <w:t>0877-26GZTP3ZC0371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广东省公安厅2026-11交通指挥系统升级改造（2026年）项目</w:t>
      </w:r>
      <w:r>
        <w:rPr>
          <w:u w:val="single"/>
        </w:rPr>
        <w:t>”</w:t>
      </w:r>
      <w:r>
        <w:rPr/>
        <w:t>项目的招标[采购项目编号为：</w:t>
      </w:r>
      <w:r>
        <w:rPr>
          <w:u w:val="single"/>
        </w:rPr>
        <w:t>0877-26GZTP3ZC0371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广东省公安厅2026-11交通指挥系统升级改造（2026年）项目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广东省公安厅2026-11交通指挥系统升级改造（2026年）项目</w:t>
      </w:r>
      <w:r>
        <w:rPr/>
        <w:t>”项目采购[采购项目编号为</w:t>
      </w:r>
      <w:r>
        <w:rPr/>
        <w:t>0877-26GZTP3ZC0371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广东省公安厅</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广东省公安厅2026-11交通指挥系统升级改造（2026年）项目</w:t>
      </w:r>
      <w:r>
        <w:rPr/>
        <w:t>招标中获中标（采购项目编号：</w:t>
      </w:r>
      <w:r>
        <w:rPr/>
        <w:t>0877-26GZTP3ZC0371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广东省公安厅2026-11交通指挥系统升级改造（2026年）项目</w:t>
      </w:r>
      <w:r>
        <w:rPr/>
        <w:t>”项目（采购项目编号：</w:t>
      </w:r>
      <w:r>
        <w:rPr/>
        <w:t>0877-26GZTP3ZC0371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