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440001-2026-22290</w:t>
      </w:r>
    </w:p>
    <w:p>
      <w:pPr>
        <w:pStyle w:val="null3"/>
        <w:jc w:val="center"/>
        <w:outlineLvl w:val="3"/>
      </w:pPr>
      <w:r>
        <w:rPr>
          <w:sz w:val="24"/>
          <w:b/>
        </w:rPr>
        <w:t>采购项目编号：</w:t>
      </w:r>
      <w:r>
        <w:rPr>
          <w:sz w:val="24"/>
          <w:b/>
        </w:rPr>
        <w:t>0877-26GZTP5ZC0348</w:t>
      </w:r>
    </w:p>
    <w:p>
      <w:pPr>
        <w:pStyle w:val="null3"/>
        <w:jc w:val="center"/>
        <w:outlineLvl w:val="3"/>
      </w:pPr>
      <w:r>
        <w:rPr>
          <w:sz w:val="24"/>
          <w:b/>
        </w:rPr>
        <w:t>项目名称：</w:t>
      </w:r>
      <w:r>
        <w:rPr>
          <w:sz w:val="24"/>
          <w:b/>
        </w:rPr>
        <w:t>广东高院新媒体运维服务项目</w:t>
      </w:r>
    </w:p>
    <w:p>
      <w:pPr>
        <w:pStyle w:val="null3"/>
        <w:jc w:val="center"/>
        <w:outlineLvl w:val="3"/>
      </w:pPr>
      <w:r>
        <w:rPr>
          <w:sz w:val="24"/>
          <w:b/>
        </w:rPr>
        <w:t>采购人：</w:t>
      </w:r>
      <w:r>
        <w:rPr>
          <w:sz w:val="24"/>
          <w:b/>
        </w:rPr>
        <w:t>广东省高级人民法院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广东省高级人民法院</w:t>
      </w:r>
      <w:r>
        <w:rPr/>
        <w:t>的委托，采用</w:t>
      </w:r>
      <w:r>
        <w:rPr/>
        <w:t>公开招标</w:t>
      </w:r>
      <w:r>
        <w:rPr/>
        <w:t>方式组织采购</w:t>
      </w:r>
      <w:r>
        <w:rPr/>
        <w:t>广东高院新媒体运维服务项目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广东高院新媒体运维服务项目</w:t>
      </w:r>
    </w:p>
    <w:p>
      <w:pPr>
        <w:pStyle w:val="null3"/>
        <w:ind w:firstLine="480"/>
      </w:pPr>
      <w:r>
        <w:rPr/>
        <w:t>采购计划编号：</w:t>
      </w:r>
      <w:r>
        <w:rPr/>
        <w:t>440001-2026-22290</w:t>
      </w:r>
    </w:p>
    <w:p>
      <w:pPr>
        <w:pStyle w:val="null3"/>
        <w:ind w:firstLine="480"/>
      </w:pPr>
      <w:r>
        <w:rPr/>
        <w:t>采购项目编号：</w:t>
      </w:r>
      <w:r>
        <w:rPr/>
        <w:t>0877-26GZTP5ZC0348</w:t>
      </w:r>
    </w:p>
    <w:p>
      <w:pPr>
        <w:pStyle w:val="null3"/>
        <w:ind w:firstLine="480"/>
      </w:pPr>
      <w:r>
        <w:rPr/>
        <w:t>采购方式：</w:t>
      </w:r>
      <w:r>
        <w:rPr/>
        <w:t>公开招标</w:t>
      </w:r>
    </w:p>
    <w:p>
      <w:pPr>
        <w:pStyle w:val="null3"/>
        <w:ind w:firstLine="480"/>
      </w:pPr>
      <w:r>
        <w:rPr/>
        <w:t>预算金额：</w:t>
      </w:r>
      <w:r>
        <w:rPr/>
        <w:t>1,270,000.00</w:t>
      </w:r>
      <w:r>
        <w:rPr/>
        <w:t>元</w:t>
      </w:r>
    </w:p>
    <w:p>
      <w:pPr>
        <w:pStyle w:val="null3"/>
        <w:outlineLvl w:val="3"/>
      </w:pPr>
      <w:r>
        <w:rPr>
          <w:sz w:val="24"/>
          <w:b/>
        </w:rPr>
        <w:t>2.项目内容及需求情况（采购项目技术规格、参数及要求）</w:t>
      </w:r>
    </w:p>
    <w:p>
      <w:pPr>
        <w:pStyle w:val="null3"/>
      </w:pPr>
      <w:r>
        <w:rPr/>
        <w:t>采购包1(广东高院新媒体运维服务项目):</w:t>
      </w:r>
    </w:p>
    <w:p>
      <w:pPr>
        <w:pStyle w:val="null3"/>
      </w:pPr>
      <w:r>
        <w:rPr/>
        <w:t>采购包预算金额：1,270,000.00元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广东高院新媒体运维服务项目，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合同履行期限：自合同签订生效之日起一年，具体时间以合同约定为准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采购包1（广东高院新媒体运维服务项目）：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p>
      <w:pPr>
        <w:pStyle w:val="null3"/>
        <w:outlineLvl w:val="3"/>
      </w:pPr>
      <w:r>
        <w:rPr>
          <w:sz w:val="24"/>
          <w:b/>
        </w:rPr>
        <w:t>3.本项目特定的资格要求：</w:t>
      </w:r>
    </w:p>
    <w:p>
      <w:pPr>
        <w:pStyle w:val="null3"/>
      </w:pPr>
      <w:r>
        <w:rPr/>
        <w:t>采购包1（广东高院新媒体运维服务项目）：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广东省高级人民法院</w:t>
      </w:r>
    </w:p>
    <w:p>
      <w:pPr>
        <w:pStyle w:val="null3"/>
        <w:ind w:firstLine="480"/>
      </w:pPr>
      <w:r>
        <w:rPr/>
        <w:t xml:space="preserve"> 地址：</w:t>
      </w:r>
      <w:r>
        <w:rPr/>
        <w:t>广州市员村一横路9号</w:t>
      </w:r>
    </w:p>
    <w:p>
      <w:pPr>
        <w:pStyle w:val="null3"/>
        <w:ind w:firstLine="480"/>
      </w:pPr>
      <w:r>
        <w:rPr/>
        <w:t xml:space="preserve"> 联系方式：</w:t>
      </w:r>
      <w:r>
        <w:rPr/>
        <w:t>020-62620823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020-38931902-836</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020-38931902-836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其他信息技术服务</w:t>
      </w:r>
    </w:p>
    <w:p>
      <w:pPr>
        <w:pStyle w:val="null3"/>
      </w:pPr>
      <w:r>
        <w:rPr>
          <w:sz w:val="21"/>
        </w:rPr>
        <w:t>本项目对应的中小企业划分标准所属行业为：</w:t>
      </w:r>
      <w:r>
        <w:rPr>
          <w:sz w:val="21"/>
        </w:rPr>
        <w:t>软件和信息技术服务业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sz w:val="21"/>
          <w:b/>
        </w:rPr>
        <w:t>（</w:t>
      </w:r>
      <w:r>
        <w:rPr>
          <w:sz w:val="21"/>
          <w:b/>
        </w:rPr>
        <w:t>一</w:t>
      </w:r>
      <w:r>
        <w:rPr>
          <w:sz w:val="21"/>
          <w:b/>
        </w:rPr>
        <w:t>）</w:t>
      </w:r>
      <w:r>
        <w:rPr>
          <w:sz w:val="21"/>
          <w:b/>
        </w:rPr>
        <w:t>项目目标</w:t>
      </w:r>
      <w:r>
        <w:rPr>
          <w:sz w:val="21"/>
          <w:b/>
        </w:rPr>
        <w:t>：</w:t>
      </w:r>
    </w:p>
    <w:p>
      <w:pPr>
        <w:pStyle w:val="null3"/>
        <w:ind w:firstLine="420"/>
        <w:jc w:val="both"/>
      </w:pPr>
      <w:r>
        <w:rPr>
          <w:sz w:val="21"/>
        </w:rPr>
        <w:t>将广东省高级人民法院新媒体平台建设成为更权威的信息发布、更迅速的解读回应、更便捷的诉讼服务平台。建立健全以广东省高级人民法院新媒体平台为龙头，整体协同、响应迅速、联动发力的全省法院新媒体矩阵体系，打造一批优质精品的账号品牌，形成全省法院新媒体规范发展、创新发展、融合发展新格局。</w:t>
      </w:r>
    </w:p>
    <w:p>
      <w:pPr>
        <w:pStyle w:val="null3"/>
        <w:jc w:val="both"/>
      </w:pPr>
      <w:r>
        <w:rPr>
          <w:sz w:val="21"/>
          <w:b/>
        </w:rPr>
        <w:t>（</w:t>
      </w:r>
      <w:r>
        <w:rPr>
          <w:sz w:val="21"/>
          <w:b/>
        </w:rPr>
        <w:t>二</w:t>
      </w:r>
      <w:r>
        <w:rPr>
          <w:sz w:val="21"/>
          <w:b/>
        </w:rPr>
        <w:t>）技术要求：</w:t>
      </w:r>
    </w:p>
    <w:p>
      <w:pPr>
        <w:pStyle w:val="null3"/>
        <w:ind w:firstLine="420"/>
        <w:jc w:val="both"/>
      </w:pPr>
      <w:r>
        <w:rPr>
          <w:sz w:val="21"/>
        </w:rPr>
        <w:t>聚焦广东高院中心工作，做好网站运营、新媒体运维、主题策划及推广、矩阵建设、培训指导等工作。具体如下：</w:t>
      </w:r>
    </w:p>
    <w:p>
      <w:pPr>
        <w:pStyle w:val="null3"/>
        <w:ind w:firstLine="420"/>
        <w:jc w:val="both"/>
      </w:pPr>
      <w:r>
        <w:rPr>
          <w:sz w:val="21"/>
        </w:rPr>
        <w:t>1.网站运营</w:t>
      </w:r>
    </w:p>
    <w:p>
      <w:pPr>
        <w:pStyle w:val="null3"/>
        <w:ind w:firstLine="420"/>
        <w:jc w:val="both"/>
      </w:pPr>
      <w:r>
        <w:rPr>
          <w:sz w:val="21"/>
        </w:rPr>
        <w:t>对广东省高级人民法院官方网站（广东法院网）、内网新闻栏目，最高人民法院内网广东频道</w:t>
      </w:r>
      <w:r>
        <w:rPr>
          <w:sz w:val="21"/>
        </w:rPr>
        <w:t>3个网站的信息内容进行日常更新维护，确保信息更新及时准确。</w:t>
      </w:r>
    </w:p>
    <w:p>
      <w:pPr>
        <w:pStyle w:val="null3"/>
        <w:ind w:firstLine="420"/>
        <w:jc w:val="both"/>
      </w:pPr>
      <w:r>
        <w:rPr>
          <w:sz w:val="21"/>
        </w:rPr>
        <w:t>2.新媒体运维</w:t>
      </w:r>
    </w:p>
    <w:p>
      <w:pPr>
        <w:pStyle w:val="null3"/>
        <w:ind w:firstLine="420"/>
        <w:jc w:val="both"/>
      </w:pPr>
      <w:r>
        <w:rPr>
          <w:sz w:val="21"/>
        </w:rPr>
        <w:t>遵照流程规范，对广东高院在各新媒体平台开通的账号进行日常运维发布，确保导向正确、内容准确、传播有效。</w:t>
      </w:r>
    </w:p>
    <w:p>
      <w:pPr>
        <w:pStyle w:val="null3"/>
        <w:ind w:firstLine="420"/>
        <w:jc w:val="both"/>
      </w:pPr>
      <w:r>
        <w:rPr>
          <w:sz w:val="21"/>
        </w:rPr>
        <w:t>2.1日常运营</w:t>
      </w:r>
    </w:p>
    <w:p>
      <w:pPr>
        <w:pStyle w:val="null3"/>
        <w:ind w:firstLine="420"/>
        <w:jc w:val="both"/>
      </w:pPr>
      <w:r>
        <w:rPr>
          <w:sz w:val="21"/>
        </w:rPr>
        <w:t>（</w:t>
      </w:r>
      <w:r>
        <w:rPr>
          <w:sz w:val="21"/>
        </w:rPr>
        <w:t>1）微信：每日发布，节假日不定期推送。</w:t>
      </w:r>
    </w:p>
    <w:p>
      <w:pPr>
        <w:pStyle w:val="null3"/>
        <w:ind w:firstLine="420"/>
        <w:jc w:val="both"/>
      </w:pPr>
      <w:r>
        <w:rPr>
          <w:sz w:val="21"/>
        </w:rPr>
        <w:t>（</w:t>
      </w:r>
      <w:r>
        <w:rPr>
          <w:sz w:val="21"/>
        </w:rPr>
        <w:t>2）微博：每日发布。</w:t>
      </w:r>
    </w:p>
    <w:p>
      <w:pPr>
        <w:pStyle w:val="null3"/>
        <w:ind w:firstLine="420"/>
        <w:jc w:val="both"/>
      </w:pPr>
      <w:r>
        <w:rPr>
          <w:sz w:val="21"/>
        </w:rPr>
        <w:t>（</w:t>
      </w:r>
      <w:r>
        <w:rPr>
          <w:sz w:val="21"/>
        </w:rPr>
        <w:t>3）客户端：包括南方号、天平号、头条号、抖音、快手、微信视频号、央视频号等平台账号，工作日定期发布。</w:t>
      </w:r>
    </w:p>
    <w:p>
      <w:pPr>
        <w:pStyle w:val="null3"/>
        <w:ind w:firstLine="420"/>
        <w:jc w:val="both"/>
      </w:pPr>
      <w:r>
        <w:rPr>
          <w:sz w:val="21"/>
        </w:rPr>
        <w:t>2.2创意策划</w:t>
      </w:r>
    </w:p>
    <w:p>
      <w:pPr>
        <w:pStyle w:val="null3"/>
        <w:ind w:firstLine="420"/>
        <w:jc w:val="both"/>
      </w:pPr>
      <w:r>
        <w:rPr>
          <w:sz w:val="21"/>
        </w:rPr>
        <w:t>聚焦法院工作，创新表现形式，按需求策划制作短视频、海报、长图、条漫、图解、</w:t>
      </w:r>
      <w:r>
        <w:rPr>
          <w:sz w:val="21"/>
        </w:rPr>
        <w:t>H5、网络直播、微访谈等形式的新媒体产品，一年不少于10个。</w:t>
      </w:r>
    </w:p>
    <w:p>
      <w:pPr>
        <w:pStyle w:val="null3"/>
        <w:ind w:firstLine="420"/>
        <w:jc w:val="both"/>
      </w:pPr>
      <w:r>
        <w:rPr>
          <w:sz w:val="21"/>
        </w:rPr>
        <w:t>2.3栏目规划</w:t>
      </w:r>
    </w:p>
    <w:p>
      <w:pPr>
        <w:pStyle w:val="null3"/>
        <w:ind w:firstLine="420"/>
        <w:jc w:val="both"/>
      </w:pPr>
      <w:r>
        <w:rPr>
          <w:sz w:val="21"/>
        </w:rPr>
        <w:t>围绕法院中心工作，统筹做好新媒体栏目规划、管理、更新及相关设计工作。</w:t>
      </w:r>
    </w:p>
    <w:p>
      <w:pPr>
        <w:pStyle w:val="null3"/>
        <w:ind w:firstLine="420"/>
        <w:jc w:val="both"/>
      </w:pPr>
      <w:r>
        <w:rPr>
          <w:sz w:val="21"/>
        </w:rPr>
        <w:t>2.4留言处理</w:t>
      </w:r>
    </w:p>
    <w:p>
      <w:pPr>
        <w:pStyle w:val="null3"/>
        <w:ind w:firstLine="420"/>
        <w:jc w:val="both"/>
      </w:pPr>
      <w:r>
        <w:rPr>
          <w:sz w:val="21"/>
        </w:rPr>
        <w:t>及时做好各平台留言审看精选、处理反馈等工作，分类办理、定期整理、及时处理。</w:t>
      </w:r>
    </w:p>
    <w:p>
      <w:pPr>
        <w:pStyle w:val="null3"/>
        <w:ind w:firstLine="420"/>
        <w:jc w:val="both"/>
      </w:pPr>
      <w:r>
        <w:rPr>
          <w:sz w:val="21"/>
        </w:rPr>
        <w:t>2.5 数据统计</w:t>
      </w:r>
    </w:p>
    <w:p>
      <w:pPr>
        <w:pStyle w:val="null3"/>
        <w:ind w:firstLine="420"/>
        <w:jc w:val="both"/>
      </w:pPr>
      <w:r>
        <w:rPr>
          <w:sz w:val="21"/>
        </w:rPr>
        <w:t>收集发布数据进行统计分析，为后续工作提升改进提供数据支撑。</w:t>
      </w:r>
    </w:p>
    <w:p>
      <w:pPr>
        <w:pStyle w:val="null3"/>
        <w:ind w:firstLine="420"/>
        <w:jc w:val="both"/>
      </w:pPr>
      <w:r>
        <w:rPr>
          <w:sz w:val="21"/>
        </w:rPr>
        <w:t>3.主题策划及推广</w:t>
      </w:r>
    </w:p>
    <w:p>
      <w:pPr>
        <w:pStyle w:val="null3"/>
        <w:ind w:firstLine="420"/>
        <w:jc w:val="both"/>
      </w:pPr>
      <w:r>
        <w:rPr>
          <w:sz w:val="21"/>
        </w:rPr>
        <w:t>结合中央、省级重要会议活动、重大节点节日及省法院重点专题工作部署等，做好主题策划及线上线下联动推广。</w:t>
      </w:r>
    </w:p>
    <w:p>
      <w:pPr>
        <w:pStyle w:val="null3"/>
        <w:ind w:firstLine="420"/>
        <w:jc w:val="both"/>
      </w:pPr>
      <w:r>
        <w:rPr>
          <w:sz w:val="21"/>
        </w:rPr>
        <w:t>4.矩阵建设</w:t>
      </w:r>
    </w:p>
    <w:p>
      <w:pPr>
        <w:pStyle w:val="null3"/>
        <w:ind w:firstLine="420"/>
        <w:jc w:val="both"/>
      </w:pPr>
      <w:r>
        <w:rPr>
          <w:sz w:val="21"/>
        </w:rPr>
        <w:t>对下级法院新媒体运维情况进行监督指导，进一步加强全省法院通联工作，建立健全全省法院新媒体矩阵体系。</w:t>
      </w:r>
    </w:p>
    <w:p>
      <w:pPr>
        <w:pStyle w:val="null3"/>
        <w:ind w:firstLine="420"/>
        <w:jc w:val="both"/>
      </w:pPr>
      <w:r>
        <w:rPr>
          <w:sz w:val="21"/>
        </w:rPr>
        <w:t>5.培训指导</w:t>
      </w:r>
    </w:p>
    <w:p>
      <w:pPr>
        <w:pStyle w:val="null3"/>
        <w:ind w:firstLine="420"/>
        <w:jc w:val="both"/>
      </w:pPr>
      <w:r>
        <w:rPr>
          <w:sz w:val="21"/>
        </w:rPr>
        <w:t>根据全省法院运维存在问题，对全省内容运维人员提供线下线上的业务培训，不断提升运维队伍能力水平。</w:t>
      </w:r>
    </w:p>
    <w:p>
      <w:pPr>
        <w:pStyle w:val="null3"/>
        <w:ind w:firstLine="420"/>
        <w:jc w:val="both"/>
      </w:pPr>
      <w:r>
        <w:rPr>
          <w:sz w:val="21"/>
        </w:rPr>
        <w:t>6.宣传推广</w:t>
      </w:r>
    </w:p>
    <w:p>
      <w:pPr>
        <w:pStyle w:val="null3"/>
        <w:ind w:firstLine="420"/>
        <w:jc w:val="both"/>
      </w:pPr>
      <w:r>
        <w:rPr>
          <w:sz w:val="21"/>
        </w:rPr>
        <w:t>依据自身媒体平台及关联资源优势，提供宣传推广服务，增强广东法院新媒体策划的传播力与影响力。</w:t>
      </w:r>
    </w:p>
    <w:p>
      <w:pPr>
        <w:pStyle w:val="null3"/>
        <w:ind w:firstLine="420"/>
        <w:jc w:val="both"/>
      </w:pPr>
      <w:r>
        <w:rPr>
          <w:sz w:val="21"/>
        </w:rPr>
        <w:t>7.运维报告</w:t>
      </w:r>
    </w:p>
    <w:p>
      <w:pPr>
        <w:pStyle w:val="null3"/>
        <w:ind w:firstLine="420"/>
        <w:jc w:val="both"/>
      </w:pPr>
      <w:r>
        <w:rPr>
          <w:sz w:val="21"/>
        </w:rPr>
        <w:t>基于对新媒体平台运维数据的采集分析，向采购人出具平台运维情况半年、全年分析报告，提出运维优化意见建议，为提升运维质量明确方向。</w:t>
      </w:r>
    </w:p>
    <w:p>
      <w:pPr>
        <w:pStyle w:val="null3"/>
        <w:ind w:firstLine="420"/>
        <w:jc w:val="both"/>
      </w:pPr>
      <w:r>
        <w:rPr>
          <w:sz w:val="21"/>
        </w:rPr>
        <w:t>8.安全监管</w:t>
      </w:r>
    </w:p>
    <w:p>
      <w:pPr>
        <w:pStyle w:val="null3"/>
        <w:ind w:firstLine="420"/>
        <w:jc w:val="both"/>
      </w:pPr>
      <w:r>
        <w:rPr>
          <w:sz w:val="21"/>
        </w:rPr>
        <w:t>对广东法院网进行日常监测，定期排查页面及内容存在的漏洞，重点时期加强巡检；妥善维护新媒体账号信息安全。</w:t>
      </w:r>
    </w:p>
    <w:p>
      <w:pPr>
        <w:pStyle w:val="null3"/>
        <w:ind w:firstLine="420"/>
        <w:jc w:val="both"/>
      </w:pPr>
      <w:r>
        <w:rPr>
          <w:sz w:val="21"/>
        </w:rPr>
        <w:t>9.其他要求</w:t>
      </w:r>
    </w:p>
    <w:p>
      <w:pPr>
        <w:pStyle w:val="null3"/>
        <w:ind w:firstLine="420"/>
        <w:jc w:val="both"/>
      </w:pPr>
      <w:r>
        <w:rPr>
          <w:sz w:val="21"/>
        </w:rPr>
        <w:t>①投标人应</w:t>
      </w:r>
      <w:r>
        <w:rPr>
          <w:sz w:val="21"/>
        </w:rPr>
        <w:t>对项目需求的</w:t>
      </w:r>
      <w:r>
        <w:rPr>
          <w:sz w:val="21"/>
        </w:rPr>
        <w:t>有一定的</w:t>
      </w:r>
      <w:r>
        <w:rPr>
          <w:sz w:val="21"/>
        </w:rPr>
        <w:t>理解</w:t>
      </w:r>
      <w:r>
        <w:rPr>
          <w:sz w:val="21"/>
        </w:rPr>
        <w:t>，</w:t>
      </w:r>
      <w:r>
        <w:rPr>
          <w:sz w:val="21"/>
        </w:rPr>
        <w:t>并提供一份服务方案，包括但不限于：</w:t>
      </w:r>
      <w:r>
        <w:rPr>
          <w:sz w:val="21"/>
        </w:rPr>
        <w:t>①</w:t>
      </w:r>
      <w:r>
        <w:rPr>
          <w:sz w:val="21"/>
        </w:rPr>
        <w:t>结合有关政策，提出项目运</w:t>
      </w:r>
      <w:r>
        <w:rPr>
          <w:sz w:val="21"/>
        </w:rPr>
        <w:t>维</w:t>
      </w:r>
      <w:r>
        <w:rPr>
          <w:sz w:val="21"/>
        </w:rPr>
        <w:t>思路和原则</w:t>
      </w:r>
      <w:r>
        <w:rPr>
          <w:sz w:val="21"/>
        </w:rPr>
        <w:t>；</w:t>
      </w:r>
      <w:r>
        <w:rPr>
          <w:sz w:val="21"/>
        </w:rPr>
        <w:t>②有对本项目</w:t>
      </w:r>
      <w:r>
        <w:rPr>
          <w:sz w:val="21"/>
        </w:rPr>
        <w:t>重难点</w:t>
      </w:r>
      <w:r>
        <w:rPr>
          <w:sz w:val="21"/>
        </w:rPr>
        <w:t>进行分析；</w:t>
      </w:r>
      <w:r>
        <w:rPr>
          <w:sz w:val="21"/>
        </w:rPr>
        <w:t>③提供解决方案等；</w:t>
      </w:r>
    </w:p>
    <w:p>
      <w:pPr>
        <w:pStyle w:val="null3"/>
        <w:ind w:firstLine="420"/>
        <w:jc w:val="both"/>
      </w:pPr>
      <w:r>
        <w:rPr>
          <w:sz w:val="21"/>
        </w:rPr>
        <w:t>②</w:t>
      </w:r>
      <w:r>
        <w:rPr>
          <w:sz w:val="21"/>
        </w:rPr>
        <w:t>投标人应根据上述</w:t>
      </w:r>
      <w:r>
        <w:rPr>
          <w:sz w:val="21"/>
        </w:rPr>
        <w:t>1-8项提供一份详细的设计方案，方案需体现</w:t>
      </w:r>
      <w:r>
        <w:rPr>
          <w:sz w:val="21"/>
        </w:rPr>
        <w:t>网站运维服务、新媒体运维服务、主题策划及推广、矩阵建设、培训指导、宣传推广、运营报告、安全监管等思路</w:t>
      </w:r>
      <w:r>
        <w:rPr>
          <w:sz w:val="21"/>
        </w:rPr>
        <w:t>的设计方案</w:t>
      </w:r>
      <w:r>
        <w:rPr>
          <w:sz w:val="21"/>
        </w:rPr>
        <w:t>；</w:t>
      </w:r>
    </w:p>
    <w:p>
      <w:pPr>
        <w:pStyle w:val="null3"/>
        <w:ind w:firstLine="420"/>
        <w:jc w:val="both"/>
      </w:pPr>
      <w:r>
        <w:rPr>
          <w:sz w:val="21"/>
        </w:rPr>
        <w:t>③ 投标人应根据项目需求提供一份</w:t>
      </w:r>
      <w:r>
        <w:rPr>
          <w:sz w:val="21"/>
        </w:rPr>
        <w:t>项目实施及管理方案</w:t>
      </w:r>
      <w:r>
        <w:rPr>
          <w:sz w:val="21"/>
        </w:rPr>
        <w:t>，</w:t>
      </w:r>
      <w:r>
        <w:rPr>
          <w:sz w:val="21"/>
        </w:rPr>
        <w:t>包括但不限于：</w:t>
      </w:r>
      <w:r>
        <w:rPr>
          <w:sz w:val="21"/>
        </w:rPr>
        <w:t>①</w:t>
      </w:r>
      <w:r>
        <w:rPr>
          <w:sz w:val="21"/>
        </w:rPr>
        <w:t>项目人员配备</w:t>
      </w:r>
      <w:r>
        <w:rPr>
          <w:sz w:val="21"/>
        </w:rPr>
        <w:t>方案；</w:t>
      </w:r>
      <w:r>
        <w:rPr>
          <w:sz w:val="21"/>
        </w:rPr>
        <w:t>②</w:t>
      </w:r>
      <w:r>
        <w:rPr>
          <w:sz w:val="21"/>
        </w:rPr>
        <w:t>项目</w:t>
      </w:r>
      <w:r>
        <w:rPr>
          <w:sz w:val="21"/>
        </w:rPr>
        <w:t>运维</w:t>
      </w:r>
      <w:r>
        <w:rPr>
          <w:sz w:val="21"/>
        </w:rPr>
        <w:t>机制</w:t>
      </w:r>
      <w:r>
        <w:rPr>
          <w:sz w:val="21"/>
        </w:rPr>
        <w:t>方案等；</w:t>
      </w:r>
    </w:p>
    <w:p>
      <w:pPr>
        <w:pStyle w:val="null3"/>
        <w:ind w:firstLine="420"/>
        <w:jc w:val="both"/>
      </w:pPr>
      <w:r>
        <w:rPr>
          <w:sz w:val="21"/>
        </w:rPr>
        <w:t>④</w:t>
      </w:r>
      <w:r>
        <w:rPr>
          <w:sz w:val="21"/>
        </w:rPr>
        <w:t>投标人应具有综合</w:t>
      </w:r>
      <w:r>
        <w:rPr>
          <w:sz w:val="21"/>
        </w:rPr>
        <w:t>服务支撑能力</w:t>
      </w:r>
      <w:r>
        <w:rPr>
          <w:sz w:val="21"/>
        </w:rPr>
        <w:t>，</w:t>
      </w:r>
      <w:r>
        <w:rPr>
          <w:sz w:val="21"/>
        </w:rPr>
        <w:t>并提供一份服务方案，包括但不限于</w:t>
      </w:r>
      <w:r>
        <w:rPr>
          <w:sz w:val="21"/>
        </w:rPr>
        <w:t>①</w:t>
      </w:r>
      <w:r>
        <w:rPr>
          <w:sz w:val="21"/>
        </w:rPr>
        <w:t>服务能力</w:t>
      </w:r>
      <w:r>
        <w:rPr>
          <w:sz w:val="21"/>
        </w:rPr>
        <w:t>便捷程度；</w:t>
      </w:r>
      <w:r>
        <w:rPr>
          <w:sz w:val="21"/>
        </w:rPr>
        <w:t>②响应速度等。</w:t>
      </w:r>
    </w:p>
    <w:p>
      <w:pPr>
        <w:pStyle w:val="null3"/>
        <w:ind w:firstLine="420"/>
        <w:jc w:val="both"/>
      </w:pPr>
      <w:r>
        <w:rPr>
          <w:sz w:val="21"/>
        </w:rPr>
        <w:t>⑤投标人应具有</w:t>
      </w:r>
      <w:r>
        <w:rPr>
          <w:sz w:val="21"/>
        </w:rPr>
        <w:t>有效的质量管理体系认证</w:t>
      </w:r>
      <w:r>
        <w:rPr>
          <w:sz w:val="21"/>
        </w:rPr>
        <w:t>证书，新设立企业成立时间不足相关证书最低要求的，需提供书面说明；</w:t>
      </w:r>
    </w:p>
    <w:p>
      <w:pPr>
        <w:pStyle w:val="null3"/>
        <w:ind w:firstLine="420"/>
        <w:jc w:val="both"/>
      </w:pPr>
      <w:r>
        <w:rPr>
          <w:sz w:val="21"/>
        </w:rPr>
        <w:t>⑥</w:t>
      </w:r>
      <w:r>
        <w:rPr>
          <w:sz w:val="21"/>
        </w:rPr>
        <w:t>投标人</w:t>
      </w:r>
      <w:r>
        <w:rPr>
          <w:sz w:val="21"/>
        </w:rPr>
        <w:t>应</w:t>
      </w:r>
      <w:r>
        <w:rPr>
          <w:sz w:val="21"/>
        </w:rPr>
        <w:t>具有政府信息公开类、网站及新媒体</w:t>
      </w:r>
      <w:r>
        <w:rPr>
          <w:sz w:val="21"/>
        </w:rPr>
        <w:t>运维</w:t>
      </w:r>
      <w:r>
        <w:rPr>
          <w:sz w:val="21"/>
        </w:rPr>
        <w:t>管理类</w:t>
      </w:r>
      <w:r>
        <w:rPr>
          <w:sz w:val="21"/>
        </w:rPr>
        <w:t>或其他与本项目采购内容相关的</w:t>
      </w:r>
      <w:r>
        <w:rPr>
          <w:sz w:val="21"/>
        </w:rPr>
        <w:t>软件著作权</w:t>
      </w:r>
      <w:r>
        <w:rPr>
          <w:sz w:val="21"/>
        </w:rPr>
        <w:t>登记证书（若著作权人非投标人自有，则须额外提供购买合同或租赁合同或合作开发协议复印件）；</w:t>
      </w:r>
    </w:p>
    <w:p>
      <w:pPr>
        <w:pStyle w:val="null3"/>
        <w:ind w:firstLine="420"/>
        <w:jc w:val="both"/>
      </w:pPr>
      <w:r>
        <w:rPr>
          <w:sz w:val="21"/>
        </w:rPr>
        <w:t>⑦投标人应</w:t>
      </w:r>
      <w:r>
        <w:rPr>
          <w:sz w:val="21"/>
        </w:rPr>
        <w:t>具有</w:t>
      </w:r>
      <w:r>
        <w:rPr>
          <w:sz w:val="21"/>
        </w:rPr>
        <w:t>202</w:t>
      </w:r>
      <w:r>
        <w:rPr>
          <w:sz w:val="21"/>
        </w:rPr>
        <w:t>3</w:t>
      </w:r>
      <w:r>
        <w:rPr>
          <w:sz w:val="21"/>
        </w:rPr>
        <w:t>年</w:t>
      </w:r>
      <w:r>
        <w:rPr>
          <w:sz w:val="21"/>
        </w:rPr>
        <w:t>1月1日至今</w:t>
      </w:r>
      <w:r>
        <w:rPr>
          <w:sz w:val="21"/>
        </w:rPr>
        <w:t>的</w:t>
      </w:r>
      <w:r>
        <w:rPr>
          <w:sz w:val="21"/>
        </w:rPr>
        <w:t>同类网站</w:t>
      </w:r>
      <w:r>
        <w:rPr>
          <w:sz w:val="21"/>
        </w:rPr>
        <w:t>运维</w:t>
      </w:r>
      <w:r>
        <w:rPr>
          <w:sz w:val="21"/>
        </w:rPr>
        <w:t>、新媒体</w:t>
      </w:r>
      <w:r>
        <w:rPr>
          <w:sz w:val="21"/>
        </w:rPr>
        <w:t>运维</w:t>
      </w:r>
      <w:r>
        <w:rPr>
          <w:sz w:val="21"/>
        </w:rPr>
        <w:t>、主题策划及推广、矩阵建设内容</w:t>
      </w:r>
      <w:r>
        <w:rPr>
          <w:sz w:val="21"/>
        </w:rPr>
        <w:t>运维</w:t>
      </w:r>
      <w:r>
        <w:rPr>
          <w:sz w:val="21"/>
        </w:rPr>
        <w:t>或其他与本项目采购内容相关的</w:t>
      </w:r>
      <w:r>
        <w:rPr>
          <w:sz w:val="21"/>
        </w:rPr>
        <w:t>经验</w:t>
      </w:r>
      <w:r>
        <w:rPr>
          <w:sz w:val="21"/>
        </w:rPr>
        <w:t>。</w:t>
      </w:r>
    </w:p>
    <w:p>
      <w:pPr>
        <w:pStyle w:val="null3"/>
        <w:ind w:firstLine="420"/>
        <w:jc w:val="both"/>
      </w:pPr>
      <w:r>
        <w:rPr>
          <w:sz w:val="21"/>
        </w:rPr>
        <w:t>⑧为确保信息及时准确安全，投标人应承诺具备实时全渠道内容监控、违规内容自动过滤与预警、数据复盘与报表分析、导向性校准等能力。（提供承诺函，格式自拟）</w:t>
      </w:r>
    </w:p>
    <w:p>
      <w:pPr>
        <w:pStyle w:val="null3"/>
        <w:jc w:val="both"/>
      </w:pPr>
      <w:r>
        <w:rPr>
          <w:sz w:val="21"/>
          <w:b/>
        </w:rPr>
        <w:t>（三）</w:t>
      </w:r>
      <w:r>
        <w:rPr>
          <w:sz w:val="21"/>
          <w:b/>
        </w:rPr>
        <w:t>商务要求：</w:t>
      </w:r>
    </w:p>
    <w:p>
      <w:pPr>
        <w:pStyle w:val="null3"/>
        <w:ind w:firstLine="420"/>
        <w:jc w:val="both"/>
      </w:pPr>
      <w:r>
        <w:rPr>
          <w:sz w:val="21"/>
        </w:rPr>
        <w:t>1.团队要求:服务供应商需组成合理搭配、科学统筹的服务团队提供运维服务，团队应由项目负责人、驻场团队与后方团队组成，团队人员不少于7人（含项目负责人），其中驻场人员不少于3人。</w:t>
      </w:r>
    </w:p>
    <w:p>
      <w:pPr>
        <w:pStyle w:val="null3"/>
        <w:ind w:firstLine="420"/>
        <w:jc w:val="both"/>
      </w:pPr>
      <w:r>
        <w:rPr>
          <w:sz w:val="21"/>
        </w:rPr>
        <w:t>1.1项目负责人（仅限1人）</w:t>
      </w:r>
    </w:p>
    <w:p>
      <w:pPr>
        <w:pStyle w:val="null3"/>
        <w:ind w:firstLine="420"/>
        <w:jc w:val="both"/>
      </w:pPr>
      <w:r>
        <w:rPr>
          <w:sz w:val="21"/>
        </w:rPr>
        <w:t>负责项目新媒体日常统筹工作，有</w:t>
      </w:r>
      <w:r>
        <w:rPr>
          <w:sz w:val="21"/>
        </w:rPr>
        <w:t>5年或以上新媒体运维管理工作经验，以及</w:t>
      </w:r>
      <w:r>
        <w:rPr>
          <w:sz w:val="21"/>
        </w:rPr>
        <w:t>编辑（或新闻相关专业）中级或以上职称</w:t>
      </w:r>
      <w:r>
        <w:rPr>
          <w:sz w:val="21"/>
        </w:rPr>
        <w:t>。</w:t>
      </w:r>
      <w:r>
        <w:rPr>
          <w:sz w:val="21"/>
        </w:rPr>
        <w:t>具有较强的团队管理和沟通协调能力，具备高度的责任感和执行力；</w:t>
      </w:r>
    </w:p>
    <w:p>
      <w:pPr>
        <w:pStyle w:val="null3"/>
        <w:ind w:firstLine="420"/>
        <w:jc w:val="both"/>
      </w:pPr>
      <w:r>
        <w:rPr>
          <w:sz w:val="21"/>
        </w:rPr>
        <w:t>1.2驻场团队：</w:t>
      </w:r>
    </w:p>
    <w:p>
      <w:pPr>
        <w:pStyle w:val="null3"/>
        <w:ind w:firstLine="420"/>
        <w:jc w:val="both"/>
      </w:pPr>
      <w:r>
        <w:rPr>
          <w:sz w:val="21"/>
        </w:rPr>
        <w:t>（</w:t>
      </w:r>
      <w:r>
        <w:rPr>
          <w:sz w:val="21"/>
        </w:rPr>
        <w:t>1）内容编辑：不少于2人，负责新媒体日常内容运维，有3年或以上政务编辑工作经验，具有较强的选题、策划、采编能力，熟悉新媒体发布及传播规律。</w:t>
      </w:r>
    </w:p>
    <w:p>
      <w:pPr>
        <w:pStyle w:val="null3"/>
        <w:ind w:firstLine="420"/>
        <w:jc w:val="both"/>
      </w:pPr>
      <w:r>
        <w:rPr>
          <w:sz w:val="21"/>
        </w:rPr>
        <w:t>（</w:t>
      </w:r>
      <w:r>
        <w:rPr>
          <w:sz w:val="21"/>
        </w:rPr>
        <w:t>2）美术编辑：不少于1人，负责落实新媒体产品制作及相关平面设计、视觉排版，具有3年或以上网页、新媒体设计经验，熟悉当前互联网技术、运用及展现效果。</w:t>
      </w:r>
    </w:p>
    <w:p>
      <w:pPr>
        <w:pStyle w:val="null3"/>
        <w:ind w:firstLine="420"/>
        <w:jc w:val="both"/>
      </w:pPr>
      <w:r>
        <w:rPr>
          <w:sz w:val="21"/>
        </w:rPr>
        <w:t>驻场团队中须有</w:t>
      </w:r>
      <w:r>
        <w:rPr>
          <w:sz w:val="21"/>
        </w:rPr>
        <w:t>1人具备较强的视频策划、拍摄剪辑、包装运维能力。</w:t>
      </w:r>
    </w:p>
    <w:p>
      <w:pPr>
        <w:pStyle w:val="null3"/>
        <w:ind w:firstLine="420"/>
        <w:jc w:val="both"/>
      </w:pPr>
      <w:r>
        <w:rPr>
          <w:sz w:val="21"/>
        </w:rPr>
        <w:t>1.3后方团队：服务供应商除驻场团队外，还应配备有能确保项目按质按量、有序高效实施的后方团队，提供技术支撑、远程服务等。</w:t>
      </w:r>
    </w:p>
    <w:p>
      <w:pPr>
        <w:pStyle w:val="null3"/>
        <w:ind w:firstLine="420"/>
        <w:jc w:val="both"/>
      </w:pPr>
      <w:r>
        <w:rPr>
          <w:sz w:val="21"/>
        </w:rPr>
        <w:t>1.4</w:t>
      </w:r>
      <w:r>
        <w:rPr>
          <w:sz w:val="21"/>
        </w:rPr>
        <w:t>驻场团队与后方团队其他能力要求：</w:t>
      </w:r>
      <w:r>
        <w:rPr>
          <w:sz w:val="21"/>
        </w:rPr>
        <w:t>持有编辑（或新闻相关专业）中级或以上职称应不</w:t>
      </w:r>
      <w:r>
        <w:rPr>
          <w:sz w:val="21"/>
        </w:rPr>
        <w:t>少于</w:t>
      </w:r>
      <w:r>
        <w:rPr>
          <w:sz w:val="21"/>
        </w:rPr>
        <w:t>3人</w:t>
      </w:r>
      <w:r>
        <w:rPr>
          <w:sz w:val="21"/>
        </w:rPr>
        <w:t>。</w:t>
      </w:r>
    </w:p>
    <w:p>
      <w:pPr>
        <w:pStyle w:val="null3"/>
        <w:ind w:firstLine="420"/>
        <w:jc w:val="both"/>
      </w:pPr>
      <w:r>
        <w:rPr>
          <w:sz w:val="21"/>
        </w:rPr>
        <w:t>2.机制要求:服务供应商应建立科学完善的项目管理和服务机制，确保运维工作平稳、顺利、高效开展。</w:t>
      </w:r>
    </w:p>
    <w:p>
      <w:pPr>
        <w:pStyle w:val="null3"/>
        <w:ind w:firstLine="420"/>
        <w:jc w:val="both"/>
      </w:pPr>
      <w:r>
        <w:rPr>
          <w:sz w:val="21"/>
        </w:rPr>
        <w:t>2.1日常服务：由驻场团队在指定的办公场所，对采购方需求进行实时响应。当驻场团队遇到无法处理的项目运维、重大策划、活动组织、技术问题等工作时，服务方应当安排后方人员远程或到场支援，共同协作达至目标。</w:t>
      </w:r>
    </w:p>
    <w:p>
      <w:pPr>
        <w:pStyle w:val="null3"/>
        <w:ind w:firstLine="420"/>
        <w:jc w:val="both"/>
      </w:pPr>
      <w:r>
        <w:rPr>
          <w:sz w:val="21"/>
        </w:rPr>
        <w:t>2.2应急响应：坚持值班、请示汇报等制度，提前制定运维应急方案，应对突发事件及节假日运维需求。如因紧急情况出现需解决的重大事件，应立即安排专人负责跟进。</w:t>
      </w:r>
    </w:p>
    <w:p>
      <w:pPr>
        <w:pStyle w:val="null3"/>
        <w:ind w:firstLine="420"/>
        <w:jc w:val="both"/>
      </w:pPr>
      <w:r>
        <w:rPr>
          <w:sz w:val="21"/>
        </w:rPr>
        <w:t>3.知识产权要求:项目所涉及信息数据所有权归采购人所有，服务供应商只能用于履行项目义务之目的。供应商应保证所提供的服务免受第三方提出侵犯其知识产权（专利权、商标权、版权等）的起诉，保证其采编发布的新闻、信息等不得侵害任何第三方的权利。</w:t>
      </w:r>
    </w:p>
    <w:p>
      <w:pPr>
        <w:pStyle w:val="null3"/>
        <w:ind w:firstLine="420"/>
        <w:jc w:val="both"/>
      </w:pPr>
      <w:r>
        <w:rPr>
          <w:sz w:val="21"/>
        </w:rPr>
        <w:t>4.保密要求:服务供应商应对项目接触的党政机关保密信息，包括但不限于审判秘密、文件资料、决策部署、内部管理及其他相关信息，负有保密义务。</w:t>
      </w:r>
    </w:p>
    <w:p>
      <w:pPr>
        <w:pStyle w:val="null3"/>
        <w:ind w:firstLine="420"/>
        <w:jc w:val="both"/>
      </w:pPr>
      <w:r>
        <w:rPr>
          <w:sz w:val="21"/>
        </w:rPr>
        <w:t>5.考核要求:采购人将根据项目实际情况制定服务考核办法，对服务供应商的失职情况进行惩罚。采购人有权根据成交供应商累计失职次数扣减运维费用；情节严重的，采购人有权终止合同。</w:t>
      </w:r>
    </w:p>
    <w:p>
      <w:pPr>
        <w:pStyle w:val="null3"/>
        <w:ind w:firstLine="420"/>
        <w:jc w:val="both"/>
      </w:pPr>
      <w:r>
        <w:rPr/>
        <w:t>采购包1（广东高院新媒体运维服务项目）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自合同签订生效之日起一年，具体时间以合同约定为准</w:t>
            </w:r>
          </w:p>
        </w:tc>
      </w:tr>
      <w:tr>
        <w:tc>
          <w:tcPr>
            <w:tcW w:type="dxa" w:w="4153"/>
          </w:tcPr>
          <w:p>
            <w:pPr>
              <w:pStyle w:val="null3"/>
            </w:pPr>
            <w:r>
              <w:rPr/>
              <w:t>标的提供的地点</w:t>
            </w:r>
          </w:p>
        </w:tc>
        <w:tc>
          <w:tcPr>
            <w:tcW w:type="dxa" w:w="4153"/>
          </w:tcPr>
          <w:p>
            <w:pPr>
              <w:pStyle w:val="null3"/>
            </w:pPr>
            <w:r>
              <w:rPr/>
              <w:t>广东省高级人民法院（采购人指定地点）</w:t>
            </w:r>
          </w:p>
        </w:tc>
      </w:tr>
      <w:tr>
        <w:tc>
          <w:tcPr>
            <w:tcW w:type="dxa" w:w="4153"/>
          </w:tcPr>
          <w:p>
            <w:pPr>
              <w:pStyle w:val="null3"/>
            </w:pPr>
            <w:r>
              <w:rPr/>
              <w:t>付款方式</w:t>
            </w:r>
          </w:p>
        </w:tc>
        <w:tc>
          <w:tcPr>
            <w:tcW w:type="dxa" w:w="4153"/>
          </w:tcPr>
          <w:p>
            <w:pPr>
              <w:pStyle w:val="null3"/>
            </w:pPr>
            <w:r>
              <w:rPr/>
              <w:t>1期：支付比例50%,合同签订后，采购人在收到中标供应商开具的等额国家正式发票和书面支付申请5个工作日内，向中标供应商支付合同总金额的50%。</w:t>
            </w:r>
          </w:p>
          <w:p>
            <w:pPr>
              <w:pStyle w:val="null3"/>
            </w:pPr>
            <w:r>
              <w:rPr/>
              <w:t>2期：支付比例40%,合同履行三个月后，采购人根据中标供应商提供的指标完成情况材料进行审核，根据指标完成情况，在采购人在收到中标供应商开具的等额国家正式发票和书面支付申请后30个工作日内，向中标供应商支付合同总金额的40%。</w:t>
            </w:r>
          </w:p>
          <w:p>
            <w:pPr>
              <w:pStyle w:val="null3"/>
            </w:pPr>
            <w:r>
              <w:rPr/>
              <w:t>3期：支付比例10%,合作期结束后，采购人根据中标供应商提供的指标完成情况材料进行审核，根据指标完成情况，在采购人在收到中标供应商开具的等额国家正式发票和书面支付申请后30个工作日内，向中标供应商支付合同总金额的10%。 付款方式：采用支票、银行汇付（含电汇）等形式。本合同的付款时间为采购人向政府采购支付部门提出支付申请的时间（不含政府财政部门审查时间）。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按照广东省高级人民法院项目验收的有关规定执行。项目验收的具体组织工作由项目采购人承担，项目验收应符合广东省高级人民法院相关验收管理办法的要求，同时应遵循下列标准：1.实现合同和根据招标文件所编写的投标文件中列举的全部内容。2.服务成果符合项目要求，并将服务过程的中间产物全部移交广东省高级人民法院，经过考核并按考核管理的内容完成奖惩工作，根据用户反馈评价结果进行评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广东高院新媒体运维服务项目，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1,270,000.00</w:t>
            </w:r>
          </w:p>
        </w:tc>
        <w:tc>
          <w:tcPr>
            <w:tcW w:type="dxa" w:w="933"/>
          </w:tcPr>
          <w:p>
            <w:pPr>
              <w:pStyle w:val="null3"/>
              <w:jc w:val="right"/>
            </w:pPr>
            <w:r>
              <w:rPr/>
              <w:t>1,270,000.00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广东高院新媒体运维服务项目，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广东省高级人民法院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高院新媒体运维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采购包1（广东高院新媒体运维服务项目）：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采购包1（广东高院新媒体运维服务项目）：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tc>
      </w:tr>
    </w:tbl>
    <w:p>
      <w:pPr>
        <w:pStyle w:val="null3"/>
        <w:ind w:firstLine="480"/>
      </w:pPr>
      <w:r>
        <w:rPr/>
        <w:t>表二符合性审查表：</w:t>
      </w:r>
    </w:p>
    <w:p>
      <w:pPr>
        <w:pStyle w:val="null3"/>
      </w:pPr>
      <w:r>
        <w:rPr/>
        <w:t>采购包1（广东高院新媒体运维服务项目）：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采购包1(广东高院新媒体运维服务项目):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服务需求响应 (8.0分)</w:t>
            </w:r>
          </w:p>
        </w:tc>
        <w:tc>
          <w:tcPr>
            <w:tcW w:type="dxa" w:w="5076"/>
          </w:tcPr>
          <w:p>
            <w:pPr>
              <w:pStyle w:val="null3"/>
              <w:jc w:val="left"/>
            </w:pPr>
            <w:r>
              <w:rPr/>
              <w:t>评审投标人对采购需求书服务内容及要求（包括网站运营、新媒体运维、主题策划及推广、矩阵建设、培训指导、宣传推广、运维报告、安全监管）的响应程度：完全满足或优于采购需求，得8分；每有一项不完全满足采购需求扣1分，该项分值扣完为止。</w:t>
            </w:r>
          </w:p>
        </w:tc>
      </w:tr>
      <w:tr>
        <w:tc>
          <w:tcPr>
            <w:tcW w:type="dxa" w:w="922"/>
            <w:gridSpan w:val="2"/>
            <w:vMerge/>
          </w:tcPr>
          <w:p/>
        </w:tc>
        <w:tc>
          <w:tcPr>
            <w:tcW w:type="dxa" w:w="2307"/>
          </w:tcPr>
          <w:p>
            <w:pPr>
              <w:pStyle w:val="null3"/>
              <w:jc w:val="left"/>
            </w:pPr>
            <w:r>
              <w:rPr/>
              <w:t>对项目需求的理解程度 (10.0分)</w:t>
            </w:r>
          </w:p>
        </w:tc>
        <w:tc>
          <w:tcPr>
            <w:tcW w:type="dxa" w:w="5076"/>
          </w:tcPr>
          <w:p>
            <w:pPr>
              <w:pStyle w:val="null3"/>
              <w:jc w:val="left"/>
            </w:pPr>
            <w:r>
              <w:rPr/>
              <w:t>根据投标人对项目需求的理解程度进行评审（包括但不限于：①结合有关政策，提出项目运维思路和原则；②有对本项目重难点进行分析；③提供解决方案等）： （1）方案完全满足并优于采购需求，得10分； （2）方案完全满足采购需求，得6分； （3）方案不能完全满足采购需求，得2分； （4）未提供的，得0分。</w:t>
            </w:r>
          </w:p>
        </w:tc>
      </w:tr>
      <w:tr>
        <w:tc>
          <w:tcPr>
            <w:tcW w:type="dxa" w:w="922"/>
            <w:gridSpan w:val="2"/>
            <w:vMerge/>
          </w:tcPr>
          <w:p/>
        </w:tc>
        <w:tc>
          <w:tcPr>
            <w:tcW w:type="dxa" w:w="2307"/>
          </w:tcPr>
          <w:p>
            <w:pPr>
              <w:pStyle w:val="null3"/>
              <w:jc w:val="left"/>
            </w:pPr>
            <w:r>
              <w:rPr/>
              <w:t>详细设计方案全面性、科学性、可行性 (15.0分)</w:t>
            </w:r>
          </w:p>
        </w:tc>
        <w:tc>
          <w:tcPr>
            <w:tcW w:type="dxa" w:w="5076"/>
          </w:tcPr>
          <w:p>
            <w:pPr>
              <w:pStyle w:val="null3"/>
              <w:jc w:val="left"/>
            </w:pPr>
            <w:r>
              <w:rPr/>
              <w:t>根据投标人对本项目网站运维服务、新媒体运维服务、主题策划及推广、矩阵建设、培训指导、宣传推广、运营报告、安全监管等思路及方案进行评审： （1）方案完全满足并优于采购需求，得15分； （2）方案完全满足采购需求，得10分； （3）方案不能完全满足采购需求，得5分； （4）未提供的，得0分。</w:t>
            </w:r>
          </w:p>
        </w:tc>
      </w:tr>
      <w:tr>
        <w:tc>
          <w:tcPr>
            <w:tcW w:type="dxa" w:w="922"/>
            <w:gridSpan w:val="2"/>
            <w:vMerge/>
          </w:tcPr>
          <w:p/>
        </w:tc>
        <w:tc>
          <w:tcPr>
            <w:tcW w:type="dxa" w:w="2307"/>
          </w:tcPr>
          <w:p>
            <w:pPr>
              <w:pStyle w:val="null3"/>
              <w:jc w:val="left"/>
            </w:pPr>
            <w:r>
              <w:rPr/>
              <w:t>项目实施及管理方案 (9.0分)</w:t>
            </w:r>
          </w:p>
        </w:tc>
        <w:tc>
          <w:tcPr>
            <w:tcW w:type="dxa" w:w="5076"/>
          </w:tcPr>
          <w:p>
            <w:pPr>
              <w:pStyle w:val="null3"/>
              <w:jc w:val="left"/>
            </w:pPr>
            <w:r>
              <w:rPr/>
              <w:t>根据投标人对本项目实施及管理方案进行评审（包括但不限于：①项目人员配备方案；②项目运维机制方案等）： （1）方案完全满足并优于采购需求，得9分； （2）方案完全满足采购需求，得6分； （3）方案不能完全满足采购需求，得3分； （4）未提供的，得0分。</w:t>
            </w:r>
          </w:p>
        </w:tc>
      </w:tr>
      <w:tr>
        <w:tc>
          <w:tcPr>
            <w:tcW w:type="dxa" w:w="922"/>
            <w:gridSpan w:val="2"/>
            <w:vMerge/>
          </w:tcPr>
          <w:p/>
        </w:tc>
        <w:tc>
          <w:tcPr>
            <w:tcW w:type="dxa" w:w="2307"/>
          </w:tcPr>
          <w:p>
            <w:pPr>
              <w:pStyle w:val="null3"/>
              <w:jc w:val="left"/>
            </w:pPr>
            <w:r>
              <w:rPr/>
              <w:t>服务支撑能力 (8.0分)</w:t>
            </w:r>
          </w:p>
        </w:tc>
        <w:tc>
          <w:tcPr>
            <w:tcW w:type="dxa" w:w="5076"/>
          </w:tcPr>
          <w:p>
            <w:pPr>
              <w:pStyle w:val="null3"/>
              <w:jc w:val="left"/>
            </w:pPr>
            <w:r>
              <w:rPr/>
              <w:t>根据投标人综合服务支撑能力进行评审（包括但不限于①服务能力便捷程度；②响应速度等）： （1）方案完全满足并优于采购需求，得8分； （2）方案完全满足采购需求，得5分； （3）方案不能完全满足采购需求，得2分； （4）未提供的，得0分。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投标人有关管理体系认证 (4.0分)</w:t>
            </w:r>
          </w:p>
        </w:tc>
        <w:tc>
          <w:tcPr>
            <w:tcW w:type="dxa" w:w="5076"/>
          </w:tcPr>
          <w:p>
            <w:pPr>
              <w:pStyle w:val="null3"/>
              <w:jc w:val="left"/>
            </w:pPr>
            <w:r>
              <w:rPr/>
              <w:t>投标人具有有效的质量管理体系认证证书的，得4分，满分4分。 注：需提供复印件，并须同时提供在全国认证认可信息公共服务平台（www.cnca.cn）对体系证书的信息查询截图作为评审依据，已暂停、失效或撤销的不得分。新设立企业成立时间不足相关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支撑能力1 (4.0分)</w:t>
            </w:r>
          </w:p>
        </w:tc>
        <w:tc>
          <w:tcPr>
            <w:tcW w:type="dxa" w:w="5076"/>
          </w:tcPr>
          <w:p>
            <w:pPr>
              <w:pStyle w:val="null3"/>
              <w:jc w:val="left"/>
            </w:pPr>
            <w:r>
              <w:rPr/>
              <w:t>投标人具有政府信息公开类、网站及新媒体运维管理类或其他与本项目采购内容相关的软件著作权。每拥有1个软件著作权登记证书得1分，最高得4分。 注：需提供相关软著（若著作权人非投标人自有，则须额外提供购买合同或租赁合同或合作开发协议复印件，不提供不得分）复印件并加盖公章，无或其他不得分。</w:t>
            </w:r>
          </w:p>
        </w:tc>
      </w:tr>
      <w:tr>
        <w:tc>
          <w:tcPr>
            <w:tcW w:type="dxa" w:w="922"/>
            <w:gridSpan w:val="2"/>
            <w:vMerge/>
          </w:tcPr>
          <w:p/>
        </w:tc>
        <w:tc>
          <w:tcPr>
            <w:tcW w:type="dxa" w:w="2307"/>
          </w:tcPr>
          <w:p>
            <w:pPr>
              <w:pStyle w:val="null3"/>
              <w:jc w:val="left"/>
            </w:pPr>
            <w:r>
              <w:rPr/>
              <w:t>支撑能力2 (2.0分)</w:t>
            </w:r>
          </w:p>
        </w:tc>
        <w:tc>
          <w:tcPr>
            <w:tcW w:type="dxa" w:w="5076"/>
          </w:tcPr>
          <w:p>
            <w:pPr>
              <w:pStyle w:val="null3"/>
              <w:jc w:val="left"/>
            </w:pPr>
            <w:r>
              <w:rPr/>
              <w:t>投标人承诺具备以下能力（实时全渠道内容监控、违规内容自动过滤与预警、数据复盘与报表分析、导向性校准等）的，得2分。 提供承诺函，格式自拟。不提供不得分。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投标人2023年1月1日至今（以合同签订时间为准），具有同类网站运维、新媒体运维、 主题策划及推广、矩阵建设内容运维或其他与本项目采购内容相关的经验（至少包含上述其中一类），每提供一个业绩得2分，本项满分6分。 注：需提供合同复印件加盖公章，不提供不得分。</w:t>
            </w:r>
          </w:p>
        </w:tc>
      </w:tr>
      <w:tr>
        <w:tc>
          <w:tcPr>
            <w:tcW w:type="dxa" w:w="922"/>
            <w:gridSpan w:val="2"/>
            <w:vMerge/>
          </w:tcPr>
          <w:p/>
        </w:tc>
        <w:tc>
          <w:tcPr>
            <w:tcW w:type="dxa" w:w="2307"/>
          </w:tcPr>
          <w:p>
            <w:pPr>
              <w:pStyle w:val="null3"/>
              <w:jc w:val="left"/>
            </w:pPr>
            <w:r>
              <w:rPr/>
              <w:t>拟派项目负责人（仅限1人）情况 (5.0分)</w:t>
            </w:r>
          </w:p>
        </w:tc>
        <w:tc>
          <w:tcPr>
            <w:tcW w:type="dxa" w:w="5076"/>
          </w:tcPr>
          <w:p>
            <w:pPr>
              <w:pStyle w:val="null3"/>
              <w:jc w:val="left"/>
            </w:pPr>
            <w:r>
              <w:rPr/>
              <w:t>投标人拟派本项目的项目负责人： （1）具有5年或以上新媒体运维管理工作经验，得2分； （2）具有编辑（或新闻相关专业）中级或以上职称，得3分； 本项满分5分。 注：需提供上述证书复印件和本项目投标截止之日前6个月任意1个月的社保证明复印件，不提供不得分。</w:t>
            </w:r>
          </w:p>
        </w:tc>
      </w:tr>
      <w:tr>
        <w:tc>
          <w:tcPr>
            <w:tcW w:type="dxa" w:w="922"/>
            <w:gridSpan w:val="2"/>
            <w:vMerge/>
          </w:tcPr>
          <w:p/>
        </w:tc>
        <w:tc>
          <w:tcPr>
            <w:tcW w:type="dxa" w:w="2307"/>
          </w:tcPr>
          <w:p>
            <w:pPr>
              <w:pStyle w:val="null3"/>
              <w:jc w:val="left"/>
            </w:pPr>
            <w:r>
              <w:rPr/>
              <w:t>拟派驻场团队及后方团队情况 (9.0分)</w:t>
            </w:r>
          </w:p>
        </w:tc>
        <w:tc>
          <w:tcPr>
            <w:tcW w:type="dxa" w:w="5076"/>
          </w:tcPr>
          <w:p>
            <w:pPr>
              <w:pStyle w:val="null3"/>
              <w:jc w:val="left"/>
            </w:pPr>
            <w:r>
              <w:rPr/>
              <w:t>1.具有编辑（或新闻相关专业）中级或以上职称，每提供1个得2分，最高得6分； 2.具有3年或者以上政务编辑工作经验，每提供1人得1分，最高得2分； 3.具有3年或者以上网页、新媒体设计经验，每提供1人得1分，最高得1分。 注：以上三项不含项目负责人，不可重复得分（即需提供6人或以上），需要提供上述人员的工作履历表或其他相关经验证明材料、证书复印件，及本项目投标截止之日前6个月任意1个月的社保证明复印件，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w:t>
      </w:r>
      <w:r>
        <w:rPr>
          <w:sz w:val="24"/>
          <w:b/>
        </w:rPr>
        <w:t>方和</w:t>
      </w:r>
      <w:r>
        <w:rPr>
          <w:sz w:val="24"/>
          <w:b/>
        </w:rPr>
        <w:t>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1.在合同实施及服务人员到达服务地后__天内，甲方应将第一次付　　款总服务费的__(-%</w:t>
      </w:r>
      <w:r>
        <w:rPr>
          <w:sz w:val="24"/>
        </w:rPr>
        <w:t>)支</w:t>
      </w:r>
      <w:r>
        <w:rPr>
          <w:sz w:val="24"/>
        </w:rPr>
        <w:t>付给乙方。</w:t>
      </w:r>
    </w:p>
    <w:p>
      <w:pPr>
        <w:pStyle w:val="null3"/>
        <w:jc w:val="left"/>
      </w:pPr>
      <w:r>
        <w:rPr>
          <w:sz w:val="24"/>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rPr>
        <w:t>3.最后一次付款额应为总服务费的__(-%)，甲方应在乙方递交了服务总结报告和说明并完全履行合同完毕_________日内付给乙方。</w:t>
      </w:r>
    </w:p>
    <w:p>
      <w:pPr>
        <w:pStyle w:val="null3"/>
        <w:jc w:val="left"/>
      </w:pPr>
      <w:r>
        <w:rPr>
          <w:sz w:val="24"/>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rPr>
        <w:t>六、知识产权归属</w:t>
      </w:r>
    </w:p>
    <w:p>
      <w:pPr>
        <w:pStyle w:val="null3"/>
        <w:jc w:val="left"/>
      </w:pPr>
      <w:r>
        <w:rPr>
          <w:sz w:val="24"/>
          <w:b/>
        </w:rPr>
        <w:t>七、保密</w:t>
      </w:r>
    </w:p>
    <w:p>
      <w:pPr>
        <w:pStyle w:val="null3"/>
        <w:jc w:val="left"/>
      </w:pPr>
      <w:r>
        <w:rPr>
          <w:sz w:val="24"/>
          <w:b/>
        </w:rPr>
        <w:t>八、</w:t>
      </w:r>
      <w:r>
        <w:rPr>
          <w:sz w:val="24"/>
          <w:b/>
        </w:rPr>
        <w:t>验收</w:t>
      </w:r>
    </w:p>
    <w:p>
      <w:pPr>
        <w:pStyle w:val="null3"/>
        <w:jc w:val="left"/>
      </w:pPr>
      <w:r>
        <w:rPr>
          <w:sz w:val="24"/>
          <w:b/>
        </w:rPr>
        <w:t>九、</w:t>
      </w:r>
      <w:r>
        <w:rPr>
          <w:sz w:val="24"/>
          <w:b/>
        </w:rPr>
        <w:t>违约责任与赔偿损失</w:t>
      </w:r>
    </w:p>
    <w:p>
      <w:pPr>
        <w:pStyle w:val="null3"/>
        <w:jc w:val="left"/>
      </w:pPr>
      <w:r>
        <w:rPr>
          <w:sz w:val="24"/>
        </w:rPr>
        <w:t>1.乙方提供的服务不符合本合同规定的，甲方有权拒收，并且乙方须向甲</w:t>
      </w:r>
      <w:r>
        <w:rPr>
          <w:sz w:val="24"/>
        </w:rPr>
        <w:t>方</w:t>
      </w:r>
      <w:r>
        <w:rPr>
          <w:sz w:val="24"/>
        </w:rPr>
        <w:t>支付本合同总价</w:t>
      </w:r>
      <w:r>
        <w:rPr>
          <w:sz w:val="24"/>
        </w:rPr>
        <w:t>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w:t>
      </w:r>
      <w:r>
        <w:rPr>
          <w:sz w:val="24"/>
        </w:rPr>
        <w:t>拒绝接受</w:t>
      </w:r>
      <w:r>
        <w:rPr>
          <w:sz w:val="24"/>
        </w:rPr>
        <w:t>服务，到期拒付服务款项的，甲方向乙方偿付本合同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w:t>
      </w:r>
      <w:r>
        <w:rPr>
          <w:sz w:val="24"/>
        </w:rPr>
        <w:t>其他</w:t>
      </w:r>
      <w:r>
        <w:rPr>
          <w:sz w:val="24"/>
        </w:rPr>
        <w:t>违约责任按《中华人民共和国民法典</w:t>
      </w:r>
      <w:r>
        <w:rPr>
          <w:sz w:val="24"/>
        </w:rPr>
        <w:t>(合同编)》处理。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w:t>
      </w:r>
      <w:r>
        <w:rPr>
          <w:sz w:val="24"/>
          <w:b/>
        </w:rPr>
        <w:t>一</w:t>
      </w:r>
      <w:r>
        <w:rPr>
          <w:sz w:val="24"/>
          <w:b/>
        </w:rPr>
        <w:t>、不可抗力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二</w:t>
      </w:r>
      <w:r>
        <w:rPr>
          <w:sz w:val="24"/>
          <w:b/>
        </w:rPr>
        <w:t>、税费</w:t>
      </w:r>
    </w:p>
    <w:p>
      <w:pPr>
        <w:pStyle w:val="null3"/>
        <w:jc w:val="left"/>
      </w:pPr>
      <w:r>
        <w:rPr>
          <w:sz w:val="24"/>
        </w:rPr>
        <w:t>　　在中国境内、外发生的与本合同执行有关的一切税费均由乙方负担。</w:t>
      </w:r>
    </w:p>
    <w:p>
      <w:pPr>
        <w:pStyle w:val="null3"/>
        <w:jc w:val="left"/>
      </w:pPr>
      <w:r>
        <w:rPr>
          <w:sz w:val="24"/>
          <w:b/>
        </w:rPr>
        <w:t>十</w:t>
      </w:r>
      <w:r>
        <w:rPr>
          <w:sz w:val="24"/>
          <w:b/>
        </w:rPr>
        <w:t>三</w:t>
      </w:r>
      <w:r>
        <w:rPr>
          <w:sz w:val="24"/>
          <w:b/>
        </w:rPr>
        <w:t>、</w:t>
      </w:r>
      <w:r>
        <w:rPr>
          <w:sz w:val="24"/>
          <w:b/>
        </w:rPr>
        <w:t>其他</w:t>
      </w:r>
    </w:p>
    <w:p>
      <w:pPr>
        <w:pStyle w:val="null3"/>
        <w:jc w:val="left"/>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w:t>
      </w:r>
      <w:r>
        <w:rPr>
          <w:sz w:val="24"/>
          <w:b/>
        </w:rPr>
        <w:t>四</w:t>
      </w:r>
      <w:r>
        <w:rPr>
          <w:sz w:val="24"/>
          <w:b/>
        </w:rPr>
        <w:t>、合同生效</w:t>
      </w:r>
    </w:p>
    <w:p>
      <w:pPr>
        <w:pStyle w:val="null3"/>
        <w:jc w:val="left"/>
      </w:pPr>
      <w:r>
        <w:rPr>
          <w:sz w:val="24"/>
        </w:rPr>
        <w:t>1.本合同在甲乙双方</w:t>
      </w:r>
      <w:r>
        <w:rPr>
          <w:sz w:val="24"/>
        </w:rPr>
        <w:t>法定代表人</w:t>
      </w:r>
      <w:r>
        <w:rPr>
          <w:sz w:val="24"/>
        </w:rPr>
        <w:t>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w:t>
      </w:r>
      <w:r>
        <w:rPr>
          <w:sz w:val="24"/>
        </w:rPr>
        <w:t>账号</w:t>
      </w:r>
      <w:r>
        <w:rPr>
          <w:sz w:val="24"/>
        </w:rPr>
        <w:t>：</w:t>
      </w:r>
    </w:p>
    <w:p>
      <w:pPr>
        <w:pStyle w:val="null3"/>
        <w:jc w:val="left"/>
      </w:pPr>
      <w:r>
        <w:rPr>
          <w:sz w:val="24"/>
        </w:rPr>
        <w:t>开</w:t>
      </w:r>
      <w:r>
        <w:rPr>
          <w:sz w:val="24"/>
        </w:rPr>
        <w:t>户</w:t>
      </w:r>
      <w:r>
        <w:rPr>
          <w:sz w:val="24"/>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440001-2026-22290</w:t>
      </w:r>
    </w:p>
    <w:p>
      <w:pPr>
        <w:pStyle w:val="null3"/>
        <w:jc w:val="center"/>
        <w:outlineLvl w:val="3"/>
      </w:pPr>
      <w:r>
        <w:rPr>
          <w:sz w:val="24"/>
          <w:b/>
        </w:rPr>
        <w:t>采购项目编号：</w:t>
      </w:r>
      <w:r>
        <w:rPr>
          <w:sz w:val="24"/>
          <w:b/>
        </w:rPr>
        <w:t>0877-26GZTP5ZC0348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广东高院新媒体运维服务项目</w:t>
      </w:r>
      <w:r>
        <w:rPr>
          <w:u w:val="single"/>
        </w:rPr>
        <w:t>”</w:t>
      </w:r>
      <w:r>
        <w:rPr/>
        <w:t>项目的招标[采购项目编号为：</w:t>
      </w:r>
      <w:r>
        <w:rPr>
          <w:u w:val="single"/>
        </w:rPr>
        <w:t>0877-26GZTP5ZC0348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广东高院新媒体运维服务项目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广东高院新媒体运维服务项目</w:t>
      </w:r>
      <w:r>
        <w:rPr/>
        <w:t>”项目采购[采购项目编号为</w:t>
      </w:r>
      <w:r>
        <w:rPr/>
        <w:t>0877-26GZTP5ZC0348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广东省高级人民法院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广东高院新媒体运维服务项目</w:t>
      </w:r>
      <w:r>
        <w:rPr/>
        <w:t>招标中获中标（采购项目编号：</w:t>
      </w:r>
      <w:r>
        <w:rPr/>
        <w:t>0877-26GZTP5ZC0348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广东高院新媒体运维服务项目</w:t>
      </w:r>
      <w:r>
        <w:rPr/>
        <w:t>”项目（采购项目编号：</w:t>
      </w:r>
      <w:r>
        <w:rPr/>
        <w:t>0877-26GZTP5ZC0348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