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440114-2026-03060</w:t>
      </w:r>
    </w:p>
    <w:p>
      <w:pPr>
        <w:pStyle w:val="null3"/>
        <w:jc w:val="center"/>
        <w:outlineLvl w:val="3"/>
      </w:pPr>
      <w:r>
        <w:rPr>
          <w:sz w:val="24"/>
          <w:b/>
        </w:rPr>
        <w:t>采购项目编号：</w:t>
      </w:r>
      <w:r>
        <w:rPr>
          <w:sz w:val="24"/>
          <w:b/>
        </w:rPr>
        <w:t>0877-26GZTP1ZC0437</w:t>
      </w:r>
    </w:p>
    <w:p>
      <w:pPr>
        <w:pStyle w:val="null3"/>
        <w:jc w:val="center"/>
        <w:outlineLvl w:val="3"/>
      </w:pPr>
      <w:r>
        <w:rPr>
          <w:sz w:val="24"/>
          <w:b/>
        </w:rPr>
        <w:t>项目名称：</w:t>
      </w:r>
      <w:r>
        <w:rPr>
          <w:sz w:val="24"/>
          <w:b/>
        </w:rPr>
        <w:t>花山镇红色美丽村庄红四师广场及红色文化中心配套服务项目</w:t>
      </w:r>
    </w:p>
    <w:p>
      <w:pPr>
        <w:pStyle w:val="null3"/>
        <w:jc w:val="center"/>
        <w:outlineLvl w:val="3"/>
      </w:pPr>
      <w:r>
        <w:rPr>
          <w:sz w:val="24"/>
          <w:b/>
        </w:rPr>
        <w:t>采购人：</w:t>
      </w:r>
      <w:r>
        <w:rPr>
          <w:sz w:val="24"/>
          <w:b/>
        </w:rPr>
        <w:t>广州市花都区花山镇人民政府</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广东广招国际招标有限公司</w:t>
      </w:r>
      <w:r>
        <w:rPr/>
        <w:t>受</w:t>
      </w:r>
      <w:r>
        <w:rPr/>
        <w:t>广州市花都区花山镇人民政府</w:t>
      </w:r>
      <w:r>
        <w:rPr/>
        <w:t>的委托，采用</w:t>
      </w:r>
      <w:r>
        <w:rPr/>
        <w:t>竞争性磋商</w:t>
      </w:r>
      <w:r>
        <w:rPr/>
        <w:t>方式组织采购</w:t>
      </w:r>
      <w:r>
        <w:rPr/>
        <w:t>花山镇红色美丽村庄红四师广场及红色文化中心配套服务项目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花山镇红色美丽村庄红四师广场及红色文化中心配套服务项目</w:t>
      </w:r>
    </w:p>
    <w:p>
      <w:pPr>
        <w:pStyle w:val="null3"/>
        <w:ind w:firstLine="480"/>
      </w:pPr>
      <w:r>
        <w:rPr/>
        <w:t>采购计划编号：</w:t>
      </w:r>
      <w:r>
        <w:rPr/>
        <w:t>440114-2026-03060</w:t>
      </w:r>
    </w:p>
    <w:p>
      <w:pPr>
        <w:pStyle w:val="null3"/>
        <w:ind w:firstLine="480"/>
      </w:pPr>
      <w:r>
        <w:rPr/>
        <w:t>采购项目编号：</w:t>
      </w:r>
      <w:r>
        <w:rPr/>
        <w:t>0877-26GZTP1ZC0437</w:t>
      </w:r>
    </w:p>
    <w:p>
      <w:pPr>
        <w:pStyle w:val="null3"/>
        <w:ind w:firstLine="480"/>
      </w:pPr>
      <w:r>
        <w:rPr/>
        <w:t>采购方式：</w:t>
      </w:r>
      <w:r>
        <w:rPr/>
        <w:t>竞争性磋商</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采购包1(花山镇红色美丽村庄红四师广场及红色文化中心配套服务项目):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其他展览服务</w:t>
            </w:r>
          </w:p>
        </w:tc>
        <w:tc>
          <w:tcPr>
            <w:tcW w:type="dxa" w:w="2052"/>
          </w:tcPr>
          <w:p>
            <w:pPr>
              <w:pStyle w:val="null3"/>
            </w:pPr>
            <w:r>
              <w:rPr/>
              <w:t>花山镇红色美丽村庄红四师广场及红色文化中心配套服务项目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合同分包：允许合同分包</w:t>
      </w:r>
    </w:p>
    <w:p>
      <w:pPr>
        <w:pStyle w:val="null3"/>
      </w:pPr>
      <w:r>
        <w:rPr/>
        <w:t>合同履行期限：自采购人通知供应商进场之日起 5 个月内完成项目所有内容。</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还须提供分支机构的营业执照（执业许可证）扫描件及总公司（总所）出具给分支机构的授权书。</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采购包1（花山镇红色美丽村庄红四师广场及红色文化中心配套服务项目）：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采购包1（花山镇红色美丽村庄红四师广场及红色文化中心配套服务项目）：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广州市花都区花山镇人民政府</w:t>
      </w:r>
    </w:p>
    <w:p>
      <w:pPr>
        <w:pStyle w:val="null3"/>
        <w:ind w:firstLine="480"/>
      </w:pPr>
      <w:r>
        <w:rPr/>
        <w:t>地址：</w:t>
      </w:r>
      <w:r>
        <w:rPr/>
        <w:t>广州市花都区花山镇花山大道1号</w:t>
      </w:r>
    </w:p>
    <w:p>
      <w:pPr>
        <w:pStyle w:val="null3"/>
        <w:ind w:firstLine="480"/>
      </w:pPr>
      <w:r>
        <w:rPr/>
        <w:t>联系方式：</w:t>
      </w:r>
      <w:r>
        <w:rPr/>
        <w:t>13533646636</w:t>
      </w:r>
    </w:p>
    <w:p>
      <w:pPr>
        <w:pStyle w:val="null3"/>
        <w:outlineLvl w:val="3"/>
      </w:pPr>
      <w:r>
        <w:rPr>
          <w:sz w:val="24"/>
          <w:b/>
        </w:rPr>
        <w:t>2.采购代理机构信息</w:t>
      </w:r>
    </w:p>
    <w:p>
      <w:pPr>
        <w:pStyle w:val="null3"/>
        <w:ind w:firstLine="480"/>
      </w:pPr>
      <w:r>
        <w:rPr/>
        <w:t>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020-38931902-809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其它展览服务</w:t>
      </w:r>
    </w:p>
    <w:p>
      <w:pPr>
        <w:pStyle w:val="null3"/>
        <w:jc w:val="both"/>
      </w:pPr>
      <w:r>
        <w:rPr>
          <w:sz w:val="21"/>
        </w:rPr>
        <w:t>本项目对应的中小企业划分标准所属行业为：</w:t>
      </w:r>
      <w:r>
        <w:rPr>
          <w:sz w:val="21"/>
        </w:rPr>
        <w:t xml:space="preserve">其他未列明行业       </w:t>
      </w:r>
    </w:p>
    <w:p>
      <w:pPr>
        <w:pStyle w:val="null3"/>
        <w:jc w:val="both"/>
      </w:pPr>
      <w:r>
        <w:rPr>
          <w:sz w:val="21"/>
        </w:rPr>
        <w:t>打“★”号条款为实质性条款，若有任何一条负偏离或不满足则导致投标无效。</w:t>
      </w:r>
      <w:r>
        <w:br/>
      </w:r>
      <w:r>
        <w:rPr>
          <w:sz w:val="21"/>
        </w:rPr>
        <w:t>打“▲”号条款为重要技术参数，若有部分“▲”条款未响应或不满足，将导致其响应性评审加重扣分，但不作为无效投标条款。</w:t>
      </w:r>
    </w:p>
    <w:p>
      <w:pPr>
        <w:pStyle w:val="null3"/>
        <w:ind w:firstLine="480"/>
        <w:jc w:val="both"/>
      </w:pPr>
      <w:r>
        <w:rPr>
          <w:sz w:val="21"/>
          <w:b/>
        </w:rPr>
        <w:t>1、项目名称：</w:t>
      </w:r>
      <w:r>
        <w:rPr>
          <w:sz w:val="21"/>
        </w:rPr>
        <w:t>花山镇红色美丽村庄红四师广场及红色文化中心配套服务项目</w:t>
      </w:r>
    </w:p>
    <w:p>
      <w:pPr>
        <w:pStyle w:val="null3"/>
        <w:jc w:val="both"/>
      </w:pPr>
      <w:r>
        <w:rPr>
          <w:sz w:val="21"/>
          <w:b/>
        </w:rPr>
        <w:t>2、项目地点：</w:t>
      </w:r>
      <w:r>
        <w:rPr>
          <w:sz w:val="21"/>
        </w:rPr>
        <w:t>广州市</w:t>
      </w:r>
      <w:r>
        <w:rPr>
          <w:sz w:val="21"/>
        </w:rPr>
        <w:t>花都区花山镇花城村</w:t>
      </w:r>
    </w:p>
    <w:p>
      <w:pPr>
        <w:pStyle w:val="null3"/>
        <w:jc w:val="both"/>
      </w:pPr>
      <w:r>
        <w:rPr>
          <w:sz w:val="21"/>
          <w:b/>
        </w:rPr>
        <w:t>3、服务项目背景：</w:t>
      </w:r>
      <w:r>
        <w:rPr>
          <w:sz w:val="21"/>
        </w:rPr>
        <w:t>为深入贯彻落实关于用好红色资源、传承红色基因、赓续红色血脉的重要指示精神，因地制宜开展红色美丽村庄建设，根据省委组织部、省财政厅转发《中共中央组织部 财政部关于继续开展推动红色村组织振兴建设红色美丽村庄试点工作的通知》（粤组通〔2025〕22号）有关要求，结合</w:t>
      </w:r>
      <w:r>
        <w:rPr>
          <w:sz w:val="21"/>
        </w:rPr>
        <w:t>花都区花山镇花城村</w:t>
      </w:r>
      <w:r>
        <w:rPr>
          <w:sz w:val="21"/>
        </w:rPr>
        <w:t>实际，本项目</w:t>
      </w:r>
      <w:r>
        <w:rPr>
          <w:sz w:val="21"/>
        </w:rPr>
        <w:t>依托</w:t>
      </w:r>
      <w:r>
        <w:rPr>
          <w:sz w:val="21"/>
        </w:rPr>
        <w:t>花城村</w:t>
      </w:r>
      <w:r>
        <w:rPr>
          <w:sz w:val="21"/>
        </w:rPr>
        <w:t>红色资源</w:t>
      </w:r>
      <w:r>
        <w:rPr>
          <w:sz w:val="21"/>
        </w:rPr>
        <w:t>，</w:t>
      </w:r>
      <w:r>
        <w:rPr>
          <w:sz w:val="21"/>
        </w:rPr>
        <w:t>围绕</w:t>
      </w:r>
      <w:r>
        <w:rPr>
          <w:sz w:val="21"/>
        </w:rPr>
        <w:t>“</w:t>
      </w:r>
      <w:r>
        <w:rPr>
          <w:sz w:val="21"/>
        </w:rPr>
        <w:t>两地三中心</w:t>
      </w:r>
      <w:r>
        <w:rPr>
          <w:sz w:val="21"/>
        </w:rPr>
        <w:t>”红色矩阵</w:t>
      </w:r>
      <w:r>
        <w:rPr>
          <w:sz w:val="21"/>
        </w:rPr>
        <w:t>，</w:t>
      </w:r>
      <w:r>
        <w:rPr>
          <w:sz w:val="21"/>
        </w:rPr>
        <w:t>打造建设红四师广场及红色文化中心配套项目</w:t>
      </w:r>
      <w:r>
        <w:rPr>
          <w:sz w:val="21"/>
        </w:rPr>
        <w:t>，系统展示红四师光辉历程、花县农运成果与花县党领导革命斗争史，将宝贵的红色资源转化为可感知、可参与、可传承的生动教材</w:t>
      </w:r>
      <w:r>
        <w:rPr>
          <w:sz w:val="21"/>
        </w:rPr>
        <w:t>，为建设红色美丽村庄提供坚强保证</w:t>
      </w:r>
      <w:r>
        <w:rPr>
          <w:sz w:val="21"/>
        </w:rPr>
        <w:t>，</w:t>
      </w:r>
      <w:r>
        <w:rPr>
          <w:sz w:val="21"/>
        </w:rPr>
        <w:t>高标准推动</w:t>
      </w:r>
      <w:r>
        <w:rPr>
          <w:sz w:val="21"/>
        </w:rPr>
        <w:t>新一轮组织振兴建设红色美丽村庄试点工作</w:t>
      </w:r>
      <w:r>
        <w:rPr>
          <w:sz w:val="21"/>
        </w:rPr>
        <w:t>。</w:t>
      </w:r>
    </w:p>
    <w:p>
      <w:pPr>
        <w:pStyle w:val="null3"/>
        <w:jc w:val="both"/>
      </w:pPr>
      <w:r>
        <w:rPr>
          <w:sz w:val="21"/>
          <w:b/>
        </w:rPr>
        <w:t>4、项目建设目标:</w:t>
      </w:r>
      <w:r>
        <w:rPr>
          <w:sz w:val="21"/>
        </w:rPr>
        <w:t>紧密结合“百县千镇万村高质量发展工程”典型村和“岭南绿美第一村”建设，锚定“红绿融合、幸福花城村”建设目标，依托花城村资源禀赋，深入挖掘弘扬红四师整编组建、花县第一个中共支部、花县农民协会等红色革命历史精神，讲好党的故事、革命的故事，团结带领广大党员群众传承红色基因、弘扬革命传统、投身村庄建设，示范推进乡村全面振兴，努力把花城村建设成具有党建引领力、群众凝聚力、发展推动力的红色战斗堡垒和幸福宜居高地。</w:t>
      </w:r>
    </w:p>
    <w:p>
      <w:pPr>
        <w:pStyle w:val="null3"/>
      </w:pPr>
      <w:r>
        <w:rPr>
          <w:sz w:val="21"/>
          <w:b/>
        </w:rPr>
        <w:t>5、建设标准：</w:t>
      </w:r>
      <w:r>
        <w:rPr>
          <w:sz w:val="21"/>
        </w:rPr>
        <w:t>按党群活动、</w:t>
      </w:r>
      <w:r>
        <w:rPr>
          <w:sz w:val="21"/>
        </w:rPr>
        <w:t>党史学习教育、</w:t>
      </w:r>
      <w:r>
        <w:rPr>
          <w:sz w:val="21"/>
        </w:rPr>
        <w:t>文化展示功能定位</w:t>
      </w:r>
      <w:r>
        <w:rPr>
          <w:sz w:val="21"/>
        </w:rPr>
        <w:t>、</w:t>
      </w:r>
      <w:r>
        <w:rPr>
          <w:sz w:val="21"/>
        </w:rPr>
        <w:t>红色文化教育等。</w:t>
      </w:r>
    </w:p>
    <w:p>
      <w:pPr>
        <w:pStyle w:val="null3"/>
      </w:pPr>
      <w:r>
        <w:rPr/>
        <w:t>采购包1（花山镇红色美丽村庄红四师广场及红色文化中心配套服务项目）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自采购人通知供应商进场之日起5个月内完成项目所有内容。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1期：支付比例70%,从合同签订之日起，成交供应商提供的设计方案在得到采购人确认后的5个工作日内，采购人支付成交供应商合同总价的70%，作为项目首款。</w:t>
            </w:r>
          </w:p>
          <w:p>
            <w:pPr>
              <w:pStyle w:val="null3"/>
            </w:pPr>
            <w:r>
              <w:rPr/>
              <w:t>2期：支付比例30%,项目完工经采购人验收后10个工作日内，采购人支付成交供应商合同总价的30%。 （1）成交供应商凭以下有效文件与采购人结算： 1)合同； 2)成交供应商开具的正式发票； 3)验收报告（加盖采购人公章）； 4)成交通知书。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和成交供应商双方共同组织相关人员，根据成交供应商响应承诺进行验收。（1）依据项目进程，项目阶段内容完成后成交供应商将向采购人提请阶段验收通知，采购人应在收到验收通知后的3个工作日内组织双方人员进行验收。验收完成后双方签署验收报告。 （2）验收报告在双方项目负责人签字确认后生效，并视为采购人已确认该验收报告所对应的项目实施阶段验收完毕。 （3）成交供应商完成整体验收3个工作日内，采购人提出修改意见。如在提交成果的3个工作日内，成交供应商没有接到采购人书面（并加盖公章）的反馈意见，自当验收通过，自验收之日起，采购人需进行阶段性款项的支付。 （4）验收标准： 1)办展应按照国家、省、市现行的相关质量评定标准和施工验收规范、规程进行施工和验收。 2)设备货物到场后，采购人对产品包装、明细、数量及随附资料进行核对，如无异议，须书面通知成交供应商代表初步验收合格，成交供应商可进行后续安装和调试。由成交供应商负责将货物的所有部件、配件安装、配置、调试完毕，待全部货物正常运行一周，则整体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 一、质保期： （1）质量保证期（简称“质保期”）为1年，质保期内成交供应商对所供货物实行包修、包换、包退、包维护保养。 （2）质保期内，如因成交供应商原因造成的质量问题，所有硬件设备的维修均为免费。 （3）质保期满后，实行有偿服务，维护费双方可另行商定。售后服务由成交供应商负责，维护条款如下： 1)电话网络咨询及相关疑难解答。 2)服务范围仅限软件系统及硬件产品。 3)系统软硬件如有故障，优先采用电话、网上维护等方式进行处理，确有需要视紧急程度可协商派技术人员在双方约定时间内到达现场处理。 4)对纯因系统软件所产生的问题，成交供应商提供远程或现场故障排除与技术服务；若因采购人操作或制度变更所产生的问题，或需要修改源程序的，将视情况进行收取一定的人工成本费。 （4）质保期内硬件免费维护。对因人为损坏或不可抗力因素需更换的配件和超过免费保修期的硬件，收取一定人工及材料成本费用。 （5）技术服务和指导内容：成交供应商提供的货物在货物安装完毕后，由成交供应商免费负责对采购人人员进行产品的使用及日常保养维护培训。 二、 项目所需设备的包装、保险及发运、保管要求： （1）设备材料的包装必须是制造商原厂包装，其包装均应有良好的防湿、防锈、防潮、防雨、防腐及防碰撞的措施。凡由于包装不良造成的损失和由此产生的费用均由成交供应商承担。 （2）成交供应商负责将设备材料货到现场过程中的全部运输，包括装卸车、货物现场的搬运。 （3）各种设备必须提供装箱清单，按装箱清单验收货物。 （4）货物在现场的保管由成交供应商负责，直至项目安装、验收完毕。 （5）货物在系统安装调试验收合格前的保险由成交供应商负责，成交供应商负责其派出的现场服务人员人身意外保险。 （6）设备至采购人指定的使用现场的包装、保险及发运等环节和费用均由成交供应商负责。 项目所需设备的安装、调试： （1）成交供应商必须依照磋商文件的要求和响应文件的承诺，将设备、系统安装并调试至正常运行的最佳状态。 （2）货物若有国家标准按照国家标准验收，若无国家标准按行业标准验收，为原制造商制造的全新产品，整机无污染，无侵权行为、表面无划损、无任何缺陷隐患，在中国境内可依常规安全合法使用。 （3）货物为原厂商(制造商)未启封全新包装，具出厂合格证，序列号、包装箱号与出厂批号一致，并可追索查阅。所有随设备的附件必须齐全。 （4）成交供应商应将关键主机设备的用户手册、保修手册、有关单证资料及配备件、随机工具等交付给采购人，使用操作及安全须知等重要资料应附有中文说明。 （5）成交供应商在安装时，应做好安装场地范围内的安全、防火、保卫、文明施工及环境卫生工作，及时清理废弃物,确保施工现场清洁、道路畅通。成交供应商承诺加强做好安装安全工作，需对安装现场进行防护保护工作，做足安全防护措施，杜绝安全事故的发生；如因成交供应商方原因发生安全事故，造成人员伤亡及财产损失的，成交供应商承偌承担由此造成的损失和责任与采购人无关。 （6）成交供应商在安装相关设备时必须派出具有相关设备安装资格的技术人员进行安装，并具有一定的安装经验，凡由于安装不良造成的损失和由此产生的费用均由成交供应商承担。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其他展览服务</w:t>
            </w:r>
          </w:p>
        </w:tc>
        <w:tc>
          <w:tcPr>
            <w:tcW w:type="dxa" w:w="933"/>
          </w:tcPr>
          <w:p>
            <w:pPr>
              <w:pStyle w:val="null3"/>
              <w:jc w:val="left"/>
            </w:pPr>
            <w:r>
              <w:rPr/>
              <w:t>花山镇红色美丽村庄红四师广场及红色文化中心配套服务项目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花山镇红色美丽村庄红四师广场及红色文化中心配套服务项目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一、项目内容：</w:t>
            </w:r>
          </w:p>
          <w:p>
            <w:pPr>
              <w:pStyle w:val="null3"/>
              <w:jc w:val="both"/>
            </w:pPr>
            <w:r>
              <w:rPr>
                <w:sz w:val="21"/>
                <w:color w:val="000000"/>
              </w:rPr>
              <w:t>1</w:t>
            </w:r>
            <w:r>
              <w:rPr>
                <w:sz w:val="21"/>
                <w:color w:val="000000"/>
              </w:rPr>
              <w:t>.</w:t>
            </w:r>
            <w:r>
              <w:rPr>
                <w:sz w:val="21"/>
                <w:color w:val="000000"/>
              </w:rPr>
              <w:t>本次</w:t>
            </w:r>
            <w:r>
              <w:rPr>
                <w:sz w:val="21"/>
                <w:color w:val="000000"/>
              </w:rPr>
              <w:t>采购</w:t>
            </w:r>
            <w:r>
              <w:rPr>
                <w:sz w:val="21"/>
                <w:color w:val="000000"/>
              </w:rPr>
              <w:t>为：</w:t>
            </w:r>
            <w:r>
              <w:rPr>
                <w:sz w:val="21"/>
                <w:color w:val="000000"/>
              </w:rPr>
              <w:t>花山镇红色美丽村庄红四师广场及红色文化中心配套服务项目</w:t>
            </w:r>
            <w:r>
              <w:rPr>
                <w:sz w:val="21"/>
                <w:color w:val="000000"/>
              </w:rPr>
              <w:t>。</w:t>
            </w:r>
          </w:p>
          <w:p>
            <w:pPr>
              <w:pStyle w:val="null3"/>
              <w:jc w:val="both"/>
            </w:pPr>
            <w:r>
              <w:rPr>
                <w:sz w:val="21"/>
                <w:color w:val="000000"/>
              </w:rPr>
              <w:t>2</w:t>
            </w:r>
            <w:r>
              <w:rPr>
                <w:sz w:val="21"/>
                <w:color w:val="000000"/>
              </w:rPr>
              <w:t>.</w:t>
            </w:r>
            <w:r>
              <w:rPr>
                <w:sz w:val="21"/>
                <w:color w:val="000000"/>
              </w:rPr>
              <w:t>服务</w:t>
            </w:r>
            <w:r>
              <w:rPr>
                <w:sz w:val="21"/>
                <w:color w:val="000000"/>
              </w:rPr>
              <w:t>范围</w:t>
            </w:r>
            <w:r>
              <w:rPr>
                <w:sz w:val="21"/>
                <w:color w:val="000000"/>
              </w:rPr>
              <w:t>：</w:t>
            </w:r>
            <w:r>
              <w:rPr>
                <w:sz w:val="21"/>
                <w:color w:val="000000"/>
              </w:rPr>
              <w:t>花山镇花城村</w:t>
            </w:r>
            <w:r>
              <w:rPr>
                <w:sz w:val="21"/>
                <w:color w:val="000000"/>
              </w:rPr>
              <w:t>，</w:t>
            </w:r>
            <w:r>
              <w:rPr>
                <w:sz w:val="21"/>
                <w:color w:val="000000"/>
              </w:rPr>
              <w:t>面积约</w:t>
            </w:r>
            <w:r>
              <w:rPr>
                <w:sz w:val="21"/>
                <w:color w:val="000000"/>
              </w:rPr>
              <w:t>14.9</w:t>
            </w:r>
            <w:r>
              <w:rPr>
                <w:sz w:val="21"/>
                <w:color w:val="000000"/>
              </w:rPr>
              <w:t>平方公里</w:t>
            </w:r>
            <w:r>
              <w:rPr>
                <w:sz w:val="21"/>
                <w:color w:val="000000"/>
              </w:rPr>
              <w:t>。</w:t>
            </w:r>
          </w:p>
          <w:p>
            <w:pPr>
              <w:pStyle w:val="null3"/>
              <w:jc w:val="both"/>
            </w:pPr>
            <w:r>
              <w:rPr>
                <w:sz w:val="21"/>
                <w:color w:val="000000"/>
              </w:rPr>
              <w:t>3</w:t>
            </w:r>
            <w:r>
              <w:rPr>
                <w:sz w:val="21"/>
                <w:color w:val="000000"/>
              </w:rPr>
              <w:t>.</w:t>
            </w:r>
            <w:r>
              <w:rPr>
                <w:sz w:val="21"/>
                <w:color w:val="000000"/>
              </w:rPr>
              <w:t>项目内容：</w:t>
            </w:r>
          </w:p>
          <w:tbl>
            <w:tblPr>
              <w:tblInd w:type="dxa" w:w="315"/>
              <w:tblBorders>
                <w:top w:val="none" w:color="000000" w:sz="4"/>
                <w:left w:val="none" w:color="000000" w:sz="4"/>
                <w:bottom w:val="none" w:color="000000" w:sz="4"/>
                <w:right w:val="none" w:color="000000" w:sz="4"/>
                <w:insideH w:val="none"/>
                <w:insideV w:val="none"/>
              </w:tblBorders>
            </w:tblPr>
            <w:tblGrid>
              <w:gridCol w:w="1267"/>
              <w:gridCol w:w="3331"/>
              <w:gridCol w:w="1001"/>
            </w:tblGrid>
            <w:tr>
              <w:tc>
                <w:tcPr>
                  <w:tcW w:type="dxa" w:w="1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3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分项名称</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r>
            <w:tr>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围绕试点建设要求，开展花城村红色历史资料的深度挖掘、梳理与可视化设计</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围绕试点建设要求，综合运用图文展板、声光电、多媒体互动，打造沉浸式剧场空间，建设红色文化中心</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围绕试点建设要求，对室外空间进行规划整理，设置重大历史事件的文化墙、主题雕塑等设施，营造红色文化氛围，建议文化广场</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围绕试点建设要求，完善片区活动空间、公共服务配套建设</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bl>
          <w:p>
            <w:pPr>
              <w:pStyle w:val="null3"/>
              <w:jc w:val="both"/>
            </w:pPr>
            <w:r>
              <w:rPr>
                <w:sz w:val="21"/>
                <w:color w:val="000000"/>
              </w:rPr>
              <w:t>4</w:t>
            </w:r>
            <w:r>
              <w:rPr>
                <w:sz w:val="21"/>
                <w:color w:val="000000"/>
              </w:rPr>
              <w:t>.</w:t>
            </w:r>
            <w:r>
              <w:rPr>
                <w:sz w:val="21"/>
                <w:color w:val="000000"/>
              </w:rPr>
              <w:t>完成期：自采购人通知供应商进场之日起</w:t>
            </w:r>
            <w:r>
              <w:rPr>
                <w:sz w:val="21"/>
                <w:color w:val="000000"/>
              </w:rPr>
              <w:t>5</w:t>
            </w:r>
            <w:r>
              <w:rPr>
                <w:sz w:val="21"/>
                <w:color w:val="000000"/>
              </w:rPr>
              <w:t>个月内完成项目所有内容。</w:t>
            </w:r>
          </w:p>
          <w:p>
            <w:pPr>
              <w:pStyle w:val="null3"/>
              <w:jc w:val="both"/>
            </w:pPr>
            <w:r>
              <w:rPr>
                <w:sz w:val="21"/>
                <w:color w:val="000000"/>
              </w:rPr>
              <w:t>5</w:t>
            </w:r>
            <w:r>
              <w:rPr>
                <w:sz w:val="21"/>
                <w:color w:val="000000"/>
              </w:rPr>
              <w:t>.</w:t>
            </w:r>
            <w:r>
              <w:rPr>
                <w:sz w:val="21"/>
                <w:color w:val="000000"/>
              </w:rPr>
              <w:t>质量标准：合格。</w:t>
            </w:r>
          </w:p>
          <w:p>
            <w:pPr>
              <w:pStyle w:val="null3"/>
              <w:jc w:val="both"/>
            </w:pPr>
            <w:r>
              <w:rPr>
                <w:sz w:val="21"/>
                <w:color w:val="000000"/>
              </w:rPr>
              <w:t>二、总体要求：</w:t>
            </w:r>
          </w:p>
          <w:p>
            <w:pPr>
              <w:pStyle w:val="null3"/>
              <w:jc w:val="both"/>
            </w:pPr>
            <w:r>
              <w:rPr>
                <w:sz w:val="21"/>
                <w:color w:val="000000"/>
              </w:rPr>
              <w:t>（一）项目总体要求</w:t>
            </w:r>
          </w:p>
          <w:p>
            <w:pPr>
              <w:pStyle w:val="null3"/>
              <w:jc w:val="both"/>
            </w:pPr>
            <w:r>
              <w:rPr>
                <w:sz w:val="21"/>
                <w:color w:val="000000"/>
              </w:rPr>
              <w:t>依托花城村资源禀赋，深入挖掘弘扬红四师整编组建、花县第一个中共支部、花县农民协会等红色革命历史精神，讲好党的故事、革命的故事，团结带领广大党员群众传承红色基因、弘扬革命传统、投身村庄建设，示范推进乡村全面振兴，努力把花城村建设成具有党建引领力、群众凝聚力、发展推动力的红色战斗堡垒和幸福宜居高地。</w:t>
            </w:r>
          </w:p>
          <w:p>
            <w:pPr>
              <w:pStyle w:val="null3"/>
              <w:jc w:val="both"/>
            </w:pPr>
            <w:r>
              <w:rPr>
                <w:sz w:val="21"/>
                <w:color w:val="000000"/>
              </w:rPr>
              <w:t>知识产权的归属：本服务项目的所有成果内容涉及的知识产权均归采购人所有，成交供应商享有相应的署名权。</w:t>
            </w:r>
          </w:p>
          <w:p>
            <w:pPr>
              <w:pStyle w:val="null3"/>
              <w:jc w:val="both"/>
            </w:pPr>
            <w:r>
              <w:rPr>
                <w:sz w:val="21"/>
                <w:color w:val="000000"/>
              </w:rPr>
              <w:t>（二）项目实施规划</w:t>
            </w:r>
          </w:p>
          <w:p>
            <w:pPr>
              <w:pStyle w:val="null3"/>
              <w:jc w:val="both"/>
            </w:pPr>
            <w:r>
              <w:rPr>
                <w:sz w:val="21"/>
                <w:color w:val="000000"/>
              </w:rPr>
              <w:t>1)</w:t>
            </w:r>
            <w:r>
              <w:rPr>
                <w:sz w:val="21"/>
                <w:color w:val="000000"/>
              </w:rPr>
              <w:t>对项目展开深入系统的方案规划与设计</w:t>
            </w:r>
          </w:p>
          <w:p>
            <w:pPr>
              <w:pStyle w:val="null3"/>
              <w:jc w:val="both"/>
            </w:pPr>
            <w:r>
              <w:rPr>
                <w:sz w:val="21"/>
                <w:color w:val="000000"/>
              </w:rPr>
              <w:t>1.</w:t>
            </w:r>
            <w:r>
              <w:rPr>
                <w:sz w:val="21"/>
                <w:color w:val="000000"/>
              </w:rPr>
              <w:t>根据要求制定实施规划方案；</w:t>
            </w:r>
          </w:p>
          <w:p>
            <w:pPr>
              <w:pStyle w:val="null3"/>
              <w:jc w:val="both"/>
            </w:pPr>
            <w:r>
              <w:rPr>
                <w:sz w:val="21"/>
                <w:color w:val="000000"/>
              </w:rPr>
              <w:t>2.</w:t>
            </w:r>
            <w:r>
              <w:rPr>
                <w:sz w:val="21"/>
                <w:color w:val="000000"/>
              </w:rPr>
              <w:t>开展红色历史文化内涵深化挖掘、编排设计，并以适当形式进行展演示。</w:t>
            </w:r>
          </w:p>
          <w:p>
            <w:pPr>
              <w:pStyle w:val="null3"/>
              <w:jc w:val="both"/>
            </w:pPr>
            <w:r>
              <w:rPr>
                <w:sz w:val="21"/>
                <w:color w:val="000000"/>
              </w:rPr>
              <w:t>2)</w:t>
            </w:r>
            <w:r>
              <w:rPr>
                <w:sz w:val="21"/>
                <w:color w:val="000000"/>
              </w:rPr>
              <w:t>打造红色文化中心</w:t>
            </w:r>
          </w:p>
          <w:p>
            <w:pPr>
              <w:pStyle w:val="null3"/>
              <w:jc w:val="both"/>
            </w:pPr>
            <w:r>
              <w:rPr>
                <w:sz w:val="21"/>
                <w:color w:val="000000"/>
              </w:rPr>
              <w:t>1.</w:t>
            </w:r>
            <w:r>
              <w:rPr>
                <w:sz w:val="21"/>
                <w:color w:val="000000"/>
              </w:rPr>
              <w:t>综合运用图文展板，在特定区域展示花城村历史农运、党建等红色文化内容。</w:t>
            </w:r>
          </w:p>
          <w:p>
            <w:pPr>
              <w:pStyle w:val="null3"/>
              <w:jc w:val="both"/>
            </w:pPr>
            <w:r>
              <w:rPr>
                <w:sz w:val="21"/>
                <w:color w:val="000000"/>
              </w:rPr>
              <w:t>2.</w:t>
            </w:r>
            <w:r>
              <w:rPr>
                <w:sz w:val="21"/>
                <w:color w:val="000000"/>
              </w:rPr>
              <w:t>综合运用信息技术，结合声光电多媒体中控系统、打造沉浸式互动剧场空间。</w:t>
            </w:r>
          </w:p>
          <w:p>
            <w:pPr>
              <w:pStyle w:val="null3"/>
              <w:jc w:val="both"/>
            </w:pPr>
            <w:r>
              <w:rPr>
                <w:sz w:val="21"/>
                <w:color w:val="000000"/>
              </w:rPr>
              <w:t>。</w:t>
            </w:r>
          </w:p>
          <w:p>
            <w:pPr>
              <w:pStyle w:val="null3"/>
              <w:jc w:val="both"/>
            </w:pPr>
            <w:r>
              <w:rPr>
                <w:sz w:val="21"/>
                <w:color w:val="000000"/>
              </w:rPr>
              <w:t>3)</w:t>
            </w:r>
            <w:r>
              <w:rPr>
                <w:sz w:val="21"/>
                <w:color w:val="000000"/>
              </w:rPr>
              <w:t>打造红四师广场及相关配套</w:t>
            </w:r>
          </w:p>
          <w:p>
            <w:pPr>
              <w:pStyle w:val="null3"/>
              <w:jc w:val="both"/>
            </w:pPr>
            <w:r>
              <w:rPr>
                <w:sz w:val="21"/>
                <w:color w:val="000000"/>
              </w:rPr>
              <w:t>1.</w:t>
            </w:r>
            <w:r>
              <w:rPr>
                <w:sz w:val="21"/>
                <w:color w:val="000000"/>
              </w:rPr>
              <w:t>对花城小学内广场进行规划整理，设置重大历史事件的文化墙、主题雕塑等设施。</w:t>
            </w:r>
          </w:p>
          <w:p>
            <w:pPr>
              <w:pStyle w:val="null3"/>
              <w:jc w:val="both"/>
            </w:pPr>
            <w:r>
              <w:rPr>
                <w:sz w:val="21"/>
                <w:color w:val="000000"/>
              </w:rPr>
              <w:t>2.</w:t>
            </w:r>
            <w:r>
              <w:rPr>
                <w:sz w:val="21"/>
                <w:color w:val="000000"/>
              </w:rPr>
              <w:t>完善活动空间和公共服务配套建设。</w:t>
            </w:r>
          </w:p>
          <w:p>
            <w:pPr>
              <w:pStyle w:val="null3"/>
              <w:jc w:val="both"/>
            </w:pPr>
            <w:r>
              <w:rPr>
                <w:sz w:val="21"/>
                <w:color w:val="000000"/>
              </w:rPr>
              <w:t>（三）项目实施要求</w:t>
            </w:r>
          </w:p>
          <w:p>
            <w:pPr>
              <w:pStyle w:val="null3"/>
              <w:jc w:val="both"/>
            </w:pPr>
            <w:r>
              <w:rPr>
                <w:sz w:val="21"/>
                <w:color w:val="000000"/>
              </w:rPr>
              <w:t>1.</w:t>
            </w:r>
            <w:r>
              <w:rPr>
                <w:sz w:val="21"/>
                <w:color w:val="000000"/>
              </w:rPr>
              <w:t>在项目实施过程中，必须服从采购人及相关部门的监督、管理和指挥；</w:t>
            </w:r>
          </w:p>
          <w:p>
            <w:pPr>
              <w:pStyle w:val="null3"/>
              <w:jc w:val="both"/>
            </w:pPr>
            <w:r>
              <w:rPr>
                <w:sz w:val="21"/>
                <w:color w:val="000000"/>
              </w:rPr>
              <w:t>2.</w:t>
            </w:r>
            <w:r>
              <w:rPr>
                <w:sz w:val="21"/>
                <w:color w:val="000000"/>
              </w:rPr>
              <w:t>原则上不允许涉及主体和承重的结构改动或增加荷载。</w:t>
            </w:r>
          </w:p>
          <w:p>
            <w:pPr>
              <w:pStyle w:val="null3"/>
              <w:jc w:val="both"/>
            </w:pPr>
            <w:r>
              <w:rPr>
                <w:sz w:val="21"/>
                <w:color w:val="000000"/>
              </w:rPr>
              <w:t>3.</w:t>
            </w:r>
            <w:r>
              <w:rPr>
                <w:sz w:val="21"/>
                <w:color w:val="000000"/>
              </w:rPr>
              <w:t xml:space="preserve">项目实施具体要求  </w:t>
            </w:r>
          </w:p>
          <w:p>
            <w:pPr>
              <w:pStyle w:val="null3"/>
              <w:jc w:val="both"/>
            </w:pPr>
            <w:r>
              <w:rPr>
                <w:sz w:val="21"/>
                <w:color w:val="000000"/>
              </w:rPr>
              <w:t>3.1</w:t>
            </w:r>
            <w:r>
              <w:rPr>
                <w:sz w:val="21"/>
                <w:color w:val="000000"/>
              </w:rPr>
              <w:t>设计方案要求：</w:t>
            </w:r>
          </w:p>
          <w:p>
            <w:pPr>
              <w:pStyle w:val="null3"/>
              <w:jc w:val="both"/>
            </w:pPr>
            <w:r>
              <w:rPr>
                <w:sz w:val="21"/>
                <w:color w:val="000000"/>
              </w:rPr>
              <w:t>3.1.1</w:t>
            </w:r>
            <w:r>
              <w:rPr>
                <w:sz w:val="21"/>
                <w:color w:val="000000"/>
              </w:rPr>
              <w:t xml:space="preserve">必须根据各层功能特征和需求进行合理划分并进行有针对性的设计，必要时可对原建筑空间做适当的优化改良，力求在功能布局、文化空间达到科学的分配；  </w:t>
            </w:r>
          </w:p>
          <w:p>
            <w:pPr>
              <w:pStyle w:val="null3"/>
              <w:jc w:val="both"/>
            </w:pPr>
            <w:r>
              <w:rPr>
                <w:sz w:val="21"/>
                <w:color w:val="000000"/>
              </w:rPr>
              <w:t>3.1.2</w:t>
            </w:r>
            <w:r>
              <w:rPr>
                <w:sz w:val="21"/>
                <w:color w:val="000000"/>
              </w:rPr>
              <w:t>空间设计必须充分考虑物理空间、功能区块、人流分布状况等进行设计，在通风、采光、节能等问题上下功夫，力争功能、形式与内容完美结合；</w:t>
            </w:r>
          </w:p>
          <w:p>
            <w:pPr>
              <w:pStyle w:val="null3"/>
              <w:jc w:val="both"/>
            </w:pPr>
            <w:r>
              <w:rPr>
                <w:sz w:val="21"/>
                <w:color w:val="000000"/>
              </w:rPr>
              <w:t>3.2</w:t>
            </w:r>
            <w:r>
              <w:rPr>
                <w:sz w:val="21"/>
                <w:color w:val="000000"/>
              </w:rPr>
              <w:t>基础展览设施配套定制</w:t>
            </w:r>
          </w:p>
          <w:p>
            <w:pPr>
              <w:pStyle w:val="null3"/>
              <w:jc w:val="both"/>
            </w:pPr>
            <w:r>
              <w:rPr>
                <w:sz w:val="21"/>
                <w:color w:val="000000"/>
              </w:rPr>
              <w:t>3.2.1</w:t>
            </w:r>
            <w:r>
              <w:rPr>
                <w:sz w:val="21"/>
                <w:color w:val="000000"/>
              </w:rPr>
              <w:t>应满足展览的要求，材料的品种、规格、性能应符合国家现行有关标准的规定，一律选用符合防火要求的阻燃和难燃材料，严禁使用国家明令淘汰的材料；</w:t>
            </w:r>
          </w:p>
          <w:p>
            <w:pPr>
              <w:pStyle w:val="null3"/>
              <w:jc w:val="both"/>
            </w:pPr>
            <w:r>
              <w:rPr>
                <w:sz w:val="21"/>
                <w:color w:val="000000"/>
              </w:rPr>
              <w:t>3.2.2</w:t>
            </w:r>
            <w:r>
              <w:rPr>
                <w:sz w:val="21"/>
                <w:color w:val="000000"/>
              </w:rPr>
              <w:t>应确保安全可靠、结构合理、并保证其强度、稳定性和可靠性达到采购人的要求；</w:t>
            </w:r>
          </w:p>
          <w:p>
            <w:pPr>
              <w:pStyle w:val="null3"/>
              <w:jc w:val="both"/>
            </w:pPr>
            <w:r>
              <w:rPr>
                <w:sz w:val="21"/>
                <w:color w:val="000000"/>
              </w:rPr>
              <w:t>3.2.3</w:t>
            </w:r>
            <w:r>
              <w:rPr>
                <w:sz w:val="21"/>
                <w:color w:val="000000"/>
              </w:rPr>
              <w:t>与整体空间、展示主题有机结合。</w:t>
            </w:r>
          </w:p>
          <w:p>
            <w:pPr>
              <w:pStyle w:val="null3"/>
              <w:jc w:val="both"/>
            </w:pPr>
            <w:r>
              <w:rPr>
                <w:sz w:val="21"/>
                <w:color w:val="000000"/>
              </w:rPr>
              <w:t>3.3</w:t>
            </w:r>
            <w:r>
              <w:rPr>
                <w:sz w:val="21"/>
                <w:color w:val="000000"/>
              </w:rPr>
              <w:t>图文版面制作的具体要求</w:t>
            </w:r>
          </w:p>
          <w:p>
            <w:pPr>
              <w:pStyle w:val="null3"/>
              <w:jc w:val="both"/>
            </w:pPr>
            <w:r>
              <w:rPr>
                <w:sz w:val="21"/>
                <w:color w:val="000000"/>
              </w:rPr>
              <w:t>3.3.1</w:t>
            </w:r>
            <w:r>
              <w:rPr>
                <w:sz w:val="21"/>
                <w:color w:val="000000"/>
              </w:rPr>
              <w:t>图文板表面平整，字体、图片清晰，安装方式合理；</w:t>
            </w:r>
          </w:p>
          <w:p>
            <w:pPr>
              <w:pStyle w:val="null3"/>
              <w:jc w:val="both"/>
            </w:pPr>
            <w:r>
              <w:rPr>
                <w:sz w:val="21"/>
                <w:color w:val="000000"/>
              </w:rPr>
              <w:t>3.3.2</w:t>
            </w:r>
            <w:r>
              <w:rPr>
                <w:sz w:val="21"/>
                <w:color w:val="000000"/>
              </w:rPr>
              <w:t>图文板文字、格式正确，科学性定义准确；</w:t>
            </w:r>
          </w:p>
          <w:p>
            <w:pPr>
              <w:pStyle w:val="null3"/>
              <w:jc w:val="both"/>
            </w:pPr>
            <w:r>
              <w:rPr>
                <w:sz w:val="21"/>
                <w:color w:val="000000"/>
              </w:rPr>
              <w:t>3.3.3</w:t>
            </w:r>
            <w:r>
              <w:rPr>
                <w:sz w:val="21"/>
                <w:color w:val="000000"/>
              </w:rPr>
              <w:t>图文板版面大小、色彩符合设计要求，肉眼观看舒适；</w:t>
            </w:r>
          </w:p>
          <w:p>
            <w:pPr>
              <w:pStyle w:val="null3"/>
              <w:jc w:val="both"/>
            </w:pPr>
            <w:r>
              <w:rPr>
                <w:sz w:val="21"/>
                <w:color w:val="000000"/>
              </w:rPr>
              <w:t>3.3.4</w:t>
            </w:r>
            <w:r>
              <w:rPr>
                <w:sz w:val="21"/>
                <w:color w:val="000000"/>
              </w:rPr>
              <w:t>图文版面与展示内容风格统一；</w:t>
            </w:r>
          </w:p>
          <w:p>
            <w:pPr>
              <w:pStyle w:val="null3"/>
              <w:jc w:val="both"/>
            </w:pPr>
            <w:r>
              <w:rPr>
                <w:sz w:val="21"/>
                <w:color w:val="000000"/>
              </w:rPr>
              <w:t>3.3.5</w:t>
            </w:r>
            <w:r>
              <w:rPr>
                <w:sz w:val="21"/>
                <w:color w:val="000000"/>
              </w:rPr>
              <w:t>图文版安装高度必须符合人体工学，适合各身高人士观看。</w:t>
            </w:r>
          </w:p>
          <w:p>
            <w:pPr>
              <w:pStyle w:val="null3"/>
              <w:jc w:val="both"/>
            </w:pPr>
            <w:r>
              <w:rPr>
                <w:sz w:val="21"/>
                <w:color w:val="000000"/>
              </w:rPr>
              <w:t>3.4</w:t>
            </w:r>
            <w:r>
              <w:rPr>
                <w:sz w:val="21"/>
                <w:color w:val="000000"/>
              </w:rPr>
              <w:t>多媒体实施要求</w:t>
            </w:r>
          </w:p>
          <w:p>
            <w:pPr>
              <w:pStyle w:val="null3"/>
              <w:jc w:val="both"/>
            </w:pPr>
            <w:r>
              <w:rPr>
                <w:sz w:val="21"/>
                <w:color w:val="000000"/>
              </w:rPr>
              <w:t>3.4.1</w:t>
            </w:r>
            <w:r>
              <w:rPr>
                <w:sz w:val="21"/>
                <w:color w:val="000000"/>
              </w:rPr>
              <w:t>在展陈布置中能融入多媒体信息技术交互方案。多媒体设备产品，满足使用寿命长，技术成熟及市场保有量多的设备，最低标准必须满足技术参数，采用技术成熟、安全可靠、环保节能的产品；</w:t>
            </w:r>
          </w:p>
          <w:p>
            <w:pPr>
              <w:pStyle w:val="null3"/>
              <w:jc w:val="both"/>
            </w:pPr>
            <w:r>
              <w:rPr>
                <w:sz w:val="21"/>
                <w:color w:val="000000"/>
              </w:rPr>
              <w:t>三、</w:t>
            </w:r>
            <w:r>
              <w:rPr>
                <w:sz w:val="21"/>
                <w:color w:val="000000"/>
              </w:rPr>
              <w:t>★完成期要求：</w:t>
            </w:r>
          </w:p>
          <w:p>
            <w:pPr>
              <w:pStyle w:val="null3"/>
              <w:jc w:val="both"/>
            </w:pPr>
            <w:r>
              <w:rPr>
                <w:sz w:val="21"/>
                <w:color w:val="000000"/>
              </w:rPr>
              <w:t>自采购人通知供应商进场之日起</w:t>
            </w:r>
            <w:r>
              <w:rPr>
                <w:sz w:val="21"/>
                <w:color w:val="000000"/>
              </w:rPr>
              <w:t>5</w:t>
            </w:r>
            <w:r>
              <w:rPr>
                <w:sz w:val="21"/>
                <w:color w:val="000000"/>
              </w:rPr>
              <w:t>个月内完成项目所有内容。</w:t>
            </w:r>
          </w:p>
          <w:p>
            <w:pPr>
              <w:pStyle w:val="null3"/>
              <w:jc w:val="both"/>
            </w:pPr>
            <w:r>
              <w:rPr>
                <w:sz w:val="21"/>
                <w:color w:val="000000"/>
              </w:rPr>
              <w:t>四、违约责任：</w:t>
            </w:r>
          </w:p>
          <w:p>
            <w:pPr>
              <w:pStyle w:val="null3"/>
              <w:jc w:val="both"/>
            </w:pPr>
            <w:r>
              <w:rPr>
                <w:sz w:val="21"/>
                <w:color w:val="000000"/>
              </w:rPr>
              <w:t>（</w:t>
            </w:r>
            <w:r>
              <w:rPr>
                <w:sz w:val="21"/>
                <w:color w:val="000000"/>
              </w:rPr>
              <w:t>1</w:t>
            </w:r>
            <w:r>
              <w:rPr>
                <w:sz w:val="21"/>
                <w:color w:val="000000"/>
              </w:rPr>
              <w:t>）成交供应商交付的货物或提供的服务不符合采购文件、响应文件或本项目合同规定的，采购人有权拒收。</w:t>
            </w:r>
          </w:p>
          <w:p>
            <w:pPr>
              <w:pStyle w:val="null3"/>
              <w:jc w:val="both"/>
            </w:pPr>
            <w:r>
              <w:rPr>
                <w:sz w:val="21"/>
                <w:color w:val="000000"/>
              </w:rPr>
              <w:t>（</w:t>
            </w:r>
            <w:r>
              <w:rPr>
                <w:sz w:val="21"/>
                <w:color w:val="000000"/>
              </w:rPr>
              <w:t>2</w:t>
            </w:r>
            <w:r>
              <w:rPr>
                <w:sz w:val="21"/>
                <w:color w:val="000000"/>
              </w:rPr>
              <w:t>）成交供应商如非因不可抗力或其他等特殊因素未能按本合同约定的时间交付货物或提供服务的，从逾期之日起每日按本合同总价的</w:t>
            </w:r>
            <w:r>
              <w:rPr>
                <w:sz w:val="21"/>
                <w:color w:val="000000"/>
              </w:rPr>
              <w:t>1</w:t>
            </w:r>
            <w:r>
              <w:rPr>
                <w:sz w:val="21"/>
                <w:color w:val="000000"/>
              </w:rPr>
              <w:t>‰的数额向采购人支付违约金；逾期</w:t>
            </w:r>
            <w:r>
              <w:rPr>
                <w:sz w:val="21"/>
                <w:color w:val="000000"/>
              </w:rPr>
              <w:t>1</w:t>
            </w:r>
            <w:r>
              <w:rPr>
                <w:sz w:val="21"/>
                <w:color w:val="000000"/>
              </w:rPr>
              <w:t>个月以上的，采购人有权终止合同，成交供应商承担本合同总价</w:t>
            </w:r>
            <w:r>
              <w:rPr>
                <w:sz w:val="21"/>
                <w:color w:val="000000"/>
              </w:rPr>
              <w:t>3%</w:t>
            </w:r>
            <w:r>
              <w:rPr>
                <w:sz w:val="21"/>
                <w:color w:val="000000"/>
              </w:rPr>
              <w:t>的违约金。违约金不足以弥补采购人损失，成交供应商按照采购人的实际损失承担相应的违约责任。</w:t>
            </w:r>
          </w:p>
          <w:p>
            <w:pPr>
              <w:pStyle w:val="null3"/>
              <w:jc w:val="both"/>
            </w:pPr>
            <w:r>
              <w:rPr>
                <w:sz w:val="21"/>
                <w:color w:val="000000"/>
              </w:rPr>
              <w:t>（</w:t>
            </w:r>
            <w:r>
              <w:rPr>
                <w:sz w:val="21"/>
                <w:color w:val="000000"/>
              </w:rPr>
              <w:t>3</w:t>
            </w:r>
            <w:r>
              <w:rPr>
                <w:sz w:val="21"/>
                <w:color w:val="000000"/>
              </w:rPr>
              <w:t>）其它违约责任按《中华人民共和国民法典》处理。</w:t>
            </w:r>
          </w:p>
          <w:p>
            <w:pPr>
              <w:pStyle w:val="null3"/>
              <w:jc w:val="both"/>
            </w:pPr>
            <w:r>
              <w:rPr>
                <w:sz w:val="21"/>
                <w:color w:val="000000"/>
              </w:rPr>
              <w:t>五、响应费用及方案调整：</w:t>
            </w:r>
          </w:p>
          <w:p>
            <w:pPr>
              <w:pStyle w:val="null3"/>
              <w:jc w:val="both"/>
            </w:pPr>
            <w:r>
              <w:rPr>
                <w:sz w:val="21"/>
                <w:color w:val="000000"/>
              </w:rPr>
              <w:t>（</w:t>
            </w:r>
            <w:r>
              <w:rPr>
                <w:sz w:val="21"/>
                <w:color w:val="000000"/>
              </w:rPr>
              <w:t>1</w:t>
            </w:r>
            <w:r>
              <w:rPr>
                <w:sz w:val="21"/>
                <w:color w:val="000000"/>
              </w:rPr>
              <w:t>）不论磋商结果如何，供应商应承担其编制响应文件与递交响应文件所涉及的一切费用，招标代理机构及采购人将不负责供应商参与响应所发生的任何成本或费用。</w:t>
            </w:r>
          </w:p>
          <w:p>
            <w:pPr>
              <w:pStyle w:val="null3"/>
              <w:jc w:val="both"/>
            </w:pPr>
            <w:r>
              <w:rPr>
                <w:sz w:val="21"/>
                <w:color w:val="000000"/>
              </w:rPr>
              <w:t>（</w:t>
            </w:r>
            <w:r>
              <w:rPr>
                <w:sz w:val="21"/>
                <w:color w:val="000000"/>
              </w:rPr>
              <w:t>2</w:t>
            </w:r>
            <w:r>
              <w:rPr>
                <w:sz w:val="21"/>
                <w:color w:val="000000"/>
              </w:rPr>
              <w:t>）采购人有权对成交供应商的设计方案的部分内容进行调整，成交供应商应积极配合。经与成交供应商协商后，因调整设计方案所增加或减少费用的，以双方另签补充协议的约定为准。</w:t>
            </w:r>
          </w:p>
          <w:p>
            <w:pPr>
              <w:pStyle w:val="null3"/>
              <w:jc w:val="both"/>
            </w:pPr>
            <w:r>
              <w:rPr>
                <w:sz w:val="21"/>
                <w:color w:val="000000"/>
              </w:rPr>
              <w:t>六、技术及其他要求：</w:t>
            </w:r>
          </w:p>
          <w:p>
            <w:pPr>
              <w:pStyle w:val="null3"/>
              <w:jc w:val="both"/>
            </w:pPr>
            <w:r>
              <w:rPr>
                <w:sz w:val="21"/>
                <w:color w:val="000000"/>
              </w:rPr>
              <w:t xml:space="preserve">    </w:t>
            </w:r>
            <w:r>
              <w:rPr>
                <w:sz w:val="21"/>
                <w:color w:val="000000"/>
              </w:rPr>
              <w:t>成交供应商应向采购人提供以下中文技术资料：</w:t>
            </w:r>
          </w:p>
          <w:p>
            <w:pPr>
              <w:pStyle w:val="null3"/>
              <w:jc w:val="both"/>
            </w:pPr>
            <w:r>
              <w:rPr>
                <w:sz w:val="21"/>
                <w:color w:val="000000"/>
              </w:rPr>
              <w:t>（</w:t>
            </w:r>
            <w:r>
              <w:rPr>
                <w:sz w:val="21"/>
                <w:color w:val="000000"/>
              </w:rPr>
              <w:t>1</w:t>
            </w:r>
            <w:r>
              <w:rPr>
                <w:sz w:val="21"/>
                <w:color w:val="000000"/>
              </w:rPr>
              <w:t>）项目所需设备的技术说明书（含电气原理图及其符号说明）；</w:t>
            </w:r>
          </w:p>
          <w:p>
            <w:pPr>
              <w:pStyle w:val="null3"/>
              <w:jc w:val="both"/>
            </w:pPr>
            <w:r>
              <w:rPr>
                <w:sz w:val="21"/>
                <w:color w:val="000000"/>
              </w:rPr>
              <w:t>（</w:t>
            </w:r>
            <w:r>
              <w:rPr>
                <w:sz w:val="21"/>
                <w:color w:val="000000"/>
              </w:rPr>
              <w:t>2</w:t>
            </w:r>
            <w:r>
              <w:rPr>
                <w:sz w:val="21"/>
                <w:color w:val="000000"/>
              </w:rPr>
              <w:t>）项目所需设备的安装图纸（部件安装图，电气接线图）；</w:t>
            </w:r>
          </w:p>
          <w:p>
            <w:pPr>
              <w:pStyle w:val="null3"/>
              <w:jc w:val="both"/>
            </w:pPr>
            <w:r>
              <w:rPr>
                <w:sz w:val="21"/>
                <w:color w:val="000000"/>
              </w:rPr>
              <w:t>（</w:t>
            </w:r>
            <w:r>
              <w:rPr>
                <w:sz w:val="21"/>
                <w:color w:val="000000"/>
              </w:rPr>
              <w:t>3</w:t>
            </w:r>
            <w:r>
              <w:rPr>
                <w:sz w:val="21"/>
                <w:color w:val="000000"/>
              </w:rPr>
              <w:t>）项目所需设备的安装、调试、使用保养维修手册（或说明书）；</w:t>
            </w:r>
          </w:p>
          <w:p>
            <w:pPr>
              <w:pStyle w:val="null3"/>
              <w:jc w:val="both"/>
            </w:pPr>
            <w:r>
              <w:rPr>
                <w:sz w:val="21"/>
                <w:color w:val="000000"/>
              </w:rPr>
              <w:t>（</w:t>
            </w:r>
            <w:r>
              <w:rPr>
                <w:sz w:val="21"/>
                <w:color w:val="000000"/>
              </w:rPr>
              <w:t>4</w:t>
            </w:r>
            <w:r>
              <w:rPr>
                <w:sz w:val="21"/>
                <w:color w:val="000000"/>
              </w:rPr>
              <w:t>）项目所需设备的产品技术标准（含验收标准）和试验方法，产品原产地出厂合格证；</w:t>
            </w:r>
          </w:p>
          <w:p>
            <w:pPr>
              <w:pStyle w:val="null3"/>
            </w:pPr>
            <w:r>
              <w:rPr>
                <w:sz w:val="21"/>
                <w:color w:val="000000"/>
              </w:rPr>
              <w:t>（</w:t>
            </w:r>
            <w:r>
              <w:rPr>
                <w:sz w:val="21"/>
                <w:color w:val="000000"/>
              </w:rPr>
              <w:t>5</w:t>
            </w:r>
            <w:r>
              <w:rPr>
                <w:sz w:val="21"/>
                <w:color w:val="000000"/>
              </w:rPr>
              <w:t>）提供布展设计的效果图、实施清单各一套。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广州市花都区花山镇人民政府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广东广招国际招标有限公司网站（http://www.gztpc.com）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广东广招国际招标有限公司网站（http://www.gztpc.com）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花山镇红色美丽村庄红四师广场及红色文化中心配套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广东广招国际招标有限公司</w:t>
      </w:r>
      <w:r>
        <w:rPr/>
        <w:t>统一对外发布。</w:t>
      </w:r>
    </w:p>
    <w:p>
      <w:pPr>
        <w:pStyle w:val="null3"/>
        <w:ind w:firstLine="480"/>
      </w:pPr>
      <w:r>
        <w:rPr/>
        <w:t>（2）对</w:t>
      </w:r>
      <w:r>
        <w:rPr/>
        <w:t>广东广招国际招标有限公司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采购包1（花山镇红色美丽村庄红四师广场及红色文化中心配套服务项目）：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采购包1（花山镇红色美丽村庄红四师广场及红色文化中心配套服务项目）：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采购包1（花山镇红色美丽村庄红四师广场及红色文化中心配套服务项目）：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响应文件没有采购文件中规定的其他无效投标条款的；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采购包1(花山镇红色美丽村庄红四师广场及红色文化中心配套服务项目):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技术部分67.0分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实施规划1 (3.0分)</w:t>
            </w:r>
          </w:p>
        </w:tc>
        <w:tc>
          <w:tcPr>
            <w:tcW w:type="dxa" w:w="5076"/>
          </w:tcPr>
          <w:p>
            <w:pPr>
              <w:pStyle w:val="null3"/>
              <w:jc w:val="left"/>
            </w:pPr>
            <w:r>
              <w:rPr/>
              <w:t>（一）根据响应供应商提供的实施规划方案（包括但不限于红色历史文化挖掘、红色历史文化编排设计），每具有1项得1.5分，满分为3分。</w:t>
            </w:r>
          </w:p>
        </w:tc>
      </w:tr>
      <w:tr>
        <w:tc>
          <w:tcPr>
            <w:tcW w:type="dxa" w:w="922"/>
            <w:gridSpan w:val="2"/>
            <w:vMerge/>
          </w:tcPr>
          <w:p/>
        </w:tc>
        <w:tc>
          <w:tcPr>
            <w:tcW w:type="dxa" w:w="2307"/>
          </w:tcPr>
          <w:p>
            <w:pPr>
              <w:pStyle w:val="null3"/>
              <w:jc w:val="left"/>
            </w:pPr>
            <w:r>
              <w:rPr/>
              <w:t>实施规划2 (16.0分)</w:t>
            </w:r>
          </w:p>
        </w:tc>
        <w:tc>
          <w:tcPr>
            <w:tcW w:type="dxa" w:w="5076"/>
          </w:tcPr>
          <w:p>
            <w:pPr>
              <w:pStyle w:val="null3"/>
              <w:jc w:val="left"/>
            </w:pPr>
            <w:r>
              <w:rPr/>
              <w:t>（二）响应供应商提供的红色历史文化挖掘优于采购需求，得8分；完全满足，得5分；只有部分满足采购需求，得1分；无或其他情况不得分。 响应供应商提供的红色历史文化编排设计优于采购需求，得8分；完全满足，得5分；只有部分满足采购需求，得1分；无或其他情况不得分。</w:t>
            </w:r>
          </w:p>
        </w:tc>
      </w:tr>
      <w:tr>
        <w:tc>
          <w:tcPr>
            <w:tcW w:type="dxa" w:w="922"/>
            <w:gridSpan w:val="2"/>
            <w:vMerge/>
          </w:tcPr>
          <w:p/>
        </w:tc>
        <w:tc>
          <w:tcPr>
            <w:tcW w:type="dxa" w:w="2307"/>
          </w:tcPr>
          <w:p>
            <w:pPr>
              <w:pStyle w:val="null3"/>
              <w:jc w:val="left"/>
            </w:pPr>
            <w:r>
              <w:rPr/>
              <w:t>展陈展览配套定制1 (2.0分)</w:t>
            </w:r>
          </w:p>
        </w:tc>
        <w:tc>
          <w:tcPr>
            <w:tcW w:type="dxa" w:w="5076"/>
          </w:tcPr>
          <w:p>
            <w:pPr>
              <w:pStyle w:val="null3"/>
              <w:jc w:val="left"/>
            </w:pPr>
            <w:r>
              <w:rPr/>
              <w:t>（一）根据响应供应商提供的实施规划制定完善的展陈展览配套定制方案（包括但不限于专业展陈配套定制、基础展览设施配套定制），每具有1项得1分，满分为2分。</w:t>
            </w:r>
          </w:p>
        </w:tc>
      </w:tr>
      <w:tr>
        <w:tc>
          <w:tcPr>
            <w:tcW w:type="dxa" w:w="922"/>
            <w:gridSpan w:val="2"/>
            <w:vMerge/>
          </w:tcPr>
          <w:p/>
        </w:tc>
        <w:tc>
          <w:tcPr>
            <w:tcW w:type="dxa" w:w="2307"/>
          </w:tcPr>
          <w:p>
            <w:pPr>
              <w:pStyle w:val="null3"/>
              <w:jc w:val="left"/>
            </w:pPr>
            <w:r>
              <w:rPr/>
              <w:t>展陈展览配套定制2 (12.0分)</w:t>
            </w:r>
          </w:p>
        </w:tc>
        <w:tc>
          <w:tcPr>
            <w:tcW w:type="dxa" w:w="5076"/>
          </w:tcPr>
          <w:p>
            <w:pPr>
              <w:pStyle w:val="null3"/>
              <w:jc w:val="left"/>
            </w:pPr>
            <w:r>
              <w:rPr/>
              <w:t>（二）响应供应商提供的专业展陈配套定制优于采购需求，得6分；完全满足，得3分；只有部分满足采购需求，得1分；无或其他情况不得分。 响应供应商提供的基础展览设施配套定制优于采购需求，得6分；完全满足，得3分；只有部分满足采购需求，得1分；无或其他情况不得分。</w:t>
            </w:r>
          </w:p>
        </w:tc>
      </w:tr>
      <w:tr>
        <w:tc>
          <w:tcPr>
            <w:tcW w:type="dxa" w:w="922"/>
            <w:gridSpan w:val="2"/>
            <w:vMerge/>
          </w:tcPr>
          <w:p/>
        </w:tc>
        <w:tc>
          <w:tcPr>
            <w:tcW w:type="dxa" w:w="2307"/>
          </w:tcPr>
          <w:p>
            <w:pPr>
              <w:pStyle w:val="null3"/>
              <w:jc w:val="left"/>
            </w:pPr>
            <w:r>
              <w:rPr/>
              <w:t>总体设计方案内容深化1 (2.0分)</w:t>
            </w:r>
          </w:p>
        </w:tc>
        <w:tc>
          <w:tcPr>
            <w:tcW w:type="dxa" w:w="5076"/>
          </w:tcPr>
          <w:p>
            <w:pPr>
              <w:pStyle w:val="null3"/>
              <w:jc w:val="left"/>
            </w:pPr>
            <w:r>
              <w:rPr/>
              <w:t>（一）根据响应供应商提供的总体设计方案内容深化（包括但不限于整体空间规划布局、相关功能布置），每具有1项得1分，满分为2分。</w:t>
            </w:r>
          </w:p>
        </w:tc>
      </w:tr>
      <w:tr>
        <w:tc>
          <w:tcPr>
            <w:tcW w:type="dxa" w:w="922"/>
            <w:gridSpan w:val="2"/>
            <w:vMerge/>
          </w:tcPr>
          <w:p/>
        </w:tc>
        <w:tc>
          <w:tcPr>
            <w:tcW w:type="dxa" w:w="2307"/>
          </w:tcPr>
          <w:p>
            <w:pPr>
              <w:pStyle w:val="null3"/>
              <w:jc w:val="left"/>
            </w:pPr>
            <w:r>
              <w:rPr/>
              <w:t>总体设计方案内容深化2 (10.0分)</w:t>
            </w:r>
          </w:p>
        </w:tc>
        <w:tc>
          <w:tcPr>
            <w:tcW w:type="dxa" w:w="5076"/>
          </w:tcPr>
          <w:p>
            <w:pPr>
              <w:pStyle w:val="null3"/>
              <w:jc w:val="left"/>
            </w:pPr>
            <w:r>
              <w:rPr/>
              <w:t>（二）响应供应商提供的整体空间规划布局优于采购需求，得5分；完全满足，得2分；只有部分满足采购需求，得1分；无或其他情况不得分。 响应供应商提供的相关功能布置优于采购需求，得5分；完全满足，得2分；只有部分满足采购需求，得1分；无或其他情况不得分。</w:t>
            </w:r>
          </w:p>
        </w:tc>
      </w:tr>
      <w:tr>
        <w:tc>
          <w:tcPr>
            <w:tcW w:type="dxa" w:w="922"/>
            <w:gridSpan w:val="2"/>
            <w:vMerge/>
          </w:tcPr>
          <w:p/>
        </w:tc>
        <w:tc>
          <w:tcPr>
            <w:tcW w:type="dxa" w:w="2307"/>
          </w:tcPr>
          <w:p>
            <w:pPr>
              <w:pStyle w:val="null3"/>
              <w:jc w:val="left"/>
            </w:pPr>
            <w:r>
              <w:rPr/>
              <w:t>设计方案对陈列大纲理解和体现程度1 (2.0分)</w:t>
            </w:r>
          </w:p>
        </w:tc>
        <w:tc>
          <w:tcPr>
            <w:tcW w:type="dxa" w:w="5076"/>
          </w:tcPr>
          <w:p>
            <w:pPr>
              <w:pStyle w:val="null3"/>
              <w:jc w:val="left"/>
            </w:pPr>
            <w:r>
              <w:rPr/>
              <w:t>（一）根据响应供应商提供的红色美丽村庄历史设计方案对陈列大纲理解和体现程度方案（红色历史文化融入、红色文化价值输出），每具有1项得1分，满分为2分。</w:t>
            </w:r>
          </w:p>
        </w:tc>
      </w:tr>
      <w:tr>
        <w:tc>
          <w:tcPr>
            <w:tcW w:type="dxa" w:w="922"/>
            <w:gridSpan w:val="2"/>
            <w:vMerge/>
          </w:tcPr>
          <w:p/>
        </w:tc>
        <w:tc>
          <w:tcPr>
            <w:tcW w:type="dxa" w:w="2307"/>
          </w:tcPr>
          <w:p>
            <w:pPr>
              <w:pStyle w:val="null3"/>
              <w:jc w:val="left"/>
            </w:pPr>
            <w:r>
              <w:rPr/>
              <w:t>设计方案对陈列大纲理解和体现程度1 (10.0分)</w:t>
            </w:r>
          </w:p>
        </w:tc>
        <w:tc>
          <w:tcPr>
            <w:tcW w:type="dxa" w:w="5076"/>
          </w:tcPr>
          <w:p>
            <w:pPr>
              <w:pStyle w:val="null3"/>
              <w:jc w:val="left"/>
            </w:pPr>
            <w:r>
              <w:rPr/>
              <w:t>（二）响应供应商提供的对红色历史文化融入的设计优于采购需求，得5分；完全满足，得2分；只有部分满足采购需求，得1分；无或其他情况不得分。 响应供应商提供的红色文化价值输出的方案优于采购需求，得5分；完全满足，得2分；只有部分满足采购需求，得1分；无或其他情况不得分。</w:t>
            </w:r>
          </w:p>
        </w:tc>
      </w:tr>
      <w:tr>
        <w:tc>
          <w:tcPr>
            <w:tcW w:type="dxa" w:w="922"/>
            <w:gridSpan w:val="2"/>
            <w:vMerge/>
          </w:tcPr>
          <w:p/>
        </w:tc>
        <w:tc>
          <w:tcPr>
            <w:tcW w:type="dxa" w:w="2307"/>
          </w:tcPr>
          <w:p>
            <w:pPr>
              <w:pStyle w:val="null3"/>
              <w:jc w:val="left"/>
            </w:pPr>
            <w:r>
              <w:rPr/>
              <w:t>实施组织方案与技术措施1 (3.0分)</w:t>
            </w:r>
          </w:p>
        </w:tc>
        <w:tc>
          <w:tcPr>
            <w:tcW w:type="dxa" w:w="5076"/>
          </w:tcPr>
          <w:p>
            <w:pPr>
              <w:pStyle w:val="null3"/>
              <w:jc w:val="left"/>
            </w:pPr>
            <w:r>
              <w:rPr/>
              <w:t>（一）根据响应供应商提供的实施组织方案与技术措施方案（包括但不限于实施组织方案及实施方法、项目重点难点、技术措施及安全生产），每具有1项得1分，满分为3分。</w:t>
            </w:r>
          </w:p>
        </w:tc>
      </w:tr>
      <w:tr>
        <w:tc>
          <w:tcPr>
            <w:tcW w:type="dxa" w:w="922"/>
            <w:gridSpan w:val="2"/>
            <w:vMerge/>
          </w:tcPr>
          <w:p/>
        </w:tc>
        <w:tc>
          <w:tcPr>
            <w:tcW w:type="dxa" w:w="2307"/>
          </w:tcPr>
          <w:p>
            <w:pPr>
              <w:pStyle w:val="null3"/>
              <w:jc w:val="left"/>
            </w:pPr>
            <w:r>
              <w:rPr/>
              <w:t>实施组织方案与技术措施2 (3.0分)</w:t>
            </w:r>
          </w:p>
        </w:tc>
        <w:tc>
          <w:tcPr>
            <w:tcW w:type="dxa" w:w="5076"/>
          </w:tcPr>
          <w:p>
            <w:pPr>
              <w:pStyle w:val="null3"/>
              <w:jc w:val="left"/>
            </w:pPr>
            <w:r>
              <w:rPr/>
              <w:t>（二）1.响应供应商提供的实施组织方案及实施方法满足或优于采购需求，得1分；只有部分满足采购需求，得0.5分；无或其他情况不得分。 2.响应供应商提供的项目重点难点满足或优于采购需求，得1分；只有部分满足采购需求，得0.5分；无或其他情况不得分。 3.响应供应商提供的技术措施及安全生产满足或优于采购需求，得1分；只有部分满足采购需求，得0.5分；无或其他情况不得分。</w:t>
            </w:r>
          </w:p>
        </w:tc>
      </w:tr>
      <w:tr>
        <w:tc>
          <w:tcPr>
            <w:tcW w:type="dxa" w:w="922"/>
            <w:gridSpan w:val="2"/>
            <w:vMerge/>
          </w:tcPr>
          <w:p/>
        </w:tc>
        <w:tc>
          <w:tcPr>
            <w:tcW w:type="dxa" w:w="2307"/>
          </w:tcPr>
          <w:p>
            <w:pPr>
              <w:pStyle w:val="null3"/>
              <w:jc w:val="left"/>
            </w:pPr>
            <w:r>
              <w:rPr/>
              <w:t>项目进度计划与进度保障措施1 (2.0分)</w:t>
            </w:r>
          </w:p>
        </w:tc>
        <w:tc>
          <w:tcPr>
            <w:tcW w:type="dxa" w:w="5076"/>
          </w:tcPr>
          <w:p>
            <w:pPr>
              <w:pStyle w:val="null3"/>
              <w:jc w:val="left"/>
            </w:pPr>
            <w:r>
              <w:rPr/>
              <w:t>（一）根据响应供应商提供的项目进度计划与进度保障措施方案（包括但不限于项目进度计划安排、项目进度保障措施），每具有1项得1分，满分为2分。</w:t>
            </w:r>
          </w:p>
        </w:tc>
      </w:tr>
      <w:tr>
        <w:tc>
          <w:tcPr>
            <w:tcW w:type="dxa" w:w="922"/>
            <w:gridSpan w:val="2"/>
            <w:vMerge/>
          </w:tcPr>
          <w:p/>
        </w:tc>
        <w:tc>
          <w:tcPr>
            <w:tcW w:type="dxa" w:w="2307"/>
          </w:tcPr>
          <w:p>
            <w:pPr>
              <w:pStyle w:val="null3"/>
              <w:jc w:val="left"/>
            </w:pPr>
            <w:r>
              <w:rPr/>
              <w:t>项目进度计划与进度保障措施2 (2.0分)</w:t>
            </w:r>
          </w:p>
        </w:tc>
        <w:tc>
          <w:tcPr>
            <w:tcW w:type="dxa" w:w="5076"/>
          </w:tcPr>
          <w:p>
            <w:pPr>
              <w:pStyle w:val="null3"/>
              <w:jc w:val="left"/>
            </w:pPr>
            <w:r>
              <w:rPr/>
              <w:t>（二）1.响应供应商提供的项目进度计划安排满足或优于采购需求，得1分；只有部分满足采购需求，得0.5分；无或其他情况不得分。 2.响应供应商提供的项目进度保障措施满足或优于采购需求，得1分；只有部分满足采购需求，得0.5分；无或其他情况不得分。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科技创新技术水平 (6.0分)</w:t>
            </w:r>
          </w:p>
        </w:tc>
        <w:tc>
          <w:tcPr>
            <w:tcW w:type="dxa" w:w="5076"/>
          </w:tcPr>
          <w:p>
            <w:pPr>
              <w:pStyle w:val="null3"/>
              <w:jc w:val="left"/>
            </w:pPr>
            <w:r>
              <w:rPr/>
              <w:t>响应供应商获得多媒体展项等与本项目相关的计算机软件著作权登记证书：每具有一个得3分，最高得6分，无或其他得0分。（提供相关证书扫描件）</w:t>
            </w:r>
          </w:p>
        </w:tc>
      </w:tr>
      <w:tr>
        <w:tc>
          <w:tcPr>
            <w:tcW w:type="dxa" w:w="922"/>
            <w:gridSpan w:val="2"/>
            <w:vMerge/>
          </w:tcPr>
          <w:p/>
        </w:tc>
        <w:tc>
          <w:tcPr>
            <w:tcW w:type="dxa" w:w="2307"/>
          </w:tcPr>
          <w:p>
            <w:pPr>
              <w:pStyle w:val="null3"/>
              <w:jc w:val="left"/>
            </w:pPr>
            <w:r>
              <w:rPr/>
              <w:t>投标人类似项目业绩 (6.0分)</w:t>
            </w:r>
          </w:p>
        </w:tc>
        <w:tc>
          <w:tcPr>
            <w:tcW w:type="dxa" w:w="5076"/>
          </w:tcPr>
          <w:p>
            <w:pPr>
              <w:pStyle w:val="null3"/>
              <w:jc w:val="left"/>
            </w:pPr>
            <w:r>
              <w:rPr/>
              <w:t>响应供应商自2023年1月1日至今承接过同类型项目业绩，每项得1.5分，满分6分，无不得分。说明：1.提供合同扫描件为计分依据（需加盖公章，扫描件未加盖公章的业绩不予计分）2.计算有效业绩的时间以合同签订时间为准。3.同一个项目不重复计分。</w:t>
            </w:r>
          </w:p>
        </w:tc>
      </w:tr>
      <w:tr>
        <w:tc>
          <w:tcPr>
            <w:tcW w:type="dxa" w:w="922"/>
            <w:gridSpan w:val="2"/>
            <w:vMerge/>
          </w:tcPr>
          <w:p/>
        </w:tc>
        <w:tc>
          <w:tcPr>
            <w:tcW w:type="dxa" w:w="2307"/>
          </w:tcPr>
          <w:p>
            <w:pPr>
              <w:pStyle w:val="null3"/>
              <w:jc w:val="left"/>
            </w:pPr>
            <w:r>
              <w:rPr/>
              <w:t>满意度评价 (6.0分)</w:t>
            </w:r>
          </w:p>
        </w:tc>
        <w:tc>
          <w:tcPr>
            <w:tcW w:type="dxa" w:w="5076"/>
          </w:tcPr>
          <w:p>
            <w:pPr>
              <w:pStyle w:val="null3"/>
              <w:jc w:val="left"/>
            </w:pPr>
            <w:r>
              <w:rPr/>
              <w:t>提供满足上述要求的2023年1月1日至今的同类项目业绩的用户单位出具的满意度评价，评价情况至少须为优、满意或类似满意的方可计分： 每提供1份满足要求的满意度评价，得1.5分，本项最高6分。 注： ①同一客户或同一项目提供多项用户满意度评价的，按一项计算； ②须与供应商上述提供的2023年1月1日至今的同类项目业绩的用户单位一致； ③用户满意度评价须经用户单位盖章。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投标价格得分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照技术指标优劣顺序推荐。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磋商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t xml:space="preserve"> </w:t>
      </w:r>
    </w:p>
    <w:p>
      <w:pPr>
        <w:pStyle w:val="null3"/>
        <w:ind w:firstLine="480"/>
        <w:jc w:val="both"/>
      </w:pPr>
      <w:r>
        <w:rPr/>
        <w:t xml:space="preserve"> </w:t>
      </w:r>
    </w:p>
    <w:p>
      <w:pPr>
        <w:pStyle w:val="null3"/>
        <w:jc w:val="center"/>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w:t>
      </w:r>
      <w:r>
        <w:rPr>
          <w:sz w:val="48"/>
          <w:b/>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t xml:space="preserve"> </w:t>
      </w:r>
    </w:p>
    <w:p>
      <w:pPr>
        <w:pStyle w:val="null3"/>
        <w:jc w:val="left"/>
      </w:pPr>
      <w:r>
        <w:rPr>
          <w:sz w:val="24"/>
          <w:b/>
        </w:rPr>
        <w:t xml:space="preserve">甲方： </w:t>
      </w:r>
      <w:r>
        <w:rPr>
          <w:sz w:val="24"/>
          <w:u w:val="single"/>
        </w:rPr>
        <w:t xml:space="preserve">    </w:t>
      </w:r>
    </w:p>
    <w:p>
      <w:pPr>
        <w:pStyle w:val="null3"/>
        <w:jc w:val="left"/>
      </w:pPr>
      <w:r>
        <w:rPr>
          <w:sz w:val="24"/>
        </w:rPr>
        <w:t xml:space="preserve">电话： </w:t>
      </w:r>
      <w:r>
        <w:rPr>
          <w:sz w:val="24"/>
          <w:u w:val="single"/>
        </w:rPr>
        <w:t xml:space="preserve">    </w:t>
      </w:r>
      <w:r>
        <w:rPr>
          <w:sz w:val="24"/>
        </w:rPr>
        <w:t xml:space="preserve">传真 ： </w:t>
      </w:r>
      <w:r>
        <w:rPr>
          <w:sz w:val="24"/>
          <w:u w:val="single"/>
        </w:rPr>
        <w:t xml:space="preserve">    </w:t>
      </w:r>
      <w:r>
        <w:rPr>
          <w:sz w:val="24"/>
        </w:rPr>
        <w:t xml:space="preserve">地址： </w:t>
      </w:r>
      <w:r>
        <w:rPr>
          <w:sz w:val="24"/>
          <w:u w:val="single"/>
        </w:rPr>
        <w:t xml:space="preserve">      </w:t>
      </w:r>
    </w:p>
    <w:p>
      <w:pPr>
        <w:pStyle w:val="null3"/>
        <w:jc w:val="left"/>
      </w:pPr>
      <w:r>
        <w:rPr>
          <w:sz w:val="24"/>
          <w:b/>
        </w:rPr>
        <w:t xml:space="preserve">乙方： </w:t>
      </w:r>
      <w:r>
        <w:rPr>
          <w:sz w:val="24"/>
          <w:u w:val="single"/>
        </w:rPr>
        <w:t xml:space="preserve">    </w:t>
      </w:r>
    </w:p>
    <w:p>
      <w:pPr>
        <w:pStyle w:val="null3"/>
        <w:jc w:val="left"/>
      </w:pPr>
      <w:r>
        <w:rPr>
          <w:sz w:val="24"/>
        </w:rPr>
        <w:t xml:space="preserve">电话： </w:t>
      </w:r>
      <w:r>
        <w:rPr>
          <w:sz w:val="24"/>
          <w:u w:val="single"/>
        </w:rPr>
        <w:t xml:space="preserve">     </w:t>
      </w:r>
      <w:r>
        <w:rPr>
          <w:sz w:val="24"/>
        </w:rPr>
        <w:t>传真：</w:t>
      </w:r>
      <w:r>
        <w:rPr>
          <w:sz w:val="24"/>
          <w:u w:val="single"/>
        </w:rPr>
        <w:t xml:space="preserve">      </w:t>
      </w:r>
      <w:r>
        <w:rPr>
          <w:sz w:val="24"/>
        </w:rPr>
        <w:t xml:space="preserve">地址： </w:t>
      </w:r>
      <w:r>
        <w:rPr>
          <w:sz w:val="24"/>
          <w:u w:val="single"/>
        </w:rPr>
        <w:t xml:space="preserve">     </w:t>
      </w:r>
    </w:p>
    <w:p>
      <w:pPr>
        <w:pStyle w:val="null3"/>
        <w:jc w:val="left"/>
      </w:pPr>
      <w:r>
        <w:rPr>
          <w:sz w:val="24"/>
        </w:rPr>
        <w:t xml:space="preserve"> </w:t>
      </w:r>
    </w:p>
    <w:p>
      <w:pPr>
        <w:pStyle w:val="null3"/>
        <w:jc w:val="left"/>
      </w:pPr>
      <w:r>
        <w:rPr>
          <w:sz w:val="24"/>
        </w:rPr>
        <w:t xml:space="preserve">  根据 </w:t>
      </w:r>
      <w:r>
        <w:rPr>
          <w:sz w:val="24"/>
          <w:u w:val="single"/>
        </w:rPr>
        <w:t xml:space="preserve">         项目 </w:t>
      </w:r>
      <w:r>
        <w:rPr>
          <w:sz w:val="24"/>
        </w:rPr>
        <w:t>的采购结果，按照《中华人民共和国政府采购法》，《中华人民共和国民法典(合同编)》的规定，经双方协商，本着平等互利和诚实信用的原则，一致同意遵守本合同如下。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合同金额为（大写）：_____________元（￥_________元）人民币。</w:t>
      </w:r>
    </w:p>
    <w:p>
      <w:pPr>
        <w:pStyle w:val="null3"/>
        <w:jc w:val="left"/>
      </w:pPr>
      <w:r>
        <w:rPr>
          <w:sz w:val="24"/>
          <w:b/>
        </w:rPr>
        <w:t>二、服务范围</w:t>
      </w:r>
    </w:p>
    <w:p>
      <w:pPr>
        <w:pStyle w:val="null3"/>
        <w:jc w:val="left"/>
      </w:pPr>
      <w:r>
        <w:rPr>
          <w:sz w:val="24"/>
        </w:rPr>
        <w:t>　　甲方聘请乙方提供以下服务：</w:t>
      </w:r>
    </w:p>
    <w:p>
      <w:pPr>
        <w:pStyle w:val="null3"/>
        <w:jc w:val="left"/>
      </w:pPr>
      <w:r>
        <w:rPr>
          <w:sz w:val="24"/>
        </w:rPr>
        <w:t xml:space="preserve"> 1．</w:t>
      </w:r>
      <w:r>
        <w:rPr>
          <w:sz w:val="24"/>
        </w:rPr>
        <w:t>。</w:t>
      </w:r>
    </w:p>
    <w:p>
      <w:pPr>
        <w:pStyle w:val="null3"/>
        <w:jc w:val="left"/>
      </w:pPr>
      <w:r>
        <w:rPr>
          <w:sz w:val="24"/>
        </w:rPr>
        <w:t xml:space="preserve"> 2．</w:t>
      </w:r>
    </w:p>
    <w:p>
      <w:pPr>
        <w:pStyle w:val="null3"/>
        <w:jc w:val="left"/>
      </w:pPr>
      <w:r>
        <w:rPr>
          <w:sz w:val="24"/>
        </w:rPr>
        <w:t>……</w:t>
      </w:r>
    </w:p>
    <w:p>
      <w:pPr>
        <w:pStyle w:val="null3"/>
        <w:jc w:val="left"/>
      </w:pPr>
      <w:r>
        <w:rPr>
          <w:sz w:val="24"/>
          <w:b/>
        </w:rPr>
        <w:t>三、甲</w:t>
      </w:r>
      <w:r>
        <w:rPr>
          <w:sz w:val="24"/>
          <w:b/>
        </w:rPr>
        <w:t>方和</w:t>
      </w:r>
      <w:r>
        <w:rPr>
          <w:sz w:val="24"/>
          <w:b/>
        </w:rPr>
        <w:t>乙方的权利和义务</w:t>
      </w:r>
    </w:p>
    <w:p>
      <w:pPr>
        <w:pStyle w:val="null3"/>
        <w:jc w:val="left"/>
      </w:pPr>
      <w:r>
        <w:rPr>
          <w:sz w:val="24"/>
        </w:rPr>
        <w:t xml:space="preserve"> 1.甲方的权利和义务</w:t>
      </w:r>
    </w:p>
    <w:p>
      <w:pPr>
        <w:pStyle w:val="null3"/>
        <w:jc w:val="left"/>
      </w:pPr>
      <w:r>
        <w:rPr>
          <w:sz w:val="24"/>
        </w:rPr>
        <w:t xml:space="preserve"> 2.乙方的权利和义务</w:t>
      </w:r>
    </w:p>
    <w:p>
      <w:pPr>
        <w:pStyle w:val="null3"/>
        <w:jc w:val="left"/>
      </w:pPr>
      <w:r>
        <w:rPr>
          <w:sz w:val="24"/>
          <w:b/>
        </w:rPr>
        <w:t>四、服务期间（项目完成期限）</w:t>
      </w:r>
    </w:p>
    <w:p>
      <w:pPr>
        <w:pStyle w:val="null3"/>
        <w:jc w:val="left"/>
      </w:pPr>
      <w:r>
        <w:rPr>
          <w:sz w:val="24"/>
        </w:rPr>
        <w:t xml:space="preserve"> 1.委托服务期间自______年______月至______年______月止。</w:t>
      </w:r>
    </w:p>
    <w:p>
      <w:pPr>
        <w:pStyle w:val="null3"/>
        <w:jc w:val="left"/>
      </w:pPr>
      <w:r>
        <w:rPr>
          <w:sz w:val="24"/>
          <w:b/>
        </w:rPr>
        <w:t>五、付款方式</w:t>
      </w:r>
    </w:p>
    <w:p>
      <w:pPr>
        <w:pStyle w:val="null3"/>
        <w:jc w:val="left"/>
      </w:pPr>
      <w:r>
        <w:rPr>
          <w:sz w:val="24"/>
        </w:rPr>
        <w:t>　　由甲方按下列程序在</w:t>
      </w:r>
      <w:r>
        <w:rPr>
          <w:sz w:val="24"/>
          <w:u w:val="single"/>
        </w:rPr>
        <w:t xml:space="preserve">       </w:t>
      </w:r>
      <w:r>
        <w:rPr>
          <w:sz w:val="24"/>
        </w:rPr>
        <w:t xml:space="preserve"> 内付款：</w:t>
      </w:r>
    </w:p>
    <w:p>
      <w:pPr>
        <w:pStyle w:val="null3"/>
        <w:jc w:val="left"/>
      </w:pPr>
      <w:r>
        <w:rPr>
          <w:sz w:val="24"/>
        </w:rPr>
        <w:t>1期：支付比例70%，从合同签订之日起，</w:t>
      </w:r>
      <w:r>
        <w:rPr>
          <w:sz w:val="24"/>
        </w:rPr>
        <w:t>乙方</w:t>
      </w:r>
      <w:r>
        <w:rPr>
          <w:sz w:val="24"/>
        </w:rPr>
        <w:t>提供的设计方案在得到</w:t>
      </w:r>
      <w:r>
        <w:rPr>
          <w:sz w:val="24"/>
        </w:rPr>
        <w:t>甲方</w:t>
      </w:r>
      <w:r>
        <w:rPr>
          <w:sz w:val="24"/>
        </w:rPr>
        <w:t>确认后的5个工作日内，</w:t>
      </w:r>
      <w:r>
        <w:rPr>
          <w:sz w:val="24"/>
        </w:rPr>
        <w:t>甲方</w:t>
      </w:r>
      <w:r>
        <w:rPr>
          <w:sz w:val="24"/>
        </w:rPr>
        <w:t>支付</w:t>
      </w:r>
      <w:r>
        <w:rPr>
          <w:sz w:val="24"/>
        </w:rPr>
        <w:t>乙方</w:t>
      </w:r>
      <w:r>
        <w:rPr>
          <w:sz w:val="24"/>
        </w:rPr>
        <w:t>合同总价的70%，作为项目首款。</w:t>
      </w:r>
    </w:p>
    <w:p>
      <w:pPr>
        <w:pStyle w:val="null3"/>
        <w:ind w:firstLine="240"/>
        <w:jc w:val="left"/>
      </w:pPr>
      <w:r>
        <w:rPr>
          <w:sz w:val="24"/>
        </w:rPr>
        <w:t>2期：支付比例30%，项目完工经</w:t>
      </w:r>
      <w:r>
        <w:rPr>
          <w:sz w:val="24"/>
        </w:rPr>
        <w:t>甲方</w:t>
      </w:r>
      <w:r>
        <w:rPr>
          <w:sz w:val="24"/>
        </w:rPr>
        <w:t>验收后10个工作日内，</w:t>
      </w:r>
      <w:r>
        <w:rPr>
          <w:sz w:val="24"/>
        </w:rPr>
        <w:t>甲方</w:t>
      </w:r>
      <w:r>
        <w:rPr>
          <w:sz w:val="24"/>
        </w:rPr>
        <w:t>支付</w:t>
      </w:r>
      <w:r>
        <w:rPr>
          <w:sz w:val="24"/>
        </w:rPr>
        <w:t>乙方</w:t>
      </w:r>
      <w:r>
        <w:rPr>
          <w:sz w:val="24"/>
        </w:rPr>
        <w:t>合同总价的30%。</w:t>
      </w:r>
    </w:p>
    <w:p>
      <w:pPr>
        <w:pStyle w:val="null3"/>
        <w:jc w:val="left"/>
      </w:pPr>
      <w:r>
        <w:rPr>
          <w:sz w:val="24"/>
        </w:rPr>
        <w:t>（1）</w:t>
      </w:r>
      <w:r>
        <w:rPr>
          <w:sz w:val="24"/>
        </w:rPr>
        <w:t>乙方</w:t>
      </w:r>
      <w:r>
        <w:rPr>
          <w:sz w:val="24"/>
        </w:rPr>
        <w:t>凭以下有效文件与</w:t>
      </w:r>
      <w:r>
        <w:rPr>
          <w:sz w:val="24"/>
        </w:rPr>
        <w:t>甲方</w:t>
      </w:r>
      <w:r>
        <w:rPr>
          <w:sz w:val="24"/>
        </w:rPr>
        <w:t>结算： 1)合同； 2)</w:t>
      </w:r>
      <w:r>
        <w:rPr>
          <w:sz w:val="24"/>
        </w:rPr>
        <w:t>乙方</w:t>
      </w:r>
      <w:r>
        <w:rPr>
          <w:sz w:val="24"/>
        </w:rPr>
        <w:t>开具的正式发票； 3)验收报告（加盖</w:t>
      </w:r>
      <w:r>
        <w:rPr>
          <w:sz w:val="24"/>
        </w:rPr>
        <w:t>甲方</w:t>
      </w:r>
      <w:r>
        <w:rPr>
          <w:sz w:val="24"/>
        </w:rPr>
        <w:t>公章）； 4)成交通知书。</w:t>
      </w:r>
      <w:r>
        <w:rPr>
          <w:sz w:val="24"/>
        </w:rPr>
        <w:t xml:space="preserve">  </w:t>
      </w:r>
    </w:p>
    <w:p>
      <w:pPr>
        <w:pStyle w:val="null3"/>
        <w:jc w:val="left"/>
      </w:pPr>
      <w:r>
        <w:rPr>
          <w:sz w:val="24"/>
        </w:rPr>
        <w:t>因</w:t>
      </w:r>
      <w:r>
        <w:rPr>
          <w:sz w:val="24"/>
        </w:rPr>
        <w:t>甲方</w:t>
      </w:r>
      <w:r>
        <w:rPr>
          <w:sz w:val="24"/>
        </w:rPr>
        <w:t>使用的是财政资金，</w:t>
      </w:r>
      <w:r>
        <w:rPr>
          <w:sz w:val="24"/>
        </w:rPr>
        <w:t>甲方</w:t>
      </w:r>
      <w:r>
        <w:rPr>
          <w:sz w:val="24"/>
        </w:rPr>
        <w:t>在前款规定的付款时间为向政府采购支付部门提出办理财政支付申请手续的时间（不含政府财政支付部门审核的时间），在规定时间内提出支付申请手续后即视为</w:t>
      </w:r>
      <w:r>
        <w:rPr>
          <w:sz w:val="24"/>
        </w:rPr>
        <w:t>甲方</w:t>
      </w:r>
      <w:r>
        <w:rPr>
          <w:sz w:val="24"/>
        </w:rPr>
        <w:t>已经按期支付。</w:t>
      </w:r>
    </w:p>
    <w:p>
      <w:pPr>
        <w:pStyle w:val="null3"/>
        <w:jc w:val="left"/>
      </w:pPr>
      <w:r>
        <w:rPr>
          <w:sz w:val="24"/>
          <w:b/>
        </w:rPr>
        <w:t>六、知识产权归属</w:t>
      </w:r>
    </w:p>
    <w:p>
      <w:pPr>
        <w:pStyle w:val="null3"/>
        <w:jc w:val="left"/>
      </w:pPr>
      <w:r>
        <w:rPr>
          <w:sz w:val="24"/>
          <w:b/>
        </w:rPr>
        <w:t>七、保密</w:t>
      </w:r>
    </w:p>
    <w:p>
      <w:pPr>
        <w:pStyle w:val="null3"/>
        <w:jc w:val="left"/>
      </w:pPr>
      <w:r>
        <w:rPr>
          <w:sz w:val="24"/>
          <w:b/>
          <w:color w:val="FF0000"/>
        </w:rPr>
        <w:t>八、</w:t>
      </w:r>
      <w:r>
        <w:rPr>
          <w:sz w:val="24"/>
          <w:b/>
          <w:color w:val="FF0000"/>
        </w:rPr>
        <w:t>验收</w:t>
      </w:r>
    </w:p>
    <w:p>
      <w:pPr>
        <w:pStyle w:val="null3"/>
        <w:jc w:val="left"/>
      </w:pPr>
      <w:r>
        <w:rPr>
          <w:sz w:val="24"/>
          <w:b/>
          <w:color w:val="FF0000"/>
        </w:rPr>
        <w:t>九、</w:t>
      </w:r>
      <w:r>
        <w:rPr>
          <w:sz w:val="24"/>
          <w:b/>
          <w:color w:val="FF0000"/>
        </w:rPr>
        <w:t>违约责任与赔偿损失</w:t>
      </w:r>
    </w:p>
    <w:p>
      <w:pPr>
        <w:pStyle w:val="null3"/>
        <w:jc w:val="left"/>
      </w:pPr>
      <w:r>
        <w:rPr>
          <w:sz w:val="24"/>
          <w:color w:val="FF0000"/>
        </w:rPr>
        <w:t>1.乙方提供的服务不符合本合同规定的，甲方有权拒收，并且乙方须向甲</w:t>
      </w:r>
      <w:r>
        <w:rPr>
          <w:sz w:val="24"/>
          <w:color w:val="FF0000"/>
        </w:rPr>
        <w:t>方</w:t>
      </w:r>
      <w:r>
        <w:rPr>
          <w:sz w:val="24"/>
          <w:color w:val="FF0000"/>
        </w:rPr>
        <w:t>支付本合同总价</w:t>
      </w:r>
      <w:r>
        <w:rPr>
          <w:sz w:val="24"/>
          <w:color w:val="FF0000"/>
        </w:rPr>
        <w:t>5%的违约金。</w:t>
      </w:r>
    </w:p>
    <w:p>
      <w:pPr>
        <w:pStyle w:val="null3"/>
        <w:jc w:val="left"/>
      </w:pPr>
      <w:r>
        <w:rPr>
          <w:sz w:val="24"/>
          <w:color w:val="FF0000"/>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color w:val="FF0000"/>
        </w:rPr>
        <w:t>3.甲方无正当理由</w:t>
      </w:r>
      <w:r>
        <w:rPr>
          <w:sz w:val="24"/>
          <w:color w:val="FF0000"/>
        </w:rPr>
        <w:t>拒绝接受</w:t>
      </w:r>
      <w:r>
        <w:rPr>
          <w:sz w:val="24"/>
          <w:color w:val="FF0000"/>
        </w:rPr>
        <w:t>服务，到期拒付服务款项的，甲方向乙方偿付本合同</w:t>
      </w:r>
      <w:r>
        <w:rPr>
          <w:sz w:val="24"/>
          <w:color w:val="FF0000"/>
        </w:rPr>
        <w:t>总额</w:t>
      </w:r>
      <w:r>
        <w:rPr>
          <w:sz w:val="24"/>
          <w:color w:val="FF0000"/>
        </w:rPr>
        <w:t>的</w:t>
      </w:r>
      <w:r>
        <w:rPr>
          <w:sz w:val="24"/>
          <w:color w:val="FF0000"/>
        </w:rPr>
        <w:t>5%的违约金。</w:t>
      </w:r>
      <w:r>
        <w:rPr>
          <w:sz w:val="24"/>
          <w:color w:val="FF0000"/>
        </w:rPr>
        <w:t>甲方</w:t>
      </w:r>
      <w:r>
        <w:rPr>
          <w:sz w:val="24"/>
          <w:color w:val="FF0000"/>
        </w:rPr>
        <w:t>逾期付款，则每日按本合同总价的</w:t>
      </w:r>
      <w:r>
        <w:rPr>
          <w:sz w:val="24"/>
          <w:color w:val="FF0000"/>
        </w:rPr>
        <w:t>3‰向乙方偿付违约金。</w:t>
      </w:r>
    </w:p>
    <w:p>
      <w:pPr>
        <w:pStyle w:val="null3"/>
        <w:jc w:val="left"/>
      </w:pPr>
      <w:r>
        <w:rPr>
          <w:sz w:val="24"/>
          <w:color w:val="FF0000"/>
        </w:rPr>
        <w:t>4.对于因甲方原因导致变更、中止或者终止政府采购合同的，甲方应当依照以下合同约定对供应商受到的损失予以赔偿或者补偿：</w:t>
      </w:r>
    </w:p>
    <w:p>
      <w:pPr>
        <w:pStyle w:val="null3"/>
        <w:jc w:val="left"/>
      </w:pPr>
      <w:r>
        <w:rPr>
          <w:sz w:val="24"/>
          <w:color w:val="FF0000"/>
          <w:u w:val="single"/>
        </w:rPr>
        <w:t xml:space="preserve">                         </w:t>
      </w:r>
    </w:p>
    <w:p>
      <w:pPr>
        <w:pStyle w:val="null3"/>
        <w:jc w:val="left"/>
      </w:pPr>
      <w:r>
        <w:rPr>
          <w:sz w:val="24"/>
          <w:color w:val="FF0000"/>
        </w:rPr>
        <w:t>5.</w:t>
      </w:r>
      <w:r>
        <w:rPr>
          <w:sz w:val="24"/>
          <w:color w:val="FF0000"/>
        </w:rPr>
        <w:t>其他</w:t>
      </w:r>
      <w:r>
        <w:rPr>
          <w:sz w:val="24"/>
          <w:color w:val="FF0000"/>
        </w:rPr>
        <w:t>违约责任按《中华人民共和国民法典</w:t>
      </w:r>
      <w:r>
        <w:rPr>
          <w:sz w:val="24"/>
          <w:color w:val="FF0000"/>
        </w:rPr>
        <w:t>(合同编)》处理。</w:t>
      </w:r>
    </w:p>
    <w:p>
      <w:pPr>
        <w:pStyle w:val="null3"/>
        <w:jc w:val="left"/>
      </w:pPr>
      <w:r>
        <w:rPr>
          <w:sz w:val="24"/>
          <w:b/>
          <w:color w:val="FF0000"/>
        </w:rPr>
        <w:t>十、争议的解决</w:t>
      </w:r>
    </w:p>
    <w:p>
      <w:pPr>
        <w:pStyle w:val="null3"/>
        <w:ind w:firstLine="400"/>
        <w:jc w:val="left"/>
      </w:pPr>
      <w:r>
        <w:rPr>
          <w:sz w:val="24"/>
          <w:color w:val="FF0000"/>
        </w:rPr>
        <w:t>合同执行过程中发生的任何争议，如双方不能通过友好协商解决，按相关法律法规处理。</w:t>
      </w:r>
      <w:r>
        <w:rPr>
          <w:sz w:val="24"/>
          <w:color w:val="FF0000"/>
        </w:rPr>
        <w:t xml:space="preserve">      </w:t>
      </w:r>
    </w:p>
    <w:p>
      <w:pPr>
        <w:pStyle w:val="null3"/>
        <w:jc w:val="left"/>
      </w:pPr>
      <w:r>
        <w:rPr>
          <w:sz w:val="24"/>
          <w:b/>
          <w:color w:val="FF0000"/>
        </w:rPr>
        <w:t>十</w:t>
      </w:r>
      <w:r>
        <w:rPr>
          <w:sz w:val="24"/>
          <w:b/>
          <w:color w:val="FF0000"/>
        </w:rPr>
        <w:t>一</w:t>
      </w:r>
      <w:r>
        <w:rPr>
          <w:sz w:val="24"/>
          <w:b/>
          <w:color w:val="FF0000"/>
        </w:rPr>
        <w:t>、不可抗力</w:t>
      </w:r>
    </w:p>
    <w:p>
      <w:pPr>
        <w:pStyle w:val="null3"/>
        <w:jc w:val="left"/>
      </w:pPr>
      <w:r>
        <w:rPr>
          <w:sz w:val="24"/>
          <w:color w:val="FF0000"/>
        </w:rPr>
        <w:t>　　任何一方由于不可抗力原因不能履行合同时，应在不可抗力事件结束后</w:t>
      </w:r>
      <w:r>
        <w:rPr>
          <w:sz w:val="24"/>
          <w:color w:val="FF0000"/>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color w:val="FF0000"/>
        </w:rPr>
        <w:t>十</w:t>
      </w:r>
      <w:r>
        <w:rPr>
          <w:sz w:val="24"/>
          <w:b/>
          <w:color w:val="FF0000"/>
        </w:rPr>
        <w:t>二</w:t>
      </w:r>
      <w:r>
        <w:rPr>
          <w:sz w:val="24"/>
          <w:b/>
          <w:color w:val="FF0000"/>
        </w:rPr>
        <w:t>、税费</w:t>
      </w:r>
    </w:p>
    <w:p>
      <w:pPr>
        <w:pStyle w:val="null3"/>
        <w:jc w:val="left"/>
      </w:pPr>
      <w:r>
        <w:rPr>
          <w:sz w:val="24"/>
          <w:color w:val="FF0000"/>
        </w:rPr>
        <w:t>　　在中国境内、外发生的与本合同执行有关的一切税费均由乙方负担。</w:t>
      </w:r>
    </w:p>
    <w:p>
      <w:pPr>
        <w:pStyle w:val="null3"/>
        <w:jc w:val="left"/>
      </w:pPr>
      <w:r>
        <w:rPr>
          <w:sz w:val="24"/>
          <w:b/>
          <w:color w:val="FF0000"/>
        </w:rPr>
        <w:t>十</w:t>
      </w:r>
      <w:r>
        <w:rPr>
          <w:sz w:val="24"/>
          <w:b/>
          <w:color w:val="FF0000"/>
        </w:rPr>
        <w:t>三</w:t>
      </w:r>
      <w:r>
        <w:rPr>
          <w:sz w:val="24"/>
          <w:b/>
          <w:color w:val="FF0000"/>
        </w:rPr>
        <w:t>、</w:t>
      </w:r>
      <w:r>
        <w:rPr>
          <w:sz w:val="24"/>
          <w:b/>
          <w:color w:val="FF0000"/>
        </w:rPr>
        <w:t>其他</w:t>
      </w:r>
    </w:p>
    <w:p>
      <w:pPr>
        <w:pStyle w:val="null3"/>
        <w:jc w:val="left"/>
      </w:pPr>
      <w:r>
        <w:rPr>
          <w:sz w:val="24"/>
          <w:color w:val="FF0000"/>
        </w:rPr>
        <w:t>1.本合同所有附件、</w:t>
      </w:r>
      <w:r>
        <w:rPr>
          <w:sz w:val="24"/>
          <w:color w:val="FF0000"/>
        </w:rPr>
        <w:t>磋商文件</w:t>
      </w:r>
      <w:r>
        <w:rPr>
          <w:sz w:val="24"/>
          <w:color w:val="FF0000"/>
        </w:rPr>
        <w:t>、</w:t>
      </w:r>
      <w:r>
        <w:rPr>
          <w:sz w:val="24"/>
          <w:color w:val="FF0000"/>
        </w:rPr>
        <w:t>响应文件</w:t>
      </w:r>
      <w:r>
        <w:rPr>
          <w:sz w:val="24"/>
          <w:color w:val="FF0000"/>
        </w:rPr>
        <w:t>、</w:t>
      </w:r>
      <w:r>
        <w:rPr>
          <w:sz w:val="24"/>
          <w:color w:val="FF0000"/>
        </w:rPr>
        <w:t>成交通知书</w:t>
      </w:r>
      <w:r>
        <w:rPr>
          <w:sz w:val="24"/>
          <w:color w:val="FF0000"/>
        </w:rPr>
        <w:t>均</w:t>
      </w:r>
      <w:r>
        <w:rPr>
          <w:sz w:val="24"/>
          <w:color w:val="FF0000"/>
        </w:rPr>
        <w:t>为本</w:t>
      </w:r>
      <w:r>
        <w:rPr>
          <w:sz w:val="24"/>
          <w:color w:val="FF0000"/>
        </w:rPr>
        <w:t>合同的有效组成部分，与本合同具有同等法律效力。</w:t>
      </w:r>
    </w:p>
    <w:p>
      <w:pPr>
        <w:pStyle w:val="null3"/>
        <w:jc w:val="left"/>
      </w:pPr>
      <w:r>
        <w:rPr>
          <w:sz w:val="24"/>
          <w:color w:val="FF0000"/>
        </w:rPr>
        <w:t>2.在执行本合同的过程中，所有经双方签署确认的文件（包括会议纪要、补充协议、往来信函）即成为本合同的有效组成部分。</w:t>
      </w:r>
    </w:p>
    <w:p>
      <w:pPr>
        <w:pStyle w:val="null3"/>
        <w:jc w:val="left"/>
      </w:pPr>
      <w:r>
        <w:rPr>
          <w:sz w:val="24"/>
          <w:color w:val="FF0000"/>
        </w:rPr>
        <w:t>3.如一方地址、电话、传真号码有变更，应在变更当日内书面通知对方，否则，应承担相应责任。</w:t>
      </w:r>
    </w:p>
    <w:p>
      <w:pPr>
        <w:pStyle w:val="null3"/>
        <w:ind w:firstLine="480"/>
        <w:jc w:val="left"/>
      </w:pPr>
      <w:r>
        <w:rPr>
          <w:sz w:val="24"/>
          <w:color w:val="FF0000"/>
        </w:rPr>
        <w:t>4.除甲方事先书面同意外，乙方不得部分或全部转让其应履行的合同项下的义务。</w:t>
      </w:r>
    </w:p>
    <w:p>
      <w:pPr>
        <w:pStyle w:val="null3"/>
        <w:ind w:firstLine="480"/>
        <w:jc w:val="left"/>
      </w:pPr>
      <w:r>
        <w:rPr>
          <w:sz w:val="24"/>
          <w:color w:val="FF0000"/>
        </w:rPr>
        <w:t>5.乙方完全遵守《中华人民共和国民法典》有关规定和《中华人民共和国妇女权益保障法》中关于“劳动和社会保障权益”的有关要求。</w:t>
      </w:r>
    </w:p>
    <w:p>
      <w:pPr>
        <w:pStyle w:val="null3"/>
        <w:ind w:firstLine="480"/>
        <w:jc w:val="left"/>
      </w:pPr>
      <w:r>
        <w:rPr>
          <w:sz w:val="24"/>
          <w:b/>
          <w:color w:val="FF0000"/>
        </w:rPr>
        <w:t>十</w:t>
      </w:r>
      <w:r>
        <w:rPr>
          <w:sz w:val="24"/>
          <w:b/>
          <w:color w:val="FF0000"/>
        </w:rPr>
        <w:t>四</w:t>
      </w:r>
      <w:r>
        <w:rPr>
          <w:sz w:val="24"/>
          <w:b/>
          <w:color w:val="FF0000"/>
        </w:rPr>
        <w:t>、合同生效</w:t>
      </w:r>
    </w:p>
    <w:p>
      <w:pPr>
        <w:pStyle w:val="null3"/>
        <w:jc w:val="left"/>
      </w:pPr>
      <w:r>
        <w:rPr>
          <w:sz w:val="24"/>
          <w:color w:val="FF0000"/>
        </w:rPr>
        <w:t>1.本合同在甲乙双方</w:t>
      </w:r>
      <w:r>
        <w:rPr>
          <w:sz w:val="24"/>
          <w:color w:val="FF0000"/>
        </w:rPr>
        <w:t>法定代表人</w:t>
      </w:r>
      <w:r>
        <w:rPr>
          <w:sz w:val="24"/>
          <w:color w:val="FF0000"/>
        </w:rPr>
        <w:t>或其授权代表签字盖章后生效。</w:t>
      </w:r>
    </w:p>
    <w:p>
      <w:pPr>
        <w:pStyle w:val="null3"/>
        <w:jc w:val="left"/>
      </w:pPr>
      <w:r>
        <w:rPr>
          <w:sz w:val="24"/>
          <w:color w:val="FF0000"/>
        </w:rPr>
        <w:t>2.合同一式</w:t>
      </w:r>
      <w:r>
        <w:rPr>
          <w:sz w:val="24"/>
          <w:color w:val="FF0000"/>
          <w:u w:val="single"/>
        </w:rPr>
        <w:t xml:space="preserve">   </w:t>
      </w:r>
      <w:r>
        <w:rPr>
          <w:sz w:val="24"/>
          <w:color w:val="FF0000"/>
        </w:rPr>
        <w:t xml:space="preserve"> 份。</w:t>
      </w:r>
    </w:p>
    <w:p>
      <w:pPr>
        <w:pStyle w:val="null3"/>
        <w:jc w:val="left"/>
      </w:pPr>
      <w:r>
        <w:rPr>
          <w:sz w:val="24"/>
          <w:color w:val="FF0000"/>
        </w:rPr>
        <w:t xml:space="preserve"> </w:t>
      </w:r>
    </w:p>
    <w:p>
      <w:pPr>
        <w:pStyle w:val="null3"/>
        <w:jc w:val="left"/>
      </w:pPr>
      <w:r>
        <w:rPr>
          <w:sz w:val="24"/>
          <w:b/>
          <w:color w:val="FF0000"/>
        </w:rPr>
        <w:t>甲方（盖章）：</w:t>
      </w:r>
      <w:r>
        <w:rPr>
          <w:sz w:val="24"/>
          <w:b/>
          <w:color w:val="FF0000"/>
        </w:rPr>
        <w:t xml:space="preserve">         乙方（盖章）：</w:t>
      </w:r>
    </w:p>
    <w:p>
      <w:pPr>
        <w:pStyle w:val="null3"/>
        <w:jc w:val="left"/>
      </w:pPr>
      <w:r>
        <w:rPr>
          <w:sz w:val="24"/>
          <w:b/>
          <w:color w:val="FF0000"/>
        </w:rPr>
        <w:t>代表：</w:t>
      </w:r>
      <w:r>
        <w:rPr>
          <w:sz w:val="24"/>
          <w:b/>
          <w:color w:val="FF0000"/>
        </w:rPr>
        <w:t xml:space="preserve">             代表：</w:t>
      </w:r>
    </w:p>
    <w:p>
      <w:pPr>
        <w:pStyle w:val="null3"/>
        <w:jc w:val="left"/>
      </w:pPr>
      <w:r>
        <w:rPr>
          <w:sz w:val="24"/>
          <w:color w:val="FF0000"/>
        </w:rPr>
        <w:t>签订地点：</w:t>
      </w:r>
    </w:p>
    <w:p>
      <w:pPr>
        <w:pStyle w:val="null3"/>
        <w:jc w:val="left"/>
      </w:pPr>
      <w:r>
        <w:rPr>
          <w:sz w:val="24"/>
          <w:color w:val="FF0000"/>
        </w:rPr>
        <w:t>签订日期：　　　年　　月　　日</w:t>
      </w:r>
      <w:r>
        <w:rPr>
          <w:sz w:val="24"/>
          <w:color w:val="FF0000"/>
        </w:rPr>
        <w:t xml:space="preserve">  签订日期：　　　年　　月　　日</w:t>
      </w:r>
    </w:p>
    <w:p>
      <w:pPr>
        <w:pStyle w:val="null3"/>
        <w:jc w:val="left"/>
      </w:pPr>
      <w:r>
        <w:rPr>
          <w:sz w:val="24"/>
          <w:color w:val="FF0000"/>
        </w:rPr>
        <w:t>开户名称：</w:t>
      </w:r>
    </w:p>
    <w:p>
      <w:pPr>
        <w:pStyle w:val="null3"/>
        <w:jc w:val="left"/>
      </w:pPr>
      <w:r>
        <w:rPr>
          <w:sz w:val="24"/>
          <w:color w:val="FF0000"/>
        </w:rPr>
        <w:t>银行</w:t>
      </w:r>
      <w:r>
        <w:rPr>
          <w:sz w:val="24"/>
          <w:color w:val="FF0000"/>
        </w:rPr>
        <w:t>账号</w:t>
      </w:r>
      <w:r>
        <w:rPr>
          <w:sz w:val="24"/>
          <w:color w:val="FF0000"/>
        </w:rPr>
        <w:t>：</w:t>
      </w:r>
    </w:p>
    <w:p>
      <w:pPr>
        <w:pStyle w:val="null3"/>
        <w:jc w:val="left"/>
      </w:pPr>
      <w:r>
        <w:rPr>
          <w:sz w:val="24"/>
          <w:color w:val="FF0000"/>
        </w:rPr>
        <w:t>开</w:t>
      </w:r>
      <w:r>
        <w:rPr>
          <w:sz w:val="24"/>
          <w:color w:val="FF0000"/>
        </w:rPr>
        <w:t>户</w:t>
      </w:r>
      <w:r>
        <w:rPr>
          <w:sz w:val="24"/>
          <w:color w:val="FF0000"/>
        </w:rPr>
        <w:t>行：</w:t>
      </w:r>
    </w:p>
    <w:p>
      <w:pPr>
        <w:pStyle w:val="null3"/>
        <w:jc w:val="left"/>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440114-2026-03060</w:t>
      </w:r>
    </w:p>
    <w:p>
      <w:pPr>
        <w:pStyle w:val="null3"/>
        <w:jc w:val="center"/>
        <w:outlineLvl w:val="3"/>
      </w:pPr>
      <w:r>
        <w:rPr>
          <w:sz w:val="24"/>
          <w:b/>
        </w:rPr>
        <w:t>采购项目编号：</w:t>
      </w:r>
      <w:r>
        <w:rPr>
          <w:sz w:val="24"/>
          <w:b/>
        </w:rPr>
        <w:t>0877-26GZTP1ZC0437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广东广招国际招标有限公司</w:t>
      </w:r>
    </w:p>
    <w:p>
      <w:pPr>
        <w:pStyle w:val="null3"/>
        <w:ind w:firstLine="480"/>
      </w:pPr>
      <w:r>
        <w:rPr/>
        <w:t xml:space="preserve"> 你方组织的</w:t>
      </w:r>
      <w:r>
        <w:rPr>
          <w:u w:val="single"/>
        </w:rPr>
        <w:t>“</w:t>
      </w:r>
      <w:r>
        <w:rPr>
          <w:u w:val="single"/>
        </w:rPr>
        <w:t>花山镇红色美丽村庄红四师广场及红色文化中心配套服务项目</w:t>
      </w:r>
      <w:r>
        <w:rPr>
          <w:u w:val="single"/>
        </w:rPr>
        <w:t>”</w:t>
      </w:r>
      <w:r>
        <w:rPr/>
        <w:t>项目的竞争性磋商[采购项目编号为：</w:t>
      </w:r>
      <w:r>
        <w:rPr>
          <w:u w:val="single"/>
        </w:rPr>
        <w:t>0877-26GZTP1ZC0437</w:t>
      </w:r>
      <w:r>
        <w:rPr/>
        <w:t>]，我方愿参与响应。</w:t>
      </w:r>
    </w:p>
    <w:p>
      <w:pPr>
        <w:pStyle w:val="null3"/>
        <w:ind w:firstLine="480"/>
      </w:pPr>
      <w:r>
        <w:rPr/>
        <w:t>我方确认收到贵方提供的</w:t>
      </w:r>
      <w:r>
        <w:rPr>
          <w:u w:val="single"/>
        </w:rPr>
        <w:t>“</w:t>
      </w:r>
      <w:r>
        <w:rPr>
          <w:u w:val="single"/>
        </w:rPr>
        <w:t>花山镇红色美丽村庄红四师广场及红色文化中心配套服务项目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花山镇红色美丽村庄红四师广场及红色文化中心配套服务项目</w:t>
      </w:r>
      <w:r>
        <w:rPr/>
        <w:t>”项目采购[采购项目编号为</w:t>
      </w:r>
      <w:r>
        <w:rPr/>
        <w:t>0877-26GZTP1ZC0437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广州市花都区花山镇人民政府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广东广招国际招标有限公司</w:t>
      </w:r>
    </w:p>
    <w:p>
      <w:pPr>
        <w:pStyle w:val="null3"/>
        <w:ind w:firstLine="480"/>
      </w:pPr>
      <w:r>
        <w:rPr/>
        <w:t>我单位参加贵公司组织的</w:t>
      </w:r>
      <w:r>
        <w:rPr/>
        <w:t>花山镇红色美丽村庄红四师广场及红色文化中心配套服务项目</w:t>
      </w:r>
      <w:r>
        <w:rPr/>
        <w:t>（采购项目编号：</w:t>
      </w:r>
      <w:r>
        <w:rPr/>
        <w:t>0877-26GZTP1ZC0437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