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440114-2026-03059</w:t>
      </w:r>
    </w:p>
    <w:p>
      <w:pPr>
        <w:pStyle w:val="null3"/>
        <w:jc w:val="center"/>
        <w:outlineLvl w:val="3"/>
      </w:pPr>
      <w:r>
        <w:rPr>
          <w:sz w:val="24"/>
          <w:b/>
        </w:rPr>
        <w:t>采购项目编号：</w:t>
      </w:r>
      <w:r>
        <w:rPr>
          <w:sz w:val="24"/>
          <w:b/>
        </w:rPr>
        <w:t>0877-26GZTP1ZC0436</w:t>
      </w:r>
    </w:p>
    <w:p>
      <w:pPr>
        <w:pStyle w:val="null3"/>
        <w:jc w:val="center"/>
        <w:outlineLvl w:val="3"/>
      </w:pPr>
      <w:r>
        <w:rPr>
          <w:sz w:val="24"/>
          <w:b/>
        </w:rPr>
        <w:t>项目名称：</w:t>
      </w:r>
      <w:r>
        <w:rPr>
          <w:sz w:val="24"/>
          <w:b/>
        </w:rPr>
        <w:t>花山镇红色美丽村庄花城村党群服务中心升级改造文化产品展览服务项目</w:t>
      </w:r>
    </w:p>
    <w:p>
      <w:pPr>
        <w:pStyle w:val="null3"/>
        <w:jc w:val="center"/>
        <w:outlineLvl w:val="3"/>
      </w:pPr>
      <w:r>
        <w:rPr>
          <w:sz w:val="24"/>
          <w:b/>
        </w:rPr>
        <w:t>采购人：</w:t>
      </w:r>
      <w:r>
        <w:rPr>
          <w:sz w:val="24"/>
          <w:b/>
        </w:rPr>
        <w:t>广州市花都区花山镇人民政府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广州市花都区花山镇人民政府</w:t>
      </w:r>
      <w:r>
        <w:rPr/>
        <w:t>的委托，采用</w:t>
      </w:r>
      <w:r>
        <w:rPr/>
        <w:t>竞争性磋商</w:t>
      </w:r>
      <w:r>
        <w:rPr/>
        <w:t>方式组织采购</w:t>
      </w:r>
      <w:r>
        <w:rPr/>
        <w:t>花山镇红色美丽村庄花城村党群服务中心升级改造文化产品展览服务项目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花山镇红色美丽村庄花城村党群服务中心升级改造文化产品展览服务项目</w:t>
      </w:r>
    </w:p>
    <w:p>
      <w:pPr>
        <w:pStyle w:val="null3"/>
        <w:ind w:firstLine="480"/>
      </w:pPr>
      <w:r>
        <w:rPr/>
        <w:t>采购计划编号：</w:t>
      </w:r>
      <w:r>
        <w:rPr/>
        <w:t>440114-2026-03059</w:t>
      </w:r>
    </w:p>
    <w:p>
      <w:pPr>
        <w:pStyle w:val="null3"/>
        <w:ind w:firstLine="480"/>
      </w:pPr>
      <w:r>
        <w:rPr/>
        <w:t>采购项目编号：</w:t>
      </w:r>
      <w:r>
        <w:rPr/>
        <w:t>0877-26GZTP1ZC0436</w:t>
      </w:r>
    </w:p>
    <w:p>
      <w:pPr>
        <w:pStyle w:val="null3"/>
        <w:ind w:firstLine="480"/>
      </w:pPr>
      <w:r>
        <w:rPr/>
        <w:t>采购方式：</w:t>
      </w:r>
      <w:r>
        <w:rPr/>
        <w:t>竞争性磋商</w:t>
      </w:r>
    </w:p>
    <w:p>
      <w:pPr>
        <w:pStyle w:val="null3"/>
        <w:ind w:firstLine="480"/>
      </w:pPr>
      <w:r>
        <w:rPr/>
        <w:t>预算金额：</w:t>
      </w:r>
      <w:r>
        <w:rPr/>
        <w:t>1,466,600.00</w:t>
      </w:r>
      <w:r>
        <w:rPr/>
        <w:t>元</w:t>
      </w:r>
    </w:p>
    <w:p>
      <w:pPr>
        <w:pStyle w:val="null3"/>
        <w:outlineLvl w:val="3"/>
      </w:pPr>
      <w:r>
        <w:rPr>
          <w:sz w:val="24"/>
          <w:b/>
        </w:rPr>
        <w:t>2.项目内容及需求情况（采购项目技术规格、参数及要求）</w:t>
      </w:r>
    </w:p>
    <w:p>
      <w:pPr>
        <w:pStyle w:val="null3"/>
      </w:pPr>
      <w:r>
        <w:rPr/>
        <w:t>采购包1(花山镇红色美丽村庄花城村党群服务中心升级改造文化产品展览服务项目):</w:t>
      </w:r>
    </w:p>
    <w:p>
      <w:pPr>
        <w:pStyle w:val="null3"/>
      </w:pPr>
      <w:r>
        <w:rPr/>
        <w:t>采购包预算金额：1,466,600.00元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文化产品展览服务</w:t>
            </w:r>
          </w:p>
        </w:tc>
        <w:tc>
          <w:tcPr>
            <w:tcW w:type="dxa" w:w="2052"/>
          </w:tcPr>
          <w:p>
            <w:pPr>
              <w:pStyle w:val="null3"/>
            </w:pPr>
            <w:r>
              <w:rPr/>
              <w:t>花山镇红色美丽村庄花城村党群服务中心升级改造文化产品展览服务项目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1,466,600.00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合同履行期限：采购人通知供应商进场之日起3个月内完成项目所有内容。</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采购包1（花山镇红色美丽村庄花城村党群服务中心升级改造文化产品展览服务项目）：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采购包1（花山镇红色美丽村庄花城村党群服务中心升级改造文化产品展览服务项目）：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广州市花都区花山镇人民政府</w:t>
      </w:r>
    </w:p>
    <w:p>
      <w:pPr>
        <w:pStyle w:val="null3"/>
        <w:ind w:firstLine="480"/>
      </w:pPr>
      <w:r>
        <w:rPr/>
        <w:t>地址：</w:t>
      </w:r>
      <w:r>
        <w:rPr/>
        <w:t>广州市花都区花山镇花山大道1号</w:t>
      </w:r>
    </w:p>
    <w:p>
      <w:pPr>
        <w:pStyle w:val="null3"/>
        <w:ind w:firstLine="480"/>
      </w:pPr>
      <w:r>
        <w:rPr/>
        <w:t>联系方式：</w:t>
      </w:r>
      <w:r>
        <w:rPr/>
        <w:t>13533646636</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广州市东风东路745号东山紫园商务大厦2005单元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文化产品展览服务</w:t>
      </w:r>
    </w:p>
    <w:p>
      <w:pPr>
        <w:pStyle w:val="null3"/>
        <w:jc w:val="both"/>
      </w:pPr>
      <w:r>
        <w:rPr>
          <w:sz w:val="21"/>
        </w:rPr>
        <w:t>本项目对应的中小企业划分标准所属行业为：</w:t>
      </w:r>
      <w:r>
        <w:rPr>
          <w:sz w:val="21"/>
        </w:rPr>
        <w:t>其他未列明行业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b/>
        </w:rPr>
        <w:t>1</w:t>
      </w:r>
      <w:r>
        <w:rPr>
          <w:sz w:val="21"/>
          <w:b/>
        </w:rPr>
        <w:t>、项目名称：</w:t>
      </w:r>
      <w:r>
        <w:rPr>
          <w:sz w:val="21"/>
        </w:rPr>
        <w:t>花山镇红色美丽村庄花城村党群服务中心升级改造文化产品展览服务项目</w:t>
      </w:r>
    </w:p>
    <w:p>
      <w:pPr>
        <w:pStyle w:val="null3"/>
        <w:jc w:val="both"/>
      </w:pPr>
      <w:r>
        <w:rPr>
          <w:sz w:val="21"/>
          <w:b/>
        </w:rPr>
        <w:t>2</w:t>
      </w:r>
      <w:r>
        <w:rPr>
          <w:sz w:val="21"/>
          <w:b/>
        </w:rPr>
        <w:t>、项目地点：</w:t>
      </w:r>
      <w:r>
        <w:rPr>
          <w:sz w:val="21"/>
        </w:rPr>
        <w:t>广州市</w:t>
      </w:r>
      <w:r>
        <w:rPr>
          <w:sz w:val="21"/>
        </w:rPr>
        <w:t>花都区花山镇花城村</w:t>
      </w:r>
    </w:p>
    <w:p>
      <w:pPr>
        <w:pStyle w:val="null3"/>
        <w:jc w:val="both"/>
      </w:pPr>
      <w:r>
        <w:rPr>
          <w:sz w:val="21"/>
          <w:b/>
        </w:rPr>
        <w:t>3</w:t>
      </w:r>
      <w:r>
        <w:rPr>
          <w:sz w:val="21"/>
          <w:b/>
        </w:rPr>
        <w:t>、服务项目背景：</w:t>
      </w:r>
      <w:r>
        <w:rPr>
          <w:sz w:val="21"/>
        </w:rPr>
        <w:t>为深入贯彻落实关于用好红色资源、传承红色基因、赓续红色血脉的重要指示精神，因地制宜开展红色美丽村庄建设，根据省委组织部、省财政厅转发《中共中央组织部</w:t>
      </w:r>
      <w:r>
        <w:rPr>
          <w:sz w:val="21"/>
        </w:rPr>
        <w:t>财政部关于继续开展推动红色村组织振兴建设红色美丽村庄试点工作的通知》（粤组通〔</w:t>
      </w:r>
      <w:r>
        <w:rPr>
          <w:sz w:val="21"/>
        </w:rPr>
        <w:t>2025</w:t>
      </w:r>
      <w:r>
        <w:rPr>
          <w:sz w:val="21"/>
        </w:rPr>
        <w:t>〕</w:t>
      </w:r>
      <w:r>
        <w:rPr>
          <w:sz w:val="21"/>
        </w:rPr>
        <w:t>22</w:t>
      </w:r>
      <w:r>
        <w:rPr>
          <w:sz w:val="21"/>
        </w:rPr>
        <w:t>号）有关要求，结合</w:t>
      </w:r>
      <w:r>
        <w:rPr>
          <w:sz w:val="21"/>
        </w:rPr>
        <w:t>花都区花山镇花城村</w:t>
      </w:r>
      <w:r>
        <w:rPr>
          <w:sz w:val="21"/>
        </w:rPr>
        <w:t>实际，本项目</w:t>
      </w:r>
      <w:r>
        <w:rPr>
          <w:sz w:val="21"/>
        </w:rPr>
        <w:t>依托</w:t>
      </w:r>
      <w:r>
        <w:rPr>
          <w:sz w:val="21"/>
        </w:rPr>
        <w:t>花城村</w:t>
      </w:r>
      <w:r>
        <w:rPr>
          <w:sz w:val="21"/>
        </w:rPr>
        <w:t>红色资源</w:t>
      </w:r>
      <w:r>
        <w:rPr>
          <w:sz w:val="21"/>
        </w:rPr>
        <w:t>，</w:t>
      </w:r>
      <w:r>
        <w:rPr>
          <w:sz w:val="21"/>
        </w:rPr>
        <w:t>围绕</w:t>
      </w:r>
      <w:r>
        <w:rPr>
          <w:sz w:val="21"/>
        </w:rPr>
        <w:t>“</w:t>
      </w:r>
      <w:r>
        <w:rPr>
          <w:sz w:val="21"/>
        </w:rPr>
        <w:t>两地三中心</w:t>
      </w:r>
      <w:r>
        <w:rPr>
          <w:sz w:val="21"/>
        </w:rPr>
        <w:t>”红色矩阵</w:t>
      </w:r>
      <w:r>
        <w:rPr>
          <w:sz w:val="21"/>
        </w:rPr>
        <w:t>，</w:t>
      </w:r>
      <w:r>
        <w:rPr>
          <w:sz w:val="21"/>
        </w:rPr>
        <w:t>升级改造</w:t>
      </w:r>
      <w:r>
        <w:rPr>
          <w:sz w:val="21"/>
        </w:rPr>
        <w:t>花城村党群服务中心</w:t>
      </w:r>
      <w:r>
        <w:rPr>
          <w:sz w:val="21"/>
        </w:rPr>
        <w:t>，将其打造为集</w:t>
      </w:r>
      <w:r>
        <w:rPr>
          <w:sz w:val="21"/>
        </w:rPr>
        <w:t>“党群服务、民生保障、红色教育、村民议事、文化活动”于一体的多功能前沿阵地</w:t>
      </w:r>
      <w:r>
        <w:rPr>
          <w:sz w:val="21"/>
        </w:rPr>
        <w:t>，</w:t>
      </w:r>
      <w:r>
        <w:rPr>
          <w:sz w:val="21"/>
        </w:rPr>
        <w:t>通过</w:t>
      </w:r>
      <w:r>
        <w:rPr>
          <w:sz w:val="21"/>
        </w:rPr>
        <w:t>全面加强</w:t>
      </w:r>
      <w:r>
        <w:rPr>
          <w:sz w:val="21"/>
        </w:rPr>
        <w:t>基层党</w:t>
      </w:r>
      <w:r>
        <w:rPr>
          <w:sz w:val="21"/>
        </w:rPr>
        <w:t>组织建设，增强政治功能和组织力</w:t>
      </w:r>
      <w:r>
        <w:rPr>
          <w:sz w:val="21"/>
        </w:rPr>
        <w:t>，</w:t>
      </w:r>
      <w:r>
        <w:rPr>
          <w:sz w:val="21"/>
        </w:rPr>
        <w:t>实现</w:t>
      </w:r>
      <w:r>
        <w:rPr>
          <w:sz w:val="21"/>
        </w:rPr>
        <w:t>“阵地开放、资源共享、功能聚合、服务赋能”，</w:t>
      </w:r>
      <w:r>
        <w:rPr>
          <w:sz w:val="21"/>
        </w:rPr>
        <w:t>为建设红色美丽村庄提供坚强保证</w:t>
      </w:r>
      <w:r>
        <w:rPr>
          <w:sz w:val="21"/>
        </w:rPr>
        <w:t>，</w:t>
      </w:r>
      <w:r>
        <w:rPr>
          <w:sz w:val="21"/>
        </w:rPr>
        <w:t>高标准推动</w:t>
      </w:r>
      <w:r>
        <w:rPr>
          <w:sz w:val="21"/>
        </w:rPr>
        <w:t>新一轮组织振兴建设红色美丽村庄试点工作</w:t>
      </w:r>
      <w:r>
        <w:rPr>
          <w:sz w:val="21"/>
        </w:rPr>
        <w:t>。</w:t>
      </w:r>
    </w:p>
    <w:p>
      <w:pPr>
        <w:pStyle w:val="null3"/>
        <w:jc w:val="both"/>
      </w:pPr>
      <w:r>
        <w:rPr>
          <w:sz w:val="21"/>
          <w:b/>
        </w:rPr>
        <w:t>4</w:t>
      </w:r>
      <w:r>
        <w:rPr>
          <w:sz w:val="21"/>
          <w:b/>
        </w:rPr>
        <w:t>、项目建设目标</w:t>
      </w:r>
      <w:r>
        <w:rPr>
          <w:sz w:val="21"/>
          <w:b/>
        </w:rPr>
        <w:t>:</w:t>
      </w:r>
      <w:r>
        <w:rPr>
          <w:sz w:val="21"/>
        </w:rPr>
        <w:t>紧密结合</w:t>
      </w:r>
      <w:r>
        <w:rPr>
          <w:sz w:val="21"/>
        </w:rPr>
        <w:t>“百县千镇万村高质量发展工程”典型村和“岭南绿美第一村”建设，锚定“红绿融合、幸福花城村”建设目标，深入实施“基层党组织建设强基工程”，切实增强</w:t>
      </w:r>
      <w:r>
        <w:rPr>
          <w:sz w:val="21"/>
        </w:rPr>
        <w:t>花城村</w:t>
      </w:r>
      <w:r>
        <w:rPr>
          <w:sz w:val="21"/>
        </w:rPr>
        <w:t>党组织政治功能和组织功能，切实增强</w:t>
      </w:r>
      <w:r>
        <w:rPr>
          <w:sz w:val="21"/>
        </w:rPr>
        <w:t>村民</w:t>
      </w:r>
      <w:r>
        <w:rPr>
          <w:sz w:val="21"/>
        </w:rPr>
        <w:t>群众获得感、幸福感、安全感，推动红色资源有效转化为区域发展动能，大力推进宜居宜业</w:t>
      </w:r>
      <w:r>
        <w:rPr>
          <w:sz w:val="21"/>
        </w:rPr>
        <w:t>和谐乡村</w:t>
      </w:r>
      <w:r>
        <w:rPr>
          <w:sz w:val="21"/>
        </w:rPr>
        <w:t>建设，努力把花城村建设成具有党建引领力、群众凝聚力、发展推动力的红色战斗堡垒和幸福宜居高地。</w:t>
      </w:r>
    </w:p>
    <w:p>
      <w:pPr>
        <w:pStyle w:val="null3"/>
        <w:jc w:val="both"/>
      </w:pPr>
      <w:r>
        <w:rPr>
          <w:sz w:val="21"/>
          <w:b/>
        </w:rPr>
        <w:t>5</w:t>
      </w:r>
      <w:r>
        <w:rPr>
          <w:sz w:val="21"/>
          <w:b/>
        </w:rPr>
        <w:t>、建设标准：</w:t>
      </w:r>
      <w:r>
        <w:rPr>
          <w:sz w:val="21"/>
        </w:rPr>
        <w:t>按党群活动、</w:t>
      </w:r>
      <w:r>
        <w:rPr>
          <w:sz w:val="21"/>
        </w:rPr>
        <w:t>党史学习教育、</w:t>
      </w:r>
      <w:r>
        <w:rPr>
          <w:sz w:val="21"/>
        </w:rPr>
        <w:t>红色文化教育等。</w:t>
      </w:r>
    </w:p>
    <w:p>
      <w:pPr>
        <w:pStyle w:val="null3"/>
      </w:pPr>
      <w:r>
        <w:rPr/>
        <w:t>采购包1（花山镇红色美丽村庄花城村党群服务中心升级改造文化产品展览服务项目）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采购人通知供应商进场之日起3个月内完成项目所有内容。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1期：支付比例70%,从合同签订之日起，成交供应商提供的设计方案在得到采购人确认后的5个工作日内，采购人支付成交供应商合同总价的70%，作为项目首款。</w:t>
            </w:r>
          </w:p>
          <w:p>
            <w:pPr>
              <w:pStyle w:val="null3"/>
            </w:pPr>
            <w:r>
              <w:rPr/>
              <w:t>2期：支付比例30%,项目完工经采购人验收后10个工作日内，采购人支付成交供应商合同总价的30%。 （1）成交供应商凭以下有效文件与采购人结算： 1)合同； 2)成交供应商开具的正式发票； 3)验收报告（加盖采购人公章）； 4)成交通知书。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和成交供应商双方共同组织相关人员，根据成交供应商响应承诺进行验收。（1）依据项目进程，项目阶段内容完成后成交供应商将向采购人提请阶段验收通知，采购人应在收到验收通知后的3个工作日内组织双方人员进行验收。验收完成后双方签署验收报告。 （2）验收报告在双方项目负责人签字确认后生效，并视为采购人已确认该验收报告所对应的项目实施阶段验收完毕。 （3）成交供应商完成整体验收3个工作日内，采购人提出修改意见。如在提交成果的3个工作日内，成交供应商没有接到采购人书面（并加盖公章）的反馈意见，自当验收通过，自验收之日起，采购人需进行阶段性款项的支付。 （4）验收标准： 1)办展应按照国家、省、市现行的相关质量评定标准和施工验收规范、规程进行施工和验收。 2)设备货物到场后，采购人对产品包装、明细、数量及随附资料进行核对，如无异议，须书面通知成交供应商代表初步验收合格，成交供应商可进行后续安装和调试。由成交供应商负责将货物的所有部件、配件安装、配置、调试完毕，待全部货物正常运行一周，则整体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其他商务要求，一、质保期： （1）质量保证期（简称“质保期”）为1年，质保期内成交供应商对所供货物实行包修、包换、包退、包维护保养。 （2）质保期内，如因成交供应商原因造成的质量问题，所有硬件设备的维修均为免费。 （3）质保期满后，实行有偿服务，维护费双方可另行商定。售后服务由成交供应商负责，维护条款如下： 1)电话网络咨询及相关疑难解答。 2)服务范围仅限软件系统及硬件产品。 3)系统软硬件如有故障，优先采用电话、网上维护等方式进行处理，确有需要视紧急程度可协商派技术人员在双方约定时间内到达现场处理。 4)对纯因系统软件所产生的问题，成交供应商提供远程或现场故障排除与技术服务；若因采购人操作或制度变更所产生的问题，或需要修改源程序的，将视情况进行收取一定的人工成本费。 （4）质保期内硬件免费维护。对因人为损坏或不可抗力因素需更换的配件和超过免费保修期的硬件，收取一定人工及材料成本费用。 （5）技术服务和指导内容：成交供应商提供的货物在货物安装完毕后，由成交供应商免费负责对采购人人员进行产品的使用及日常保养维护培训。 二、 项目所需设备的包装、保险及发运、保管要求： （1）设备材料的包装必须是制造商原厂包装，其包装均应有良好的防湿、防锈、防潮、防雨、防腐及防碰撞的措施。凡由于包装不良造成的损失和由此产生的费用均由成交供应商承担。 （2）成交供应商负责将设备材料货到现场过程中的全部运输，包括装卸车、货物现场的搬运。 （3）各种设备必须提供装箱清单，按装箱清单验收货物。 （4）货物在现场的保管由成交供应商负责，直至项目安装、验收完毕。 （5）货物在系统安装调试验收合格前的保险由成交供应商负责，成交供应商负责其派出的现场服务人员人身意外保险。 （6）设备至采购人指定的使用现场的包装、保险及发运等环节和费用均由成交供应商负责。 三、项目所需设备的安装、调试： （1）成交供应商必须依照磋商文件的要求和响应文件的承诺，将设备、系统安装并调试至正常运行的最佳状态。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（3）货物为原厂商(制造商)未启封全新包装，具出厂合格证，序列号、包装箱号与出厂批号一致，并可追索查阅。所有随设备的附件必须齐全。 （4）成交供应商应将关键主机设备的用户手册、保修手册、有关单证资料及配备件、随机工具等交付给采购人，使用操作及安全须知等重要资料应附有中文说明。 （5）成交供应商在安装时，应做好安装场地范围内的安全、防火、保卫、文明施工及环境卫生工作，及时清理废弃物,确保施工现场清洁、道路畅通。成交供应商承诺加强做好安装安全工作，需对安装现场进行防护保护工作，做足安全防护措施，杜绝安全事故的发生；如因成交供应商方原因发生安全事故，造成人员伤亡及财产损失的，成交供应商承诺承担由此造成的损失和责任与采购人无关。 （6）成交供应商在安装相关设备时必须派出具有相关设备安装资格的技术人员进行安装，并具有一定的安装经验，凡由于安装不良造成的损失和由此产生的费用均由成交供应商承担。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文化产品展览服务</w:t>
            </w:r>
          </w:p>
        </w:tc>
        <w:tc>
          <w:tcPr>
            <w:tcW w:type="dxa" w:w="933"/>
          </w:tcPr>
          <w:p>
            <w:pPr>
              <w:pStyle w:val="null3"/>
              <w:jc w:val="left"/>
            </w:pPr>
            <w:r>
              <w:rPr/>
              <w:t>花山镇红色美丽村庄花城村党群服务中心升级改造文化产品展览服务项目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1,466,600.00</w:t>
            </w:r>
          </w:p>
        </w:tc>
        <w:tc>
          <w:tcPr>
            <w:tcW w:type="dxa" w:w="933"/>
          </w:tcPr>
          <w:p>
            <w:pPr>
              <w:pStyle w:val="null3"/>
              <w:jc w:val="right"/>
            </w:pPr>
            <w:r>
              <w:rPr/>
              <w:t>1,466,600.00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花山镇红色美丽村庄花城村党群服务中心升级改造文化产品展览服务项目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一、项目内容：</w:t>
            </w:r>
          </w:p>
          <w:p>
            <w:pPr>
              <w:pStyle w:val="null3"/>
              <w:jc w:val="both"/>
            </w:pPr>
            <w:r>
              <w:rPr>
                <w:sz w:val="21"/>
              </w:rPr>
              <w:t>1</w:t>
            </w:r>
            <w:r>
              <w:rPr>
                <w:sz w:val="21"/>
              </w:rPr>
              <w:t>.</w:t>
            </w:r>
            <w:r>
              <w:rPr>
                <w:sz w:val="21"/>
              </w:rPr>
              <w:t>本次</w:t>
            </w:r>
            <w:r>
              <w:rPr>
                <w:sz w:val="21"/>
              </w:rPr>
              <w:t>采购</w:t>
            </w:r>
            <w:r>
              <w:rPr>
                <w:sz w:val="21"/>
              </w:rPr>
              <w:t>为：</w:t>
            </w:r>
            <w:r>
              <w:rPr>
                <w:sz w:val="21"/>
              </w:rPr>
              <w:t>花山镇红色美丽村庄花城村党群服务中心升级改造文化产品展览服务项目</w:t>
            </w:r>
            <w:r>
              <w:rPr>
                <w:sz w:val="21"/>
              </w:rPr>
              <w:t>。</w:t>
            </w:r>
          </w:p>
          <w:p>
            <w:pPr>
              <w:pStyle w:val="null3"/>
              <w:jc w:val="both"/>
            </w:pPr>
            <w:r>
              <w:rPr>
                <w:sz w:val="21"/>
              </w:rPr>
              <w:t>2</w:t>
            </w:r>
            <w:r>
              <w:rPr>
                <w:sz w:val="21"/>
              </w:rPr>
              <w:t>.</w:t>
            </w:r>
            <w:r>
              <w:rPr>
                <w:sz w:val="21"/>
              </w:rPr>
              <w:t>服务</w:t>
            </w:r>
            <w:r>
              <w:rPr>
                <w:sz w:val="21"/>
              </w:rPr>
              <w:t>范围</w:t>
            </w:r>
            <w:r>
              <w:rPr>
                <w:sz w:val="21"/>
              </w:rPr>
              <w:t>：</w:t>
            </w:r>
            <w:r>
              <w:rPr>
                <w:sz w:val="21"/>
              </w:rPr>
              <w:t>花山镇花城村委会</w:t>
            </w:r>
            <w:r>
              <w:rPr>
                <w:sz w:val="21"/>
              </w:rPr>
              <w:t>。</w:t>
            </w:r>
          </w:p>
          <w:p>
            <w:pPr>
              <w:pStyle w:val="null3"/>
              <w:jc w:val="both"/>
            </w:pPr>
            <w:r>
              <w:rPr>
                <w:sz w:val="21"/>
              </w:rPr>
              <w:t>3</w:t>
            </w:r>
            <w:r>
              <w:rPr>
                <w:sz w:val="21"/>
              </w:rPr>
              <w:t>.</w:t>
            </w:r>
            <w:r>
              <w:rPr>
                <w:sz w:val="21"/>
              </w:rPr>
              <w:t>项目内容：</w:t>
            </w:r>
          </w:p>
          <w:tbl>
            <w:tblPr>
              <w:tblInd w:type="dxa" w:w="315"/>
              <w:tblBorders>
                <w:top w:val="none" w:color="000000" w:sz="4"/>
                <w:left w:val="none" w:color="000000" w:sz="4"/>
                <w:bottom w:val="none" w:color="000000" w:sz="4"/>
                <w:right w:val="none" w:color="000000" w:sz="4"/>
                <w:insideH w:val="none"/>
                <w:insideV w:val="none"/>
              </w:tblBorders>
            </w:tblPr>
            <w:tblGrid>
              <w:gridCol w:w="1267"/>
              <w:gridCol w:w="3331"/>
              <w:gridCol w:w="1001"/>
            </w:tblGrid>
            <w:tr>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分项名称</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围绕试点建设要求，开展红色传统、新时代精神、党建宣传氛围营造</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围绕试点建设要求，对村委会进行整体布置，打造为村民提供党务、政务、村务的综合性党群服务中心</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pPr>
              <w:pStyle w:val="null3"/>
              <w:jc w:val="both"/>
            </w:pPr>
            <w:r>
              <w:rPr>
                <w:sz w:val="21"/>
              </w:rPr>
              <w:t>4</w:t>
            </w:r>
            <w:r>
              <w:rPr>
                <w:sz w:val="21"/>
              </w:rPr>
              <w:t>.</w:t>
            </w:r>
            <w:r>
              <w:rPr>
                <w:sz w:val="21"/>
              </w:rPr>
              <w:t>完成期：自采购人通知供应商进场之日起</w:t>
            </w:r>
            <w:r>
              <w:rPr>
                <w:sz w:val="21"/>
              </w:rPr>
              <w:t>3</w:t>
            </w:r>
            <w:r>
              <w:rPr>
                <w:sz w:val="21"/>
              </w:rPr>
              <w:t>个月内完成项目所有内容。</w:t>
            </w:r>
          </w:p>
          <w:p>
            <w:pPr>
              <w:pStyle w:val="null3"/>
              <w:jc w:val="both"/>
            </w:pPr>
            <w:r>
              <w:rPr>
                <w:sz w:val="21"/>
              </w:rPr>
              <w:t>5</w:t>
            </w:r>
            <w:r>
              <w:rPr>
                <w:sz w:val="21"/>
              </w:rPr>
              <w:t>.</w:t>
            </w:r>
            <w:r>
              <w:rPr>
                <w:sz w:val="21"/>
              </w:rPr>
              <w:t>质量标准：合格。</w:t>
            </w:r>
          </w:p>
          <w:p>
            <w:pPr>
              <w:pStyle w:val="null3"/>
              <w:jc w:val="both"/>
            </w:pPr>
            <w:r>
              <w:rPr>
                <w:sz w:val="21"/>
              </w:rPr>
              <w:t>二、总体要求：</w:t>
            </w:r>
          </w:p>
          <w:p>
            <w:pPr>
              <w:pStyle w:val="null3"/>
              <w:jc w:val="both"/>
            </w:pPr>
            <w:r>
              <w:rPr>
                <w:sz w:val="21"/>
              </w:rPr>
              <w:t>（一）项目总体要求</w:t>
            </w:r>
          </w:p>
          <w:p>
            <w:pPr>
              <w:pStyle w:val="null3"/>
              <w:jc w:val="both"/>
            </w:pPr>
            <w:r>
              <w:rPr>
                <w:sz w:val="21"/>
              </w:rPr>
              <w:t>切实增强</w:t>
            </w:r>
            <w:r>
              <w:rPr>
                <w:sz w:val="21"/>
              </w:rPr>
              <w:t>花城村</w:t>
            </w:r>
            <w:r>
              <w:rPr>
                <w:sz w:val="21"/>
              </w:rPr>
              <w:t>党组织政治功能和组织功能，切实增强</w:t>
            </w:r>
            <w:r>
              <w:rPr>
                <w:sz w:val="21"/>
              </w:rPr>
              <w:t>村民</w:t>
            </w:r>
            <w:r>
              <w:rPr>
                <w:sz w:val="21"/>
              </w:rPr>
              <w:t>群众获得感、幸福感、安全感，推动红色资源有效转化为区域发展动能，大力推进宜居宜业</w:t>
            </w:r>
            <w:r>
              <w:rPr>
                <w:sz w:val="21"/>
              </w:rPr>
              <w:t>和谐乡村</w:t>
            </w:r>
            <w:r>
              <w:rPr>
                <w:sz w:val="21"/>
              </w:rPr>
              <w:t>建设，努力把花城村建设成具有党建引领力、群众凝聚力、发展推动力的红色战斗堡垒和幸福宜居高地。</w:t>
            </w:r>
          </w:p>
          <w:p>
            <w:pPr>
              <w:pStyle w:val="null3"/>
              <w:jc w:val="both"/>
            </w:pPr>
            <w:r>
              <w:rPr>
                <w:sz w:val="21"/>
              </w:rPr>
              <w:t>知识产权的归属：本服务项目的所有成果内容涉及的知识产权均归采购人所有，</w:t>
            </w:r>
            <w:r>
              <w:rPr>
                <w:sz w:val="21"/>
              </w:rPr>
              <w:t>成交供应商</w:t>
            </w:r>
            <w:r>
              <w:rPr>
                <w:sz w:val="21"/>
              </w:rPr>
              <w:t>享有相应的署名权。</w:t>
            </w:r>
          </w:p>
          <w:p>
            <w:pPr>
              <w:pStyle w:val="null3"/>
              <w:jc w:val="both"/>
            </w:pPr>
            <w:r>
              <w:rPr>
                <w:sz w:val="21"/>
              </w:rPr>
              <w:t>（二）项目实施规划</w:t>
            </w:r>
          </w:p>
          <w:p>
            <w:pPr>
              <w:pStyle w:val="null3"/>
              <w:jc w:val="both"/>
            </w:pPr>
            <w:r>
              <w:rPr>
                <w:sz w:val="21"/>
              </w:rPr>
              <w:t>1</w:t>
            </w:r>
            <w:r>
              <w:rPr>
                <w:sz w:val="21"/>
              </w:rPr>
              <w:t>）</w:t>
            </w:r>
            <w:r>
              <w:rPr>
                <w:sz w:val="21"/>
              </w:rPr>
              <w:t>对项目展开方案规划与设计</w:t>
            </w:r>
          </w:p>
          <w:p>
            <w:pPr>
              <w:pStyle w:val="null3"/>
              <w:ind w:left="420"/>
              <w:jc w:val="both"/>
            </w:pPr>
            <w:r>
              <w:rPr>
                <w:sz w:val="21"/>
              </w:rPr>
              <w:t>1.</w:t>
            </w:r>
            <w:r>
              <w:rPr>
                <w:sz w:val="21"/>
              </w:rPr>
              <w:t>根据要求制定施规划设计方案；</w:t>
            </w:r>
          </w:p>
          <w:p>
            <w:pPr>
              <w:pStyle w:val="null3"/>
              <w:ind w:firstLine="420"/>
              <w:jc w:val="both"/>
            </w:pPr>
            <w:r>
              <w:rPr>
                <w:sz w:val="21"/>
              </w:rPr>
              <w:t>2.</w:t>
            </w:r>
            <w:r>
              <w:rPr>
                <w:sz w:val="21"/>
              </w:rPr>
              <w:t>开展红色历史文化内涵深化挖掘、编排设计，并以适当形式进行展演示。</w:t>
            </w:r>
          </w:p>
          <w:p>
            <w:pPr>
              <w:pStyle w:val="null3"/>
              <w:jc w:val="both"/>
            </w:pPr>
            <w:r>
              <w:rPr>
                <w:sz w:val="21"/>
              </w:rPr>
              <w:t>2</w:t>
            </w:r>
            <w:r>
              <w:rPr>
                <w:sz w:val="21"/>
              </w:rPr>
              <w:t>）</w:t>
            </w:r>
            <w:r>
              <w:rPr>
                <w:sz w:val="21"/>
              </w:rPr>
              <w:t>打造综合服务中心</w:t>
            </w:r>
          </w:p>
          <w:p>
            <w:pPr>
              <w:pStyle w:val="null3"/>
              <w:ind w:firstLine="420"/>
              <w:jc w:val="both"/>
            </w:pPr>
            <w:r>
              <w:rPr>
                <w:sz w:val="21"/>
              </w:rPr>
              <w:t>1.</w:t>
            </w:r>
            <w:r>
              <w:rPr>
                <w:sz w:val="21"/>
              </w:rPr>
              <w:t>优化内部空间功能布局和动线设计</w:t>
            </w:r>
          </w:p>
          <w:p>
            <w:pPr>
              <w:pStyle w:val="null3"/>
              <w:ind w:firstLine="420"/>
              <w:jc w:val="both"/>
            </w:pPr>
            <w:r>
              <w:rPr>
                <w:sz w:val="21"/>
              </w:rPr>
              <w:t>2.</w:t>
            </w:r>
            <w:r>
              <w:rPr>
                <w:sz w:val="21"/>
              </w:rPr>
              <w:t>综合运用图文展板，对综合服务大厅、活动空间、办公区域等区域进行整体文化氛围布置。</w:t>
            </w:r>
          </w:p>
          <w:p>
            <w:pPr>
              <w:pStyle w:val="null3"/>
              <w:ind w:firstLine="420"/>
              <w:jc w:val="both"/>
            </w:pPr>
            <w:r>
              <w:rPr>
                <w:sz w:val="21"/>
              </w:rPr>
              <w:t>3.</w:t>
            </w:r>
            <w:r>
              <w:rPr>
                <w:sz w:val="21"/>
              </w:rPr>
              <w:t>综合运用多媒体信息技术，围绕数字乡村和智能化宣传试点要求，打造智能宣传交互系统</w:t>
            </w:r>
            <w:r>
              <w:rPr>
                <w:sz w:val="22"/>
              </w:rPr>
              <w:t>。</w:t>
            </w:r>
          </w:p>
          <w:p>
            <w:pPr>
              <w:pStyle w:val="null3"/>
              <w:jc w:val="both"/>
            </w:pPr>
            <w:r>
              <w:rPr>
                <w:sz w:val="21"/>
              </w:rPr>
              <w:t>（</w:t>
            </w:r>
            <w:r>
              <w:rPr>
                <w:sz w:val="21"/>
              </w:rPr>
              <w:t>三</w:t>
            </w:r>
            <w:r>
              <w:rPr>
                <w:sz w:val="21"/>
              </w:rPr>
              <w:t>）</w:t>
            </w:r>
            <w:r>
              <w:rPr>
                <w:sz w:val="21"/>
              </w:rPr>
              <w:t>项目实施要求</w:t>
            </w:r>
          </w:p>
          <w:p>
            <w:pPr>
              <w:pStyle w:val="null3"/>
              <w:jc w:val="both"/>
            </w:pPr>
            <w:r>
              <w:rPr>
                <w:sz w:val="21"/>
              </w:rPr>
              <w:t>1.</w:t>
            </w:r>
            <w:r>
              <w:rPr>
                <w:sz w:val="21"/>
              </w:rPr>
              <w:t>在项目实施过程中，必须服从采购人及相关部门的监督、管理和指挥；</w:t>
            </w:r>
          </w:p>
          <w:p>
            <w:pPr>
              <w:pStyle w:val="null3"/>
              <w:jc w:val="both"/>
            </w:pPr>
            <w:r>
              <w:rPr>
                <w:sz w:val="21"/>
              </w:rPr>
              <w:t>2.</w:t>
            </w:r>
            <w:r>
              <w:rPr>
                <w:sz w:val="21"/>
              </w:rPr>
              <w:t>原则上不允许涉及主体和承重的结构改动或增加荷载。</w:t>
            </w:r>
          </w:p>
          <w:p>
            <w:pPr>
              <w:pStyle w:val="null3"/>
              <w:jc w:val="both"/>
            </w:pPr>
            <w:r>
              <w:rPr>
                <w:sz w:val="21"/>
              </w:rPr>
              <w:t>3.</w:t>
            </w:r>
            <w:r>
              <w:rPr>
                <w:sz w:val="21"/>
              </w:rPr>
              <w:t xml:space="preserve">项目实施具体要求  </w:t>
            </w:r>
          </w:p>
          <w:p>
            <w:pPr>
              <w:pStyle w:val="null3"/>
              <w:jc w:val="both"/>
            </w:pPr>
            <w:r>
              <w:rPr>
                <w:sz w:val="21"/>
              </w:rPr>
              <w:t>3.1</w:t>
            </w:r>
            <w:r>
              <w:rPr>
                <w:sz w:val="21"/>
              </w:rPr>
              <w:t>设计方案要求：</w:t>
            </w:r>
          </w:p>
          <w:p>
            <w:pPr>
              <w:pStyle w:val="null3"/>
              <w:jc w:val="both"/>
            </w:pPr>
            <w:r>
              <w:rPr>
                <w:sz w:val="21"/>
              </w:rPr>
              <w:t>3.1.1</w:t>
            </w:r>
            <w:r>
              <w:rPr>
                <w:sz w:val="21"/>
              </w:rPr>
              <w:t>必须根据各层功能特征和需求进行合理划分并进行有针对性的设计，必要时可对原建筑空间做适当的优化改良，力求在功能布局、</w:t>
            </w:r>
            <w:r>
              <w:rPr>
                <w:sz w:val="21"/>
              </w:rPr>
              <w:t>文化</w:t>
            </w:r>
            <w:r>
              <w:rPr>
                <w:sz w:val="21"/>
              </w:rPr>
              <w:t>空间达到科学的分配；</w:t>
            </w:r>
            <w:r>
              <w:rPr>
                <w:sz w:val="21"/>
              </w:rPr>
              <w:t xml:space="preserve">  </w:t>
            </w:r>
          </w:p>
          <w:p>
            <w:pPr>
              <w:pStyle w:val="null3"/>
              <w:jc w:val="both"/>
            </w:pPr>
            <w:r>
              <w:rPr>
                <w:sz w:val="21"/>
              </w:rPr>
              <w:t>3.1.2</w:t>
            </w:r>
            <w:r>
              <w:rPr>
                <w:sz w:val="21"/>
              </w:rPr>
              <w:t>空间设计必须充分考虑建筑空间、功能区块、人流分布状况等进行设计，在通风、采光、节能等问题上下功夫，力争功能、形式与内容完美结合；</w:t>
            </w:r>
          </w:p>
          <w:p>
            <w:pPr>
              <w:pStyle w:val="null3"/>
              <w:jc w:val="both"/>
            </w:pPr>
            <w:r>
              <w:rPr>
                <w:sz w:val="21"/>
              </w:rPr>
              <w:t>3.2</w:t>
            </w:r>
            <w:r>
              <w:rPr>
                <w:sz w:val="21"/>
              </w:rPr>
              <w:t>基础展览设施配套定制</w:t>
            </w:r>
          </w:p>
          <w:p>
            <w:pPr>
              <w:pStyle w:val="null3"/>
              <w:jc w:val="both"/>
            </w:pPr>
            <w:r>
              <w:rPr>
                <w:sz w:val="21"/>
              </w:rPr>
              <w:t>3.2.1</w:t>
            </w:r>
            <w:r>
              <w:rPr>
                <w:sz w:val="21"/>
              </w:rPr>
              <w:t>应满足展览的要求，材料的品种、规格、性能应符合国家现行有关标准的规定，一律选用符合防火要求的阻燃和难燃材料，严禁使用国家明令淘汰的材料；</w:t>
            </w:r>
          </w:p>
          <w:p>
            <w:pPr>
              <w:pStyle w:val="null3"/>
              <w:jc w:val="both"/>
            </w:pPr>
            <w:r>
              <w:rPr>
                <w:sz w:val="21"/>
              </w:rPr>
              <w:t>3.2.2</w:t>
            </w:r>
            <w:r>
              <w:rPr>
                <w:sz w:val="21"/>
              </w:rPr>
              <w:t>应确保安全可靠、结构合理、并保证其强度、稳定性和可靠性达到采购人的要求；</w:t>
            </w:r>
          </w:p>
          <w:p>
            <w:pPr>
              <w:pStyle w:val="null3"/>
              <w:jc w:val="both"/>
            </w:pPr>
            <w:r>
              <w:rPr>
                <w:sz w:val="21"/>
              </w:rPr>
              <w:t>3.2.3</w:t>
            </w:r>
            <w:r>
              <w:rPr>
                <w:sz w:val="21"/>
              </w:rPr>
              <w:t>与整体空间、展示主题有机结合。</w:t>
            </w:r>
          </w:p>
          <w:p>
            <w:pPr>
              <w:pStyle w:val="null3"/>
              <w:jc w:val="both"/>
            </w:pPr>
            <w:r>
              <w:rPr>
                <w:sz w:val="21"/>
              </w:rPr>
              <w:t>3.3</w:t>
            </w:r>
            <w:r>
              <w:rPr>
                <w:sz w:val="21"/>
              </w:rPr>
              <w:t>图文版面制作的具体要求</w:t>
            </w:r>
          </w:p>
          <w:p>
            <w:pPr>
              <w:pStyle w:val="null3"/>
              <w:jc w:val="both"/>
            </w:pPr>
            <w:r>
              <w:rPr>
                <w:sz w:val="21"/>
              </w:rPr>
              <w:t>3.3.1</w:t>
            </w:r>
            <w:r>
              <w:rPr>
                <w:sz w:val="21"/>
              </w:rPr>
              <w:t>图文板表面平整，字体、图片清晰，安装方式合理；</w:t>
            </w:r>
          </w:p>
          <w:p>
            <w:pPr>
              <w:pStyle w:val="null3"/>
              <w:jc w:val="both"/>
            </w:pPr>
            <w:r>
              <w:rPr>
                <w:sz w:val="21"/>
              </w:rPr>
              <w:t>3.3.2</w:t>
            </w:r>
            <w:r>
              <w:rPr>
                <w:sz w:val="21"/>
              </w:rPr>
              <w:t>图文板文字、格式正确，科学性定义准确；</w:t>
            </w:r>
          </w:p>
          <w:p>
            <w:pPr>
              <w:pStyle w:val="null3"/>
              <w:jc w:val="both"/>
            </w:pPr>
            <w:r>
              <w:rPr>
                <w:sz w:val="21"/>
              </w:rPr>
              <w:t>3.3.3</w:t>
            </w:r>
            <w:r>
              <w:rPr>
                <w:sz w:val="21"/>
              </w:rPr>
              <w:t>图文板版面大小、色彩符合设计要求，肉眼观看舒适；</w:t>
            </w:r>
          </w:p>
          <w:p>
            <w:pPr>
              <w:pStyle w:val="null3"/>
              <w:jc w:val="both"/>
            </w:pPr>
            <w:r>
              <w:rPr>
                <w:sz w:val="21"/>
              </w:rPr>
              <w:t>3.3.4</w:t>
            </w:r>
            <w:r>
              <w:rPr>
                <w:sz w:val="21"/>
              </w:rPr>
              <w:t>图文版面与展示内容风格统一；</w:t>
            </w:r>
          </w:p>
          <w:p>
            <w:pPr>
              <w:pStyle w:val="null3"/>
              <w:jc w:val="both"/>
            </w:pPr>
            <w:r>
              <w:rPr>
                <w:sz w:val="21"/>
              </w:rPr>
              <w:t>3.3.5</w:t>
            </w:r>
            <w:r>
              <w:rPr>
                <w:sz w:val="21"/>
              </w:rPr>
              <w:t>图文版安装高度必须符合人体工学，适合各身高人士观看。</w:t>
            </w:r>
          </w:p>
          <w:p>
            <w:pPr>
              <w:pStyle w:val="null3"/>
              <w:jc w:val="both"/>
            </w:pPr>
            <w:r>
              <w:rPr>
                <w:sz w:val="21"/>
              </w:rPr>
              <w:t>3.4</w:t>
            </w:r>
            <w:r>
              <w:rPr>
                <w:sz w:val="21"/>
              </w:rPr>
              <w:t>多媒体实施要求</w:t>
            </w:r>
          </w:p>
          <w:p>
            <w:pPr>
              <w:pStyle w:val="null3"/>
              <w:jc w:val="both"/>
            </w:pPr>
            <w:r>
              <w:rPr>
                <w:sz w:val="21"/>
              </w:rPr>
              <w:t>3.4.1</w:t>
            </w:r>
            <w:r>
              <w:rPr>
                <w:sz w:val="21"/>
              </w:rPr>
              <w:t>多媒体</w:t>
            </w:r>
            <w:r>
              <w:rPr>
                <w:sz w:val="21"/>
              </w:rPr>
              <w:t>设备产品，满足使用寿命长，技术成熟及市场保有量多的设备，最低标准必须满足技术参数，采用技术成熟、安全可靠、环保节能的产品；</w:t>
            </w:r>
          </w:p>
          <w:p>
            <w:pPr>
              <w:pStyle w:val="null3"/>
              <w:jc w:val="both"/>
            </w:pPr>
            <w:r>
              <w:rPr>
                <w:sz w:val="21"/>
              </w:rPr>
              <w:t>三、</w:t>
            </w:r>
            <w:r>
              <w:rPr>
                <w:sz w:val="21"/>
              </w:rPr>
              <w:t>★</w:t>
            </w:r>
            <w:r>
              <w:rPr>
                <w:sz w:val="21"/>
              </w:rPr>
              <w:t>完成期</w:t>
            </w:r>
            <w:r>
              <w:rPr>
                <w:sz w:val="21"/>
              </w:rPr>
              <w:t>要求：</w:t>
            </w:r>
          </w:p>
          <w:p>
            <w:pPr>
              <w:pStyle w:val="null3"/>
              <w:jc w:val="both"/>
            </w:pPr>
            <w:r>
              <w:rPr>
                <w:sz w:val="21"/>
              </w:rPr>
              <w:t>自采购人通知</w:t>
            </w:r>
            <w:r>
              <w:rPr>
                <w:sz w:val="21"/>
              </w:rPr>
              <w:t>供应商</w:t>
            </w:r>
            <w:r>
              <w:rPr>
                <w:sz w:val="21"/>
              </w:rPr>
              <w:t>进场之日起</w:t>
            </w:r>
            <w:r>
              <w:rPr>
                <w:sz w:val="21"/>
              </w:rPr>
              <w:t>3</w:t>
            </w:r>
            <w:r>
              <w:rPr>
                <w:sz w:val="21"/>
              </w:rPr>
              <w:t>个月内完成项目所有内容。</w:t>
            </w:r>
          </w:p>
          <w:p>
            <w:pPr>
              <w:pStyle w:val="null3"/>
              <w:jc w:val="both"/>
            </w:pPr>
            <w:r>
              <w:rPr>
                <w:sz w:val="21"/>
              </w:rPr>
              <w:t>四</w:t>
            </w:r>
            <w:r>
              <w:rPr>
                <w:sz w:val="21"/>
              </w:rPr>
              <w:t>、违约责任：</w:t>
            </w:r>
          </w:p>
          <w:p>
            <w:pPr>
              <w:pStyle w:val="null3"/>
              <w:jc w:val="both"/>
            </w:pPr>
            <w:r>
              <w:rPr>
                <w:sz w:val="21"/>
              </w:rPr>
              <w:t>（</w:t>
            </w:r>
            <w:r>
              <w:rPr>
                <w:sz w:val="21"/>
              </w:rPr>
              <w:t>1</w:t>
            </w:r>
            <w:r>
              <w:rPr>
                <w:sz w:val="21"/>
              </w:rPr>
              <w:t>）</w:t>
            </w:r>
            <w:r>
              <w:rPr>
                <w:sz w:val="21"/>
              </w:rPr>
              <w:t>成交供应商</w:t>
            </w:r>
            <w:r>
              <w:rPr>
                <w:sz w:val="21"/>
              </w:rPr>
              <w:t>交付的货物或提供的服务不符合采购文件、</w:t>
            </w:r>
            <w:r>
              <w:rPr>
                <w:sz w:val="21"/>
              </w:rPr>
              <w:t>响应</w:t>
            </w:r>
            <w:r>
              <w:rPr>
                <w:sz w:val="21"/>
              </w:rPr>
              <w:t>文件或本项目合同规定的，采购人有权拒收。</w:t>
            </w:r>
          </w:p>
          <w:p>
            <w:pPr>
              <w:pStyle w:val="null3"/>
              <w:jc w:val="both"/>
            </w:pPr>
            <w:r>
              <w:rPr>
                <w:sz w:val="21"/>
              </w:rPr>
              <w:t>（</w:t>
            </w:r>
            <w:r>
              <w:rPr>
                <w:sz w:val="21"/>
              </w:rPr>
              <w:t>2</w:t>
            </w:r>
            <w:r>
              <w:rPr>
                <w:sz w:val="21"/>
              </w:rPr>
              <w:t>）</w:t>
            </w:r>
            <w:r>
              <w:rPr>
                <w:sz w:val="21"/>
              </w:rPr>
              <w:t>成交供应商</w:t>
            </w:r>
            <w:r>
              <w:rPr>
                <w:sz w:val="21"/>
              </w:rPr>
              <w:t>如非因不可抗力或其他特殊因素未能按本合同约定的时间交付货物或提供服务的，从逾期之日起每日按本合同总价的</w:t>
            </w:r>
            <w:r>
              <w:rPr>
                <w:sz w:val="21"/>
              </w:rPr>
              <w:t>1‰</w:t>
            </w:r>
            <w:r>
              <w:rPr>
                <w:sz w:val="21"/>
              </w:rPr>
              <w:t>的数额向采购人支付违约金；逾期</w:t>
            </w:r>
            <w:r>
              <w:rPr>
                <w:sz w:val="21"/>
              </w:rPr>
              <w:t>1</w:t>
            </w:r>
            <w:r>
              <w:rPr>
                <w:sz w:val="21"/>
              </w:rPr>
              <w:t>个月以上的，采购人有权终止合同，</w:t>
            </w:r>
            <w:r>
              <w:rPr>
                <w:sz w:val="21"/>
              </w:rPr>
              <w:t>成交供应商</w:t>
            </w:r>
            <w:r>
              <w:rPr>
                <w:sz w:val="21"/>
              </w:rPr>
              <w:t>承担本合同总价</w:t>
            </w:r>
            <w:r>
              <w:rPr>
                <w:sz w:val="21"/>
              </w:rPr>
              <w:t>3%</w:t>
            </w:r>
            <w:r>
              <w:rPr>
                <w:sz w:val="21"/>
              </w:rPr>
              <w:t>的违约金。违约金不足以弥补采购人损失，</w:t>
            </w:r>
            <w:r>
              <w:rPr>
                <w:sz w:val="21"/>
              </w:rPr>
              <w:t>成交供应商</w:t>
            </w:r>
            <w:r>
              <w:rPr>
                <w:sz w:val="21"/>
              </w:rPr>
              <w:t>按照采购人的实际损失承担相应的违约责任。</w:t>
            </w:r>
          </w:p>
          <w:p>
            <w:pPr>
              <w:pStyle w:val="null3"/>
              <w:jc w:val="both"/>
            </w:pPr>
            <w:r>
              <w:rPr>
                <w:sz w:val="21"/>
              </w:rPr>
              <w:t>（</w:t>
            </w:r>
            <w:r>
              <w:rPr>
                <w:sz w:val="21"/>
              </w:rPr>
              <w:t>3</w:t>
            </w:r>
            <w:r>
              <w:rPr>
                <w:sz w:val="21"/>
              </w:rPr>
              <w:t>）其它违约责任按《中华人民共和国民法典》处理。</w:t>
            </w:r>
          </w:p>
          <w:p>
            <w:pPr>
              <w:pStyle w:val="null3"/>
              <w:jc w:val="both"/>
            </w:pPr>
            <w:r>
              <w:rPr>
                <w:sz w:val="21"/>
              </w:rPr>
              <w:t>五</w:t>
            </w:r>
            <w:r>
              <w:rPr>
                <w:sz w:val="21"/>
              </w:rPr>
              <w:t>、</w:t>
            </w:r>
            <w:r>
              <w:rPr>
                <w:sz w:val="21"/>
              </w:rPr>
              <w:t>响应</w:t>
            </w:r>
            <w:r>
              <w:rPr>
                <w:sz w:val="21"/>
              </w:rPr>
              <w:t>费用及方案调整：</w:t>
            </w:r>
          </w:p>
          <w:p>
            <w:pPr>
              <w:pStyle w:val="null3"/>
              <w:jc w:val="both"/>
            </w:pPr>
            <w:r>
              <w:rPr>
                <w:sz w:val="21"/>
              </w:rPr>
              <w:t>（</w:t>
            </w:r>
            <w:r>
              <w:rPr>
                <w:sz w:val="21"/>
              </w:rPr>
              <w:t>1</w:t>
            </w:r>
            <w:r>
              <w:rPr>
                <w:sz w:val="21"/>
              </w:rPr>
              <w:t>）不论</w:t>
            </w:r>
            <w:r>
              <w:rPr>
                <w:sz w:val="21"/>
              </w:rPr>
              <w:t>磋商</w:t>
            </w:r>
            <w:r>
              <w:rPr>
                <w:sz w:val="21"/>
              </w:rPr>
              <w:t>结果如何，</w:t>
            </w:r>
            <w:r>
              <w:rPr>
                <w:sz w:val="21"/>
              </w:rPr>
              <w:t>供应商</w:t>
            </w:r>
            <w:r>
              <w:rPr>
                <w:sz w:val="21"/>
              </w:rPr>
              <w:t>应承担其编制</w:t>
            </w:r>
            <w:r>
              <w:rPr>
                <w:sz w:val="21"/>
              </w:rPr>
              <w:t>响应</w:t>
            </w:r>
            <w:r>
              <w:rPr>
                <w:sz w:val="21"/>
              </w:rPr>
              <w:t>文件与递交</w:t>
            </w:r>
            <w:r>
              <w:rPr>
                <w:sz w:val="21"/>
              </w:rPr>
              <w:t>响应</w:t>
            </w:r>
            <w:r>
              <w:rPr>
                <w:sz w:val="21"/>
              </w:rPr>
              <w:t>文件所涉及的一切费用，招标代理机构及采购人将不负责</w:t>
            </w:r>
            <w:r>
              <w:rPr>
                <w:sz w:val="21"/>
              </w:rPr>
              <w:t>供应商</w:t>
            </w:r>
            <w:r>
              <w:rPr>
                <w:sz w:val="21"/>
              </w:rPr>
              <w:t>参与</w:t>
            </w:r>
            <w:r>
              <w:rPr>
                <w:sz w:val="21"/>
              </w:rPr>
              <w:t>响应</w:t>
            </w:r>
            <w:r>
              <w:rPr>
                <w:sz w:val="21"/>
              </w:rPr>
              <w:t>所发生的任何成本或费用。</w:t>
            </w:r>
          </w:p>
          <w:p>
            <w:pPr>
              <w:pStyle w:val="null3"/>
              <w:jc w:val="both"/>
            </w:pPr>
            <w:r>
              <w:rPr>
                <w:sz w:val="21"/>
              </w:rPr>
              <w:t>（</w:t>
            </w:r>
            <w:r>
              <w:rPr>
                <w:sz w:val="21"/>
              </w:rPr>
              <w:t>2</w:t>
            </w:r>
            <w:r>
              <w:rPr>
                <w:sz w:val="21"/>
              </w:rPr>
              <w:t>）采购人有权对</w:t>
            </w:r>
            <w:r>
              <w:rPr>
                <w:sz w:val="21"/>
              </w:rPr>
              <w:t>成交供应商</w:t>
            </w:r>
            <w:r>
              <w:rPr>
                <w:sz w:val="21"/>
              </w:rPr>
              <w:t>的设计方案的部分内容进行调整，</w:t>
            </w:r>
            <w:r>
              <w:rPr>
                <w:sz w:val="21"/>
              </w:rPr>
              <w:t>成交供应商</w:t>
            </w:r>
            <w:r>
              <w:rPr>
                <w:sz w:val="21"/>
              </w:rPr>
              <w:t>应积极配合。经与</w:t>
            </w:r>
            <w:r>
              <w:rPr>
                <w:sz w:val="21"/>
              </w:rPr>
              <w:t>成交供应商</w:t>
            </w:r>
            <w:r>
              <w:rPr>
                <w:sz w:val="21"/>
              </w:rPr>
              <w:t>协商后，因调整设计方案所增加或减少费用的，以双方另签补充协议的约定为准。</w:t>
            </w:r>
          </w:p>
          <w:p>
            <w:pPr>
              <w:pStyle w:val="null3"/>
              <w:jc w:val="both"/>
            </w:pPr>
            <w:r>
              <w:rPr>
                <w:sz w:val="21"/>
              </w:rPr>
              <w:t>六</w:t>
            </w:r>
            <w:r>
              <w:rPr>
                <w:sz w:val="21"/>
              </w:rPr>
              <w:t>、技术及其他要求：</w:t>
            </w:r>
          </w:p>
          <w:p>
            <w:pPr>
              <w:pStyle w:val="null3"/>
              <w:jc w:val="both"/>
            </w:pPr>
            <w:r>
              <w:rPr>
                <w:sz w:val="21"/>
              </w:rPr>
              <w:t xml:space="preserve">    </w:t>
            </w:r>
            <w:r>
              <w:rPr>
                <w:sz w:val="21"/>
              </w:rPr>
              <w:t>成交供应商</w:t>
            </w:r>
            <w:r>
              <w:rPr>
                <w:sz w:val="21"/>
              </w:rPr>
              <w:t>应向采购人提供以下中文技术资料：</w:t>
            </w:r>
          </w:p>
          <w:p>
            <w:pPr>
              <w:pStyle w:val="null3"/>
              <w:jc w:val="both"/>
            </w:pPr>
            <w:r>
              <w:rPr>
                <w:sz w:val="21"/>
              </w:rPr>
              <w:t>（</w:t>
            </w:r>
            <w:r>
              <w:rPr>
                <w:sz w:val="21"/>
              </w:rPr>
              <w:t>1</w:t>
            </w:r>
            <w:r>
              <w:rPr>
                <w:sz w:val="21"/>
              </w:rPr>
              <w:t>）项目所需设备的技术说明书（含电气原理图及其符号说明）；</w:t>
            </w:r>
          </w:p>
          <w:p>
            <w:pPr>
              <w:pStyle w:val="null3"/>
              <w:jc w:val="both"/>
            </w:pPr>
            <w:r>
              <w:rPr>
                <w:sz w:val="21"/>
              </w:rPr>
              <w:t>（</w:t>
            </w:r>
            <w:r>
              <w:rPr>
                <w:sz w:val="21"/>
              </w:rPr>
              <w:t>2</w:t>
            </w:r>
            <w:r>
              <w:rPr>
                <w:sz w:val="21"/>
              </w:rPr>
              <w:t>）项目所需设备的安装图纸（部件安装图，电气接线图）；</w:t>
            </w:r>
          </w:p>
          <w:p>
            <w:pPr>
              <w:pStyle w:val="null3"/>
              <w:jc w:val="both"/>
            </w:pPr>
            <w:r>
              <w:rPr>
                <w:sz w:val="21"/>
              </w:rPr>
              <w:t>（</w:t>
            </w:r>
            <w:r>
              <w:rPr>
                <w:sz w:val="21"/>
              </w:rPr>
              <w:t>3</w:t>
            </w:r>
            <w:r>
              <w:rPr>
                <w:sz w:val="21"/>
              </w:rPr>
              <w:t>）项目所需设备的安装、调试、使用保养维修手册（或说明书）；</w:t>
            </w:r>
          </w:p>
          <w:p>
            <w:pPr>
              <w:pStyle w:val="null3"/>
              <w:jc w:val="both"/>
            </w:pPr>
            <w:r>
              <w:rPr>
                <w:sz w:val="21"/>
              </w:rPr>
              <w:t>（</w:t>
            </w:r>
            <w:r>
              <w:rPr>
                <w:sz w:val="21"/>
              </w:rPr>
              <w:t>4</w:t>
            </w:r>
            <w:r>
              <w:rPr>
                <w:sz w:val="21"/>
              </w:rPr>
              <w:t>）项目所需设备的产品技术标准（含验收标准）和试验方法，产品原产地出厂合格证；</w:t>
            </w:r>
          </w:p>
          <w:p>
            <w:pPr>
              <w:pStyle w:val="null3"/>
            </w:pPr>
            <w:r>
              <w:rPr>
                <w:sz w:val="21"/>
              </w:rPr>
              <w:t>（</w:t>
            </w:r>
            <w:r>
              <w:rPr>
                <w:sz w:val="21"/>
              </w:rPr>
              <w:t>5</w:t>
            </w:r>
            <w:r>
              <w:rPr>
                <w:sz w:val="21"/>
              </w:rPr>
              <w:t>）提供布展设计的效果图、</w:t>
            </w:r>
            <w:r>
              <w:rPr>
                <w:sz w:val="21"/>
              </w:rPr>
              <w:t>实施</w:t>
            </w:r>
            <w:r>
              <w:rPr>
                <w:sz w:val="21"/>
              </w:rPr>
              <w:t>清单各一套。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广州市花都区花山镇人民政府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花山镇红色美丽村庄花城村党群服务中心升级改造文化产品展览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采购包1（花山镇红色美丽村庄花城村党群服务中心升级改造文化产品展览服务项目）：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采购包1（花山镇红色美丽村庄花城村党群服务中心升级改造文化产品展览服务项目）：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采购包1（花山镇红色美丽村庄花城村党群服务中心升级改造文化产品展览服务项目）：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采购包1(花山镇红色美丽村庄花城村党群服务中心升级改造文化产品展览服务项目):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规划设计1 (3.0分)</w:t>
            </w:r>
          </w:p>
        </w:tc>
        <w:tc>
          <w:tcPr>
            <w:tcW w:type="dxa" w:w="5076"/>
          </w:tcPr>
          <w:p>
            <w:pPr>
              <w:pStyle w:val="null3"/>
              <w:jc w:val="left"/>
            </w:pPr>
            <w:r>
              <w:rPr/>
              <w:t>（一）根据响应供应商提供的规划设计方案（包括但不限于红色历史文化挖掘、红色历史文化编排设计），每具有1项得1.5分，满分为3分。</w:t>
            </w:r>
          </w:p>
        </w:tc>
      </w:tr>
      <w:tr>
        <w:tc>
          <w:tcPr>
            <w:tcW w:type="dxa" w:w="922"/>
            <w:gridSpan w:val="2"/>
            <w:vMerge/>
          </w:tcPr>
          <w:p/>
        </w:tc>
        <w:tc>
          <w:tcPr>
            <w:tcW w:type="dxa" w:w="2307"/>
          </w:tcPr>
          <w:p>
            <w:pPr>
              <w:pStyle w:val="null3"/>
              <w:jc w:val="left"/>
            </w:pPr>
            <w:r>
              <w:rPr/>
              <w:t>规划设计2 (20.0分)</w:t>
            </w:r>
          </w:p>
        </w:tc>
        <w:tc>
          <w:tcPr>
            <w:tcW w:type="dxa" w:w="5076"/>
          </w:tcPr>
          <w:p>
            <w:pPr>
              <w:pStyle w:val="null3"/>
              <w:jc w:val="left"/>
            </w:pPr>
            <w:r>
              <w:rPr/>
              <w:t>（二）响应供应商提供的红色历史文化挖掘优于采购需求，得10分；完全满足，得5分；只有部分满足采购需求，得1分；无或其他情况不得分。 响应供应商提供的红色历史文化编排设计优于采购需求，得10分；完全满足，得5分；只有部分满足采购需求，得1分；无或其他情况不得分。</w:t>
            </w:r>
          </w:p>
        </w:tc>
      </w:tr>
      <w:tr>
        <w:tc>
          <w:tcPr>
            <w:tcW w:type="dxa" w:w="922"/>
            <w:gridSpan w:val="2"/>
            <w:vMerge/>
          </w:tcPr>
          <w:p/>
        </w:tc>
        <w:tc>
          <w:tcPr>
            <w:tcW w:type="dxa" w:w="2307"/>
          </w:tcPr>
          <w:p>
            <w:pPr>
              <w:pStyle w:val="null3"/>
              <w:jc w:val="left"/>
            </w:pPr>
            <w:r>
              <w:rPr/>
              <w:t>设计方案内容深化1 (2.0分)</w:t>
            </w:r>
          </w:p>
        </w:tc>
        <w:tc>
          <w:tcPr>
            <w:tcW w:type="dxa" w:w="5076"/>
          </w:tcPr>
          <w:p>
            <w:pPr>
              <w:pStyle w:val="null3"/>
              <w:jc w:val="left"/>
            </w:pPr>
            <w:r>
              <w:rPr/>
              <w:t>（一）根据响应供应商提供的规划设计方案内容深化（包括但不限于整体空间规划布局、相关功能布置），每具有1项得1分，满分为2分。</w:t>
            </w:r>
          </w:p>
        </w:tc>
      </w:tr>
      <w:tr>
        <w:tc>
          <w:tcPr>
            <w:tcW w:type="dxa" w:w="922"/>
            <w:gridSpan w:val="2"/>
            <w:vMerge/>
          </w:tcPr>
          <w:p/>
        </w:tc>
        <w:tc>
          <w:tcPr>
            <w:tcW w:type="dxa" w:w="2307"/>
          </w:tcPr>
          <w:p>
            <w:pPr>
              <w:pStyle w:val="null3"/>
              <w:jc w:val="left"/>
            </w:pPr>
            <w:r>
              <w:rPr/>
              <w:t>设计方案内容深化2 (20.0分)</w:t>
            </w:r>
          </w:p>
        </w:tc>
        <w:tc>
          <w:tcPr>
            <w:tcW w:type="dxa" w:w="5076"/>
          </w:tcPr>
          <w:p>
            <w:pPr>
              <w:pStyle w:val="null3"/>
              <w:jc w:val="left"/>
            </w:pPr>
            <w:r>
              <w:rPr/>
              <w:t>（二）响应供应商提供的整规划设计方案布局优于采购需求，得10分；完全满足，得5分；只有部分满足采购需求，得1分；无或其他情况不得分。 响应供应商提供的相关功能优于采购需求，得10分；完全满足，得5分；只有部分满足采购需求，得1分；无或其他情况不得分。</w:t>
            </w:r>
          </w:p>
        </w:tc>
      </w:tr>
      <w:tr>
        <w:tc>
          <w:tcPr>
            <w:tcW w:type="dxa" w:w="922"/>
            <w:gridSpan w:val="2"/>
            <w:vMerge/>
          </w:tcPr>
          <w:p/>
        </w:tc>
        <w:tc>
          <w:tcPr>
            <w:tcW w:type="dxa" w:w="2307"/>
          </w:tcPr>
          <w:p>
            <w:pPr>
              <w:pStyle w:val="null3"/>
              <w:jc w:val="left"/>
            </w:pPr>
            <w:r>
              <w:rPr/>
              <w:t>实施组织方案与技术措施1 (6.0分)</w:t>
            </w:r>
          </w:p>
        </w:tc>
        <w:tc>
          <w:tcPr>
            <w:tcW w:type="dxa" w:w="5076"/>
          </w:tcPr>
          <w:p>
            <w:pPr>
              <w:pStyle w:val="null3"/>
              <w:jc w:val="left"/>
            </w:pPr>
            <w:r>
              <w:rPr/>
              <w:t>（一）根据响应供应商提供的实施组织方案与技术措施方案（包括但不限于实施组织方案及实施方法、项目重点难点、技术措施及安全生产），每具有1项得2分，满分为6分。</w:t>
            </w:r>
          </w:p>
        </w:tc>
      </w:tr>
      <w:tr>
        <w:tc>
          <w:tcPr>
            <w:tcW w:type="dxa" w:w="922"/>
            <w:gridSpan w:val="2"/>
            <w:vMerge/>
          </w:tcPr>
          <w:p/>
        </w:tc>
        <w:tc>
          <w:tcPr>
            <w:tcW w:type="dxa" w:w="2307"/>
          </w:tcPr>
          <w:p>
            <w:pPr>
              <w:pStyle w:val="null3"/>
              <w:jc w:val="left"/>
            </w:pPr>
            <w:r>
              <w:rPr/>
              <w:t>实施组织方案与技术措施2 (6.0分)</w:t>
            </w:r>
          </w:p>
        </w:tc>
        <w:tc>
          <w:tcPr>
            <w:tcW w:type="dxa" w:w="5076"/>
          </w:tcPr>
          <w:p>
            <w:pPr>
              <w:pStyle w:val="null3"/>
              <w:jc w:val="left"/>
            </w:pPr>
            <w:r>
              <w:rPr/>
              <w:t>（二）1.响应供应商提供的实施组织方案及实施方法满足或优于采购需求，得2分；只有部分满足采购需求，得1分；无或其他情况不得分。 2.响应供应商提供的项目重点难点满足或优于采购需求，得2分；只有部分满足采购需求，得1分；无或其他情况不得分。 3.响应供应商提供的技术措施及安全生产满足或优于采购需求，得2分；只有部分满足采购需求，得1分；无或其他情况不得分。</w:t>
            </w:r>
          </w:p>
        </w:tc>
      </w:tr>
      <w:tr>
        <w:tc>
          <w:tcPr>
            <w:tcW w:type="dxa" w:w="922"/>
            <w:gridSpan w:val="2"/>
            <w:vMerge/>
          </w:tcPr>
          <w:p/>
        </w:tc>
        <w:tc>
          <w:tcPr>
            <w:tcW w:type="dxa" w:w="2307"/>
          </w:tcPr>
          <w:p>
            <w:pPr>
              <w:pStyle w:val="null3"/>
              <w:jc w:val="left"/>
            </w:pPr>
            <w:r>
              <w:rPr/>
              <w:t>项目进度计划与进度保障措施1 (4.0分)</w:t>
            </w:r>
          </w:p>
        </w:tc>
        <w:tc>
          <w:tcPr>
            <w:tcW w:type="dxa" w:w="5076"/>
          </w:tcPr>
          <w:p>
            <w:pPr>
              <w:pStyle w:val="null3"/>
              <w:jc w:val="left"/>
            </w:pPr>
            <w:r>
              <w:rPr/>
              <w:t>（一）根据响应供应商提供的项目进度计划与进度保障措施方案（包括但不限于项目进度计划安排、项目进度保障措施），每具有1项得2分，满分为4分。</w:t>
            </w:r>
          </w:p>
        </w:tc>
      </w:tr>
      <w:tr>
        <w:tc>
          <w:tcPr>
            <w:tcW w:type="dxa" w:w="922"/>
            <w:gridSpan w:val="2"/>
            <w:vMerge/>
          </w:tcPr>
          <w:p/>
        </w:tc>
        <w:tc>
          <w:tcPr>
            <w:tcW w:type="dxa" w:w="2307"/>
          </w:tcPr>
          <w:p>
            <w:pPr>
              <w:pStyle w:val="null3"/>
              <w:jc w:val="left"/>
            </w:pPr>
            <w:r>
              <w:rPr/>
              <w:t>项目进度计划与进度保障措施2 (6.0分)</w:t>
            </w:r>
          </w:p>
        </w:tc>
        <w:tc>
          <w:tcPr>
            <w:tcW w:type="dxa" w:w="5076"/>
          </w:tcPr>
          <w:p>
            <w:pPr>
              <w:pStyle w:val="null3"/>
              <w:jc w:val="left"/>
            </w:pPr>
            <w:r>
              <w:rPr/>
              <w:t>（二）1.响应供应商提供的项目进度计划安排满足或优于采购需求，得3分；只有部分满足采购需求，得1分；无或其他情况不得分。 2.响应供应商提供的项目进度保障措施满足或优于采购需求，得3分；只有部分满足采购需求，得1分；无或其他情况不得分。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科技创新技术水平 (6.0分)</w:t>
            </w:r>
          </w:p>
        </w:tc>
        <w:tc>
          <w:tcPr>
            <w:tcW w:type="dxa" w:w="5076"/>
          </w:tcPr>
          <w:p>
            <w:pPr>
              <w:pStyle w:val="null3"/>
              <w:jc w:val="left"/>
            </w:pPr>
            <w:r>
              <w:rPr/>
              <w:t>响应供应商获得多媒体展项等与本项目相关的计算机软件著作权登记证书：每具有一个得3分，最高得6分，无或其他得0分。（提供相关证书扫描件）</w:t>
            </w:r>
          </w:p>
        </w:tc>
      </w:tr>
      <w:tr>
        <w:tc>
          <w:tcPr>
            <w:tcW w:type="dxa" w:w="922"/>
            <w:gridSpan w:val="2"/>
            <w:vMerge/>
          </w:tcPr>
          <w:p/>
        </w:tc>
        <w:tc>
          <w:tcPr>
            <w:tcW w:type="dxa" w:w="2307"/>
          </w:tcPr>
          <w:p>
            <w:pPr>
              <w:pStyle w:val="null3"/>
              <w:jc w:val="left"/>
            </w:pPr>
            <w:r>
              <w:rPr/>
              <w:t>投标人类似项目业绩 (6.0分)</w:t>
            </w:r>
          </w:p>
        </w:tc>
        <w:tc>
          <w:tcPr>
            <w:tcW w:type="dxa" w:w="5076"/>
          </w:tcPr>
          <w:p>
            <w:pPr>
              <w:pStyle w:val="null3"/>
              <w:jc w:val="left"/>
            </w:pPr>
            <w:r>
              <w:rPr/>
              <w:t>响应供应商自2023年1月1日至今承接过同类型项目业绩，每项得1.5分，满分6分，无不得分。说明：1.提供合同扫描件为计分依据（需加盖公章，扫描件未加盖公章的业绩不予计分）2.计算有效业绩的时间以合同签订时间为准。3.同一个项目不重复计分。</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提供满足上述要求的2023年1月1日至今的同类项目业绩的用户单位出具的满意度评价，评价情况至少须为优、满意或类似满意的方可计分： 每提供1份满足要求的满意度评价，得1.5分，本项最高6分。 注： ①同一客户或同一项目提供多项用户满意度评价的，按一项计算； ②须与供应商上述提供的2023年1月1日至今的同类项目业绩的用户单位一致； ③用户满意度评价须经用户单位盖章。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1期：支付比例70%，从合同签订之日起，</w:t>
      </w:r>
      <w:r>
        <w:rPr>
          <w:sz w:val="24"/>
        </w:rPr>
        <w:t>乙方</w:t>
      </w:r>
      <w:r>
        <w:rPr>
          <w:sz w:val="24"/>
        </w:rPr>
        <w:t>提供的设计方案在得到</w:t>
      </w:r>
      <w:r>
        <w:rPr>
          <w:sz w:val="24"/>
        </w:rPr>
        <w:t>甲方</w:t>
      </w:r>
      <w:r>
        <w:rPr>
          <w:sz w:val="24"/>
        </w:rPr>
        <w:t>确认后的</w:t>
      </w:r>
      <w:r>
        <w:rPr>
          <w:sz w:val="24"/>
        </w:rPr>
        <w:t>5个工作日内，</w:t>
      </w:r>
      <w:r>
        <w:rPr>
          <w:sz w:val="24"/>
        </w:rPr>
        <w:t>甲方</w:t>
      </w:r>
      <w:r>
        <w:rPr>
          <w:sz w:val="24"/>
        </w:rPr>
        <w:t>支付</w:t>
      </w:r>
      <w:r>
        <w:rPr>
          <w:sz w:val="24"/>
        </w:rPr>
        <w:t>乙方</w:t>
      </w:r>
      <w:r>
        <w:rPr>
          <w:sz w:val="24"/>
        </w:rPr>
        <w:t>合同总价的</w:t>
      </w:r>
      <w:r>
        <w:rPr>
          <w:sz w:val="24"/>
        </w:rPr>
        <w:t>70%，作为项目首款。</w:t>
      </w:r>
    </w:p>
    <w:p>
      <w:pPr>
        <w:pStyle w:val="null3"/>
        <w:ind w:firstLine="240"/>
        <w:jc w:val="left"/>
      </w:pPr>
      <w:r>
        <w:rPr>
          <w:sz w:val="24"/>
        </w:rPr>
        <w:t>2期：支付比例30%，项目完工经</w:t>
      </w:r>
      <w:r>
        <w:rPr>
          <w:sz w:val="24"/>
        </w:rPr>
        <w:t>甲方</w:t>
      </w:r>
      <w:r>
        <w:rPr>
          <w:sz w:val="24"/>
        </w:rPr>
        <w:t>验收后</w:t>
      </w:r>
      <w:r>
        <w:rPr>
          <w:sz w:val="24"/>
        </w:rPr>
        <w:t>10个工作日内，</w:t>
      </w:r>
      <w:r>
        <w:rPr>
          <w:sz w:val="24"/>
        </w:rPr>
        <w:t>甲方</w:t>
      </w:r>
      <w:r>
        <w:rPr>
          <w:sz w:val="24"/>
        </w:rPr>
        <w:t>支付</w:t>
      </w:r>
      <w:r>
        <w:rPr>
          <w:sz w:val="24"/>
        </w:rPr>
        <w:t>乙方</w:t>
      </w:r>
      <w:r>
        <w:rPr>
          <w:sz w:val="24"/>
        </w:rPr>
        <w:t>合同总价的</w:t>
      </w:r>
      <w:r>
        <w:rPr>
          <w:sz w:val="24"/>
        </w:rPr>
        <w:t>30%。</w:t>
      </w:r>
    </w:p>
    <w:p>
      <w:pPr>
        <w:pStyle w:val="null3"/>
        <w:jc w:val="left"/>
      </w:pPr>
      <w:r>
        <w:rPr>
          <w:sz w:val="24"/>
        </w:rPr>
        <w:t>（</w:t>
      </w:r>
      <w:r>
        <w:rPr>
          <w:sz w:val="24"/>
        </w:rPr>
        <w:t>1）</w:t>
      </w:r>
      <w:r>
        <w:rPr>
          <w:sz w:val="24"/>
        </w:rPr>
        <w:t>乙方</w:t>
      </w:r>
      <w:r>
        <w:rPr>
          <w:sz w:val="24"/>
        </w:rPr>
        <w:t>凭以下有效文件与</w:t>
      </w:r>
      <w:r>
        <w:rPr>
          <w:sz w:val="24"/>
        </w:rPr>
        <w:t>甲方</w:t>
      </w:r>
      <w:r>
        <w:rPr>
          <w:sz w:val="24"/>
        </w:rPr>
        <w:t>结算：</w:t>
      </w:r>
      <w:r>
        <w:rPr>
          <w:sz w:val="24"/>
        </w:rPr>
        <w:t>1)合同； 2)</w:t>
      </w:r>
      <w:r>
        <w:rPr>
          <w:sz w:val="24"/>
        </w:rPr>
        <w:t>乙方</w:t>
      </w:r>
      <w:r>
        <w:rPr>
          <w:sz w:val="24"/>
        </w:rPr>
        <w:t>开具的正式发票；</w:t>
      </w:r>
      <w:r>
        <w:rPr>
          <w:sz w:val="24"/>
        </w:rPr>
        <w:t>3)验收报告（加盖</w:t>
      </w:r>
      <w:r>
        <w:rPr>
          <w:sz w:val="24"/>
        </w:rPr>
        <w:t>甲方</w:t>
      </w:r>
      <w:r>
        <w:rPr>
          <w:sz w:val="24"/>
        </w:rPr>
        <w:t>公章）；</w:t>
      </w:r>
      <w:r>
        <w:rPr>
          <w:sz w:val="24"/>
        </w:rPr>
        <w:t>4)成交通知书。</w:t>
      </w:r>
      <w:r>
        <w:rPr>
          <w:sz w:val="24"/>
        </w:rPr>
        <w:t xml:space="preserve">  </w:t>
      </w:r>
    </w:p>
    <w:p>
      <w:pPr>
        <w:pStyle w:val="null3"/>
        <w:jc w:val="left"/>
      </w:pPr>
      <w:r>
        <w:rPr>
          <w:sz w:val="24"/>
        </w:rPr>
        <w:t>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left"/>
      </w:pPr>
      <w:r>
        <w:rPr>
          <w:sz w:val="24"/>
          <w:b/>
        </w:rPr>
        <w:t>六、知识产权归属</w:t>
      </w:r>
    </w:p>
    <w:p>
      <w:pPr>
        <w:pStyle w:val="null3"/>
        <w:jc w:val="left"/>
      </w:pPr>
      <w:r>
        <w:rPr>
          <w:sz w:val="24"/>
          <w:b/>
        </w:rPr>
        <w:t>七、保密</w:t>
      </w:r>
    </w:p>
    <w:p>
      <w:pPr>
        <w:pStyle w:val="null3"/>
        <w:jc w:val="left"/>
      </w:pPr>
      <w:r>
        <w:rPr>
          <w:sz w:val="24"/>
          <w:b/>
        </w:rPr>
        <w:t>八、</w:t>
      </w:r>
      <w:r>
        <w:rPr>
          <w:sz w:val="24"/>
          <w:b/>
        </w:rPr>
        <w:t>验收</w:t>
      </w:r>
    </w:p>
    <w:p>
      <w:pPr>
        <w:pStyle w:val="null3"/>
        <w:jc w:val="left"/>
      </w:pPr>
      <w:r>
        <w:rPr>
          <w:sz w:val="24"/>
          <w:b/>
        </w:rPr>
        <w:t>九、</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440114-2026-03059</w:t>
      </w:r>
    </w:p>
    <w:p>
      <w:pPr>
        <w:pStyle w:val="null3"/>
        <w:jc w:val="center"/>
        <w:outlineLvl w:val="3"/>
      </w:pPr>
      <w:r>
        <w:rPr>
          <w:sz w:val="24"/>
          <w:b/>
        </w:rPr>
        <w:t>采购项目编号：</w:t>
      </w:r>
      <w:r>
        <w:rPr>
          <w:sz w:val="24"/>
          <w:b/>
        </w:rPr>
        <w:t>0877-26GZTP1ZC0436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花山镇红色美丽村庄花城村党群服务中心升级改造文化产品展览服务项目</w:t>
      </w:r>
      <w:r>
        <w:rPr>
          <w:u w:val="single"/>
        </w:rPr>
        <w:t>”</w:t>
      </w:r>
      <w:r>
        <w:rPr/>
        <w:t>项目的竞争性磋商[采购项目编号为：</w:t>
      </w:r>
      <w:r>
        <w:rPr>
          <w:u w:val="single"/>
        </w:rPr>
        <w:t>0877-26GZTP1ZC0436</w:t>
      </w:r>
      <w:r>
        <w:rPr/>
        <w:t>]，我方愿参与响应。</w:t>
      </w:r>
    </w:p>
    <w:p>
      <w:pPr>
        <w:pStyle w:val="null3"/>
        <w:ind w:firstLine="480"/>
      </w:pPr>
      <w:r>
        <w:rPr/>
        <w:t>我方确认收到贵方提供的</w:t>
      </w:r>
      <w:r>
        <w:rPr>
          <w:u w:val="single"/>
        </w:rPr>
        <w:t>“</w:t>
      </w:r>
      <w:r>
        <w:rPr>
          <w:u w:val="single"/>
        </w:rPr>
        <w:t>花山镇红色美丽村庄花城村党群服务中心升级改造文化产品展览服务项目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花山镇红色美丽村庄花城村党群服务中心升级改造文化产品展览服务项目</w:t>
      </w:r>
      <w:r>
        <w:rPr/>
        <w:t>”项目采购[采购项目编号为</w:t>
      </w:r>
      <w:r>
        <w:rPr/>
        <w:t>0877-26GZTP1ZC0436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广州市花都区花山镇人民政府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花山镇红色美丽村庄花城村党群服务中心升级改造文化产品展览服务项目</w:t>
      </w:r>
      <w:r>
        <w:rPr/>
        <w:t>（采购项目编号：</w:t>
      </w:r>
      <w:r>
        <w:rPr/>
        <w:t>0877-26GZTP1ZC0436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