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440001-2026-24281</w:t>
      </w:r>
    </w:p>
    <w:p>
      <w:pPr>
        <w:pStyle w:val="null3"/>
        <w:jc w:val="center"/>
        <w:outlineLvl w:val="3"/>
      </w:pPr>
      <w:r>
        <w:rPr>
          <w:sz w:val="24"/>
          <w:b/>
        </w:rPr>
        <w:t>采购项目编号：</w:t>
      </w:r>
      <w:r>
        <w:rPr>
          <w:sz w:val="24"/>
          <w:b/>
        </w:rPr>
        <w:t>0877-26GZTP4ZC0484</w:t>
      </w:r>
    </w:p>
    <w:p>
      <w:pPr>
        <w:pStyle w:val="null3"/>
        <w:jc w:val="center"/>
        <w:outlineLvl w:val="3"/>
      </w:pPr>
      <w:r>
        <w:rPr>
          <w:sz w:val="24"/>
          <w:b/>
        </w:rPr>
        <w:t>项目名称：</w:t>
      </w:r>
      <w:r>
        <w:rPr>
          <w:sz w:val="24"/>
          <w:b/>
        </w:rPr>
        <w:t>华南师范大学教育集团2026年普通高中教育质量监测与提升服务采购项目</w:t>
      </w:r>
    </w:p>
    <w:p>
      <w:pPr>
        <w:pStyle w:val="null3"/>
        <w:jc w:val="center"/>
        <w:outlineLvl w:val="3"/>
      </w:pPr>
      <w:r>
        <w:rPr>
          <w:sz w:val="24"/>
          <w:b/>
        </w:rPr>
        <w:t>采购人：</w:t>
      </w:r>
      <w:r>
        <w:rPr>
          <w:sz w:val="24"/>
          <w:b/>
        </w:rPr>
        <w:t>华南师范大学</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广东广招国际招标有限公司</w:t>
      </w:r>
      <w:r>
        <w:rPr/>
        <w:t>受</w:t>
      </w:r>
      <w:r>
        <w:rPr/>
        <w:t>华南师范大学</w:t>
      </w:r>
      <w:r>
        <w:rPr/>
        <w:t>的委托，采用</w:t>
      </w:r>
      <w:r>
        <w:rPr/>
        <w:t>公开招标</w:t>
      </w:r>
      <w:r>
        <w:rPr/>
        <w:t>方式组织采购</w:t>
      </w:r>
      <w:r>
        <w:rPr/>
        <w:t>华南师范大学教育集团2026年普通高中教育质量监测与提升服务采购项目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华南师范大学教育集团2026年普通高中教育质量监测与提升服务采购项目</w:t>
      </w:r>
    </w:p>
    <w:p>
      <w:pPr>
        <w:pStyle w:val="null3"/>
        <w:ind w:firstLine="480"/>
      </w:pPr>
      <w:r>
        <w:rPr/>
        <w:t>采购计划编号：</w:t>
      </w:r>
      <w:r>
        <w:rPr/>
        <w:t>440001-2026-24281</w:t>
      </w:r>
    </w:p>
    <w:p>
      <w:pPr>
        <w:pStyle w:val="null3"/>
        <w:ind w:firstLine="480"/>
      </w:pPr>
      <w:r>
        <w:rPr/>
        <w:t>采购项目编号：</w:t>
      </w:r>
      <w:r>
        <w:rPr/>
        <w:t>0877-26GZTP4ZC0484</w:t>
      </w:r>
    </w:p>
    <w:p>
      <w:pPr>
        <w:pStyle w:val="null3"/>
        <w:ind w:firstLine="480"/>
      </w:pPr>
      <w:r>
        <w:rPr/>
        <w:t>采购方式：</w:t>
      </w:r>
      <w:r>
        <w:rPr/>
        <w:t>公开招标</w:t>
      </w:r>
    </w:p>
    <w:p>
      <w:pPr>
        <w:pStyle w:val="null3"/>
        <w:ind w:firstLine="480"/>
      </w:pPr>
      <w:r>
        <w:rPr/>
        <w:t>预算金额：</w:t>
      </w:r>
      <w:r>
        <w:rPr/>
        <w:t>1,500,000.00</w:t>
      </w:r>
      <w:r>
        <w:rPr/>
        <w:t>元</w:t>
      </w:r>
    </w:p>
    <w:p>
      <w:pPr>
        <w:pStyle w:val="null3"/>
        <w:outlineLvl w:val="3"/>
      </w:pPr>
      <w:r>
        <w:rPr>
          <w:sz w:val="24"/>
          <w:b/>
        </w:rPr>
        <w:t>2.项目内容及需求情况（采购项目技术规格、参数及要求）</w:t>
      </w:r>
    </w:p>
    <w:p>
      <w:pPr>
        <w:pStyle w:val="null3"/>
      </w:pPr>
      <w:r>
        <w:rPr/>
        <w:t>采购包1(华南师范大学教育集团2026年普通高中教育质量监测与提升服务):</w:t>
      </w:r>
    </w:p>
    <w:p>
      <w:pPr>
        <w:pStyle w:val="null3"/>
      </w:pPr>
      <w:r>
        <w:rPr/>
        <w:t>采购包预算金额：1,500,000.00元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华南师范大学教育集团2026年普通高中教育质量监测与提升服务</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合同履行期限：合同签订后，12个月内完成交付。</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p>
      <w:pPr>
        <w:pStyle w:val="null3"/>
      </w:pPr>
      <w:r>
        <w:rPr/>
        <w:t>2）有依法缴纳税收和社会保障资金的良好记录：提供投标截止日前6个月内任意1个月依法缴纳税收的相关材料；提供投标截止日前6个月内任意1个月依法缴纳社会保障资金的相关材料。如依法免税或不需要缴纳社会保障资金的，提供相应证明材料。</w:t>
      </w:r>
    </w:p>
    <w:p>
      <w:pPr>
        <w:pStyle w:val="null3"/>
      </w:pPr>
      <w:r>
        <w:rPr/>
        <w:t>3）具有良好的商业信誉和健全的财务会计制度：提供2024年度或2025年度财务状况报告；或银行出具的资信证明材料复印件。</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采购包1（华南师范大学教育集团2026年普通高中教育质量监测与提升服务）：</w:t>
      </w: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p>
      <w:pPr>
        <w:pStyle w:val="null3"/>
        <w:outlineLvl w:val="3"/>
      </w:pPr>
      <w:r>
        <w:rPr>
          <w:sz w:val="24"/>
          <w:b/>
        </w:rPr>
        <w:t>3.本项目特定的资格要求：</w:t>
      </w:r>
    </w:p>
    <w:p>
      <w:pPr>
        <w:pStyle w:val="null3"/>
      </w:pPr>
      <w:r>
        <w:rPr/>
        <w:t>采购包1（华南师范大学教育集团2026年普通高中教育质量监测与提升服务）：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 （以资格审查人员于投标（响应）截止时间当天在“信用中国”网站（www.creditchina.gov.cn）及中国政府采购网（http://www.ccgp.gov.cn/）查询结果为准，如相关失信记录已失效，供应商需提供相关证明资料。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根据《关于在政府采购活动中对有关美国企业采取相关措施的通知》（财库〔2026〕10号），本项目不接受该通知附件所列46家美国企业生产的产品参与投标，投标人须自行核查拟投产品来源，确保不涉及上述企业及其产品（提供承诺函，格式自拟）。</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广东广招国际招标有限公司网（http://www.gztpc.com）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华南师范大学</w:t>
      </w:r>
    </w:p>
    <w:p>
      <w:pPr>
        <w:pStyle w:val="null3"/>
        <w:ind w:firstLine="480"/>
      </w:pPr>
      <w:r>
        <w:rPr/>
        <w:t xml:space="preserve"> 地址：</w:t>
      </w:r>
      <w:r>
        <w:rPr/>
        <w:t>广州市天河区中山大道西55号</w:t>
      </w:r>
    </w:p>
    <w:p>
      <w:pPr>
        <w:pStyle w:val="null3"/>
        <w:ind w:firstLine="480"/>
      </w:pPr>
      <w:r>
        <w:rPr/>
        <w:t xml:space="preserve"> 联系方式：</w:t>
      </w:r>
      <w:r>
        <w:rPr/>
        <w:t>020-85210852</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广州市东风东路745号东山紫园商务大厦2003单元</w:t>
      </w:r>
    </w:p>
    <w:p>
      <w:pPr>
        <w:pStyle w:val="null3"/>
        <w:ind w:firstLine="480"/>
      </w:pPr>
      <w:r>
        <w:rPr/>
        <w:t xml:space="preserve"> 联系方式：</w:t>
      </w:r>
      <w:r>
        <w:rPr/>
        <w:t>020-38931901、020-38931902转859或860</w:t>
      </w:r>
    </w:p>
    <w:p>
      <w:pPr>
        <w:pStyle w:val="null3"/>
        <w:outlineLvl w:val="3"/>
      </w:pPr>
      <w:r>
        <w:rPr>
          <w:sz w:val="24"/>
          <w:b/>
        </w:rPr>
        <w:t xml:space="preserve"> 3.项目联系方式</w:t>
      </w:r>
    </w:p>
    <w:p>
      <w:pPr>
        <w:pStyle w:val="null3"/>
        <w:ind w:firstLine="480"/>
      </w:pPr>
      <w:r>
        <w:rPr/>
        <w:t xml:space="preserve"> 项目联系人：</w:t>
      </w:r>
      <w:r>
        <w:rPr/>
        <w:t>李工，孔工（电话无人接听请发邮件limengxue@gztpc.com咨询，我司会及时回复）</w:t>
      </w:r>
    </w:p>
    <w:p>
      <w:pPr>
        <w:pStyle w:val="null3"/>
        <w:ind w:firstLine="480"/>
      </w:pPr>
      <w:r>
        <w:rPr/>
        <w:t xml:space="preserve"> 电话：</w:t>
      </w:r>
      <w:r>
        <w:rPr/>
        <w:t>020-38931901、020-38931902转859或860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项目属性：</w:t>
      </w:r>
      <w:r>
        <w:rPr>
          <w:sz w:val="21"/>
        </w:rPr>
        <w:t>服务类</w:t>
      </w:r>
    </w:p>
    <w:p>
      <w:pPr>
        <w:pStyle w:val="null3"/>
        <w:jc w:val="both"/>
      </w:pPr>
      <w:r>
        <w:rPr>
          <w:sz w:val="21"/>
        </w:rPr>
        <w:t>品目分类：</w:t>
      </w:r>
      <w:r>
        <w:rPr>
          <w:sz w:val="21"/>
        </w:rPr>
        <w:t>其他服务</w:t>
      </w:r>
    </w:p>
    <w:p>
      <w:pPr>
        <w:pStyle w:val="null3"/>
      </w:pPr>
      <w:r>
        <w:rPr>
          <w:sz w:val="21"/>
        </w:rPr>
        <w:t>本项目对应的中小企业划分标准所属行业为：</w:t>
      </w:r>
      <w:r>
        <w:rPr>
          <w:sz w:val="21"/>
        </w:rPr>
        <w:t>租赁和商务服务业</w:t>
      </w:r>
    </w:p>
    <w:p>
      <w:pPr>
        <w:pStyle w:val="null3"/>
        <w:ind w:firstLine="420"/>
        <w:jc w:val="both"/>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w:t>
      </w:r>
      <w:r>
        <w:rPr>
          <w:sz w:val="21"/>
        </w:rPr>
        <w:t>审加重扣分，但不作为无效投标条款。</w:t>
      </w:r>
    </w:p>
    <w:p>
      <w:pPr>
        <w:pStyle w:val="null3"/>
        <w:jc w:val="both"/>
      </w:pPr>
      <w:r>
        <w:rPr>
          <w:sz w:val="21"/>
          <w:b/>
        </w:rPr>
        <w:t>1.1、项目的购置背景及目的</w:t>
      </w:r>
    </w:p>
    <w:p>
      <w:pPr>
        <w:pStyle w:val="null3"/>
        <w:jc w:val="both"/>
      </w:pPr>
      <w:r>
        <w:rPr>
          <w:sz w:val="21"/>
          <w:color w:val="222222"/>
          <w:shd w:fill="FFFFFF" w:val="clear"/>
        </w:rPr>
        <w:t>1.背景与目标</w:t>
      </w:r>
      <w:r>
        <w:br/>
      </w:r>
      <w:r>
        <w:rPr>
          <w:sz w:val="21"/>
          <w:color w:val="222222"/>
          <w:shd w:fill="FFFFFF" w:val="clear"/>
        </w:rPr>
        <w:t>1.1项目背景</w:t>
      </w:r>
      <w:r>
        <w:br/>
      </w:r>
      <w:r>
        <w:rPr>
          <w:sz w:val="21"/>
        </w:rPr>
        <w:t xml:space="preserve">     </w:t>
      </w:r>
      <w:r>
        <w:rPr>
          <w:sz w:val="21"/>
          <w:color w:val="222222"/>
          <w:shd w:fill="FFFFFF" w:val="clear"/>
        </w:rPr>
        <w:t>随着我国教育进入高质量发展新阶段，《深化新时代教育评价改革总体方案》《国务院办公厅关于新时代推进普通高中育人方式改革的指导意见》及《县域普通高中振兴行动计划》等文件，对高中教育评价改革与质量提升提出了更高要求。广东省作为先行示范区，率先启动普通高中教育质量监测工作，驱动全省高中教育内涵发展与特色化建设。</w:t>
      </w:r>
      <w:r>
        <w:br/>
      </w:r>
      <w:r>
        <w:rPr>
          <w:sz w:val="21"/>
        </w:rPr>
        <w:t xml:space="preserve">     </w:t>
      </w:r>
      <w:r>
        <w:rPr>
          <w:sz w:val="21"/>
          <w:color w:val="222222"/>
          <w:shd w:fill="FFFFFF" w:val="clear"/>
        </w:rPr>
        <w:t>在此背景下，教育集团坚持办可持续发展的教育，充分发挥华南师大基础教育合作办学的战略枢纽作用，聚焦育人方式变革，已围绕价值引领、评价督导、赋能引育、教研共同体建设等方面展开系列探索。然而，在推进集团高中办学提质增效的进程中，仍存在一些亟待破解的办学痛点：</w:t>
      </w:r>
      <w:r>
        <w:br/>
      </w:r>
      <w:r>
        <w:rPr>
          <w:sz w:val="21"/>
        </w:rPr>
        <w:t xml:space="preserve">      </w:t>
      </w:r>
      <w:r>
        <w:rPr>
          <w:sz w:val="21"/>
          <w:color w:val="222222"/>
          <w:shd w:fill="FFFFFF" w:val="clear"/>
        </w:rPr>
        <w:t>（</w:t>
      </w:r>
      <w:r>
        <w:rPr>
          <w:sz w:val="21"/>
          <w:color w:val="222222"/>
          <w:shd w:fill="FFFFFF" w:val="clear"/>
        </w:rPr>
        <w:t>1）校际差异显著，教学质量难以精准把控。集团在广东省有13所普通高中，分布广泛，部分位于粤东、粤西等资源薄弱地区，各校办学资源与水平差异明显。及时、准确了解各校的教学质量水平，是精准赋能集团高中高质量发展的关键。</w:t>
      </w:r>
      <w:r>
        <w:br/>
      </w:r>
      <w:r>
        <w:rPr>
          <w:sz w:val="21"/>
        </w:rPr>
        <w:t xml:space="preserve">     </w:t>
      </w:r>
      <w:r>
        <w:rPr>
          <w:sz w:val="21"/>
          <w:color w:val="222222"/>
          <w:shd w:fill="FFFFFF" w:val="clear"/>
        </w:rPr>
        <w:t>（</w:t>
      </w:r>
      <w:r>
        <w:rPr>
          <w:sz w:val="21"/>
          <w:color w:val="222222"/>
          <w:shd w:fill="FFFFFF" w:val="clear"/>
        </w:rPr>
        <w:t>2）育人理念转化仍需加强。集团已全面推进落实“立德树人”与“健康第一”理念，核心办学理念及GDIS学校综合评价系统也进入落地关键期，但对学生学习心态、学业负担、身心健康等关键因素，缺乏系统的数据与分析依据。</w:t>
      </w:r>
      <w:r>
        <w:br/>
      </w:r>
      <w:r>
        <w:rPr>
          <w:sz w:val="21"/>
        </w:rPr>
        <w:t xml:space="preserve">     </w:t>
      </w:r>
      <w:r>
        <w:rPr>
          <w:sz w:val="21"/>
          <w:color w:val="222222"/>
          <w:shd w:fill="FFFFFF" w:val="clear"/>
        </w:rPr>
        <w:t>（</w:t>
      </w:r>
      <w:r>
        <w:rPr>
          <w:sz w:val="21"/>
          <w:color w:val="222222"/>
          <w:shd w:fill="FFFFFF" w:val="clear"/>
        </w:rPr>
        <w:t>3）特色优势不明显，共研机制有待深化。依托“高中联盟”，教育集团构建了常态化、制度化的高中教研协同机制，在教学经验分享与问题共研方面取得了一定的成效。但各校学科优势尚未充分显现，仍然存在教研协作碎片化、优势资源共享不充分的问题。</w:t>
      </w:r>
      <w:r>
        <w:br/>
      </w:r>
      <w:r>
        <w:rPr>
          <w:sz w:val="21"/>
        </w:rPr>
        <w:t xml:space="preserve">     </w:t>
      </w:r>
      <w:r>
        <w:rPr>
          <w:sz w:val="21"/>
          <w:color w:val="222222"/>
          <w:shd w:fill="FFFFFF" w:val="clear"/>
        </w:rPr>
        <w:t>（</w:t>
      </w:r>
      <w:r>
        <w:rPr>
          <w:sz w:val="21"/>
          <w:color w:val="222222"/>
          <w:shd w:fill="FFFFFF" w:val="clear"/>
        </w:rPr>
        <w:t>4）传统经验主导，教学变革缺乏科学路径。高中特别是高三教学多依赖于教师经验和传统模式，缺少系统、精准的数据识别薄弱环节和关键改进点，难以借助适切的科学教育理念引领教学变革，教学质量的改进提升存在较大不确定性。</w:t>
      </w:r>
    </w:p>
    <w:p>
      <w:pPr>
        <w:pStyle w:val="null3"/>
        <w:jc w:val="both"/>
      </w:pPr>
      <w:r>
        <w:rPr>
          <w:sz w:val="21"/>
          <w:b/>
        </w:rPr>
        <w:t>1.2、项目的服务对象及范围</w:t>
      </w:r>
      <w:r>
        <w:rPr>
          <w:sz w:val="21"/>
        </w:rPr>
        <w:t>：</w:t>
      </w:r>
    </w:p>
    <w:p>
      <w:pPr>
        <w:pStyle w:val="null3"/>
        <w:jc w:val="both"/>
      </w:pPr>
      <w:r>
        <w:rPr>
          <w:sz w:val="21"/>
          <w:color w:val="222222"/>
          <w:shd w:fill="FFFFFF" w:val="clear"/>
        </w:rPr>
        <w:t>1.2必要性及意义</w:t>
      </w:r>
      <w:r>
        <w:br/>
      </w:r>
      <w:r>
        <w:rPr>
          <w:sz w:val="21"/>
          <w:color w:val="222222"/>
          <w:shd w:fill="FFFFFF" w:val="clear"/>
        </w:rPr>
        <w:t>（</w:t>
      </w:r>
      <w:r>
        <w:rPr>
          <w:sz w:val="21"/>
          <w:color w:val="222222"/>
          <w:shd w:fill="FFFFFF" w:val="clear"/>
        </w:rPr>
        <w:t>1）弥补外部监测的不足</w:t>
      </w:r>
      <w:r>
        <w:br/>
      </w:r>
      <w:r>
        <w:rPr>
          <w:sz w:val="21"/>
        </w:rPr>
        <w:t xml:space="preserve">     </w:t>
      </w:r>
      <w:r>
        <w:rPr>
          <w:sz w:val="21"/>
          <w:color w:val="222222"/>
          <w:shd w:fill="FFFFFF" w:val="clear"/>
        </w:rPr>
        <w:t>根据市场调研，当前面向高中组织的大型外部测试虽然在命题研发、数据采集、精准分析、教学转化等环节已形成较为完善的服务流程与实施范式，但多数仍停留在常见的区域统一标准化测评或通用模板化监测服务层面，存在以下不足：</w:t>
      </w:r>
      <w:r>
        <w:br/>
      </w:r>
      <w:r>
        <w:rPr>
          <w:sz w:val="21"/>
        </w:rPr>
        <w:t xml:space="preserve">     </w:t>
      </w:r>
      <w:r>
        <w:rPr>
          <w:sz w:val="21"/>
          <w:color w:val="222222"/>
          <w:shd w:fill="FFFFFF" w:val="clear"/>
        </w:rPr>
        <w:t>命题与测评标准通用性强，较难贴合本集团各校的办学特色、学情特点及高中发展目标，针对性与适配性不足，也缺乏基于校际差异的定制化深度分析；测试周期固定、报告反馈相对滞后，无法及时满足集团</w:t>
      </w:r>
      <w:r>
        <w:rPr>
          <w:sz w:val="21"/>
          <w:color w:val="222222"/>
          <w:shd w:fill="FFFFFF" w:val="clear"/>
        </w:rPr>
        <w:t>“立足高三起点、及时改进提升”的发展性需求，在课堂教学优化方面存在指导滞后；输出内容多为通用学情数据与宏观分析报告，缺乏校际对比、短板溯源、优势挖掘等研判数据，难以实现集团内部“同伴示范”与“特色发展”的教研赋能；且多为单次静态数据分析，难以支持数据关联对比与长效增值评价，无法持续追踪教学优化成效；此外，在数据本地化留存、闭环管理与长效复用方面存在不足，也难以覆盖个性化课堂诊断、定制化高考备考及科研成果产出等深度应用需求。</w:t>
      </w:r>
      <w:r>
        <w:br/>
      </w:r>
      <w:r>
        <w:rPr>
          <w:sz w:val="21"/>
          <w:color w:val="222222"/>
          <w:shd w:fill="FFFFFF" w:val="clear"/>
        </w:rPr>
        <w:t>（</w:t>
      </w:r>
      <w:r>
        <w:rPr>
          <w:sz w:val="21"/>
          <w:color w:val="222222"/>
          <w:shd w:fill="FFFFFF" w:val="clear"/>
        </w:rPr>
        <w:t>2）基于2024年首次监测的深化需求</w:t>
      </w:r>
      <w:r>
        <w:br/>
      </w:r>
      <w:r>
        <w:rPr>
          <w:sz w:val="21"/>
        </w:rPr>
        <w:t xml:space="preserve">     </w:t>
      </w:r>
      <w:r>
        <w:rPr>
          <w:sz w:val="21"/>
          <w:color w:val="222222"/>
          <w:shd w:fill="FFFFFF" w:val="clear"/>
        </w:rPr>
        <w:t>2024年，教育集团首次教育质量监测，面向小初高全学段，研发并投入使用测评工具15套，涵盖语文、数学、英语等主要学科。测试内容兼顾基础知识、核心素养与关键能力，通过纸笔测试与在线问卷相结合，实现了对学生、教师、班主任及校长的全方位数据采集。共32所学校参与，形成集团报告9份、学校报告151份；从监测实施、数据分析、报告解读到学校改进指导，形成闭环流程。组织报告解读会3场、专题培训4场，覆盖500余人次。</w:t>
      </w:r>
      <w:r>
        <w:br/>
      </w:r>
      <w:r>
        <w:rPr>
          <w:sz w:val="21"/>
          <w:color w:val="222222"/>
          <w:shd w:fill="FFFFFF" w:val="clear"/>
        </w:rPr>
        <w:t>这次监测帮助集团掌握了各校办学基本情况及质量水平，初步构建了涵盖学生发展、教学实施、学校管理等维度的监测指标体系。在此基础上，集团联合高校专家及一线教研力量组建指导团队，推动资源配置与赋能项目优化。各校对照监测结果识别自身薄弱环节，为教学与管理改革提供了依据。同时，通过报告解读与专项培训，提升了管理者和教师的数据诊断能力，促进了学校内部治理与课堂变革。</w:t>
      </w:r>
      <w:r>
        <w:br/>
      </w:r>
      <w:r>
        <w:rPr>
          <w:sz w:val="21"/>
        </w:rPr>
        <w:t xml:space="preserve">     </w:t>
      </w:r>
      <w:r>
        <w:rPr>
          <w:sz w:val="21"/>
          <w:color w:val="222222"/>
          <w:shd w:fill="FFFFFF" w:val="clear"/>
        </w:rPr>
        <w:t>基于</w:t>
      </w:r>
      <w:r>
        <w:rPr>
          <w:sz w:val="21"/>
          <w:color w:val="222222"/>
          <w:shd w:fill="FFFFFF" w:val="clear"/>
        </w:rPr>
        <w:t>2024年监测成效，回应普通高中特色化发展政策，结合集团现实需要，启动本次高中质量监测项目具有必要性与独特性：纵向关联历史数据，评估学校“增值”效能，横向关联教育集团学校综合评价，构建长效增值评价机制，形成纵横联动的决策支撑；同时，聚焦高三教学改进，系统诊断教学短板，探索以高三为突破口的高中质量提升路径；并通过深挖优势学科，用监测驱动集团内部资源共享与多样化特色发展。</w:t>
      </w:r>
    </w:p>
    <w:p>
      <w:pPr>
        <w:pStyle w:val="null3"/>
        <w:jc w:val="both"/>
      </w:pPr>
      <w:r>
        <w:rPr>
          <w:sz w:val="21"/>
          <w:b/>
        </w:rPr>
        <w:t>1.3、项目的必要性及意义</w:t>
      </w:r>
      <w:r>
        <w:rPr>
          <w:sz w:val="21"/>
        </w:rPr>
        <w:t>：</w:t>
      </w:r>
    </w:p>
    <w:p>
      <w:pPr>
        <w:pStyle w:val="null3"/>
        <w:jc w:val="both"/>
      </w:pPr>
      <w:r>
        <w:rPr>
          <w:sz w:val="21"/>
          <w:color w:val="222222"/>
          <w:shd w:fill="FFFFFF" w:val="clear"/>
        </w:rPr>
        <w:t>1.3项目目的</w:t>
      </w:r>
    </w:p>
    <w:p>
      <w:pPr>
        <w:pStyle w:val="null3"/>
        <w:ind w:firstLine="420"/>
        <w:jc w:val="both"/>
      </w:pPr>
      <w:r>
        <w:rPr>
          <w:sz w:val="21"/>
          <w:color w:val="222222"/>
          <w:shd w:fill="FFFFFF" w:val="clear"/>
        </w:rPr>
        <w:t>项目旨在诊断集团各高中教学质量现状，系统破解制约高质量发展的痛点。一方面，精准识别集团内各校教学的共性短板与个性问题，并据此提供针对性的改进方案，分层分类开展精准指导；另一方面，监测结果将为集团管理决策、学校教学改进、教师专业成长及学生全面发展提供科学依据与数据支撑，最终形成</w:t>
      </w:r>
      <w:r>
        <w:rPr>
          <w:sz w:val="21"/>
          <w:color w:val="222222"/>
          <w:shd w:fill="FFFFFF" w:val="clear"/>
        </w:rPr>
        <w:t>“监测-诊断-改进-提升”的良性闭环，推动集团整体教育质量的螺旋式上升。</w:t>
      </w:r>
      <w:r>
        <w:br/>
      </w:r>
      <w:r>
        <w:rPr>
          <w:sz w:val="21"/>
          <w:color w:val="222222"/>
          <w:shd w:fill="FFFFFF" w:val="clear"/>
        </w:rPr>
        <w:t>1.4项目功能与用途</w:t>
      </w:r>
      <w:r>
        <w:br/>
      </w:r>
      <w:r>
        <w:rPr/>
        <w:t xml:space="preserve">     </w:t>
      </w:r>
      <w:r>
        <w:rPr>
          <w:sz w:val="21"/>
          <w:color w:val="222222"/>
          <w:shd w:fill="FFFFFF" w:val="clear"/>
        </w:rPr>
        <w:t>项目实施服务于集团学校教学质量诊断和改进，是集团内部治理效能的自我改进工具，不增加学生额外应试负担，不影响学校整体的教育教学秩序，其核心功能如下：</w:t>
      </w:r>
      <w:r>
        <w:br/>
      </w:r>
      <w:r>
        <w:rPr/>
        <w:t xml:space="preserve">     </w:t>
      </w:r>
      <w:r>
        <w:rPr>
          <w:sz w:val="21"/>
          <w:color w:val="222222"/>
          <w:shd w:fill="FFFFFF" w:val="clear"/>
        </w:rPr>
        <w:t>（</w:t>
      </w:r>
      <w:r>
        <w:rPr>
          <w:sz w:val="21"/>
          <w:color w:val="222222"/>
          <w:shd w:fill="FFFFFF" w:val="clear"/>
        </w:rPr>
        <w:t>1）诊断评估。构建多维度、综合性的监测指标体系，识别集团学校在学科均衡、教师能力、学生素养等方面的普遍短板和办学优势；调查影响学生学业发展的相关因素，分析师资配置、教学管理等维度与监测数据的相关性，找出质量提升的关键点。</w:t>
      </w:r>
      <w:r>
        <w:br/>
      </w:r>
      <w:r>
        <w:rPr/>
        <w:t xml:space="preserve">     </w:t>
      </w:r>
      <w:r>
        <w:rPr>
          <w:sz w:val="21"/>
          <w:color w:val="222222"/>
          <w:shd w:fill="FFFFFF" w:val="clear"/>
        </w:rPr>
        <w:t>（</w:t>
      </w:r>
      <w:r>
        <w:rPr>
          <w:sz w:val="21"/>
          <w:color w:val="222222"/>
          <w:shd w:fill="FFFFFF" w:val="clear"/>
        </w:rPr>
        <w:t>2）改进提升。挖掘监测数据与教学变量之间的相关性，为每所集团高中提供“一校一策”的教学建议；组织报告解读，指导监测结果落地教学实践。通过阶段性跟踪与精准干预，为代表性学校提供个性化教学改进指导。通过多层次教学改进指导，协助集团学校精准定位问题、优化教学策略。</w:t>
      </w:r>
      <w:r>
        <w:br/>
      </w:r>
      <w:r>
        <w:rPr/>
        <w:t xml:space="preserve">     </w:t>
      </w:r>
      <w:r>
        <w:rPr>
          <w:sz w:val="21"/>
          <w:color w:val="222222"/>
          <w:shd w:fill="FFFFFF" w:val="clear"/>
        </w:rPr>
        <w:t>（</w:t>
      </w:r>
      <w:r>
        <w:rPr>
          <w:sz w:val="21"/>
          <w:color w:val="222222"/>
          <w:shd w:fill="FFFFFF" w:val="clear"/>
        </w:rPr>
        <w:t>3）专业发展。分析教师教学行为、师生关系质量等相关因素，助力教师发现自身优势与成长点；引导校长、教研组长运用监测报告开展自我诊断、自我提升，形成专业习惯；协助学校梳理高中教学策略，推动因材施教。</w:t>
      </w:r>
      <w:r>
        <w:br/>
      </w:r>
      <w:r>
        <w:rPr/>
        <w:t xml:space="preserve">     </w:t>
      </w:r>
      <w:r>
        <w:rPr>
          <w:sz w:val="21"/>
          <w:color w:val="222222"/>
          <w:shd w:fill="FFFFFF" w:val="clear"/>
        </w:rPr>
        <w:t>（</w:t>
      </w:r>
      <w:r>
        <w:rPr>
          <w:sz w:val="21"/>
          <w:color w:val="222222"/>
          <w:shd w:fill="FFFFFF" w:val="clear"/>
        </w:rPr>
        <w:t>4）学生成长。识别学业与心理、学习品质的关联，联合心理教师与学科教师开展干预；依据学生学业优势与兴趣，在生涯规划和课程选择等方面提供必要的支持赋能；重点关注学生身心状态、综合素养，助力预警健康风险，引导营造健康育人生态。</w:t>
      </w:r>
      <w:r>
        <w:br/>
      </w:r>
      <w:r>
        <w:rPr/>
        <w:t xml:space="preserve">     </w:t>
      </w:r>
      <w:r>
        <w:rPr>
          <w:sz w:val="21"/>
          <w:color w:val="222222"/>
          <w:shd w:fill="FFFFFF" w:val="clear"/>
        </w:rPr>
        <w:t>（</w:t>
      </w:r>
      <w:r>
        <w:rPr>
          <w:sz w:val="21"/>
          <w:color w:val="222222"/>
          <w:shd w:fill="FFFFFF" w:val="clear"/>
        </w:rPr>
        <w:t>5）决策支持。将监测结果作为制定集团年度工作重点、高中联盟教研主题及资源倾斜方向的参考；将经费、名师、培训等资源精准配置到最需要的学校或学科；为集团对学校的考核、评优、校长聘任提供量化依据；基于共性教学短板，优化集团高考备考等赋能项目；针对学校教师差异，推进个性化支持资源的调配。</w:t>
      </w:r>
      <w:r>
        <w:br/>
      </w:r>
      <w:r>
        <w:rPr/>
        <w:t xml:space="preserve">     </w:t>
      </w:r>
      <w:r>
        <w:rPr>
          <w:sz w:val="21"/>
          <w:color w:val="222222"/>
          <w:shd w:fill="FFFFFF" w:val="clear"/>
        </w:rPr>
        <w:t>（</w:t>
      </w:r>
      <w:r>
        <w:rPr>
          <w:sz w:val="21"/>
          <w:color w:val="222222"/>
          <w:shd w:fill="FFFFFF" w:val="clear"/>
        </w:rPr>
        <w:t>6）品牌管理。助力教育集团构建内部质量标准体系，引导将教育集团核心办学理念落地到办学实践中；同时，立足优势学科，挖掘并培养集团内部学科专家力量，推动内部优质资源共享；支持依托监测数据开展前沿教育理论与实践研究；彰显华南师范大学高中教育办学优势，巩固办学品牌的影响力。</w:t>
      </w:r>
      <w:r>
        <w:br/>
      </w:r>
      <w:r>
        <w:rPr/>
        <w:t xml:space="preserve">     </w:t>
      </w:r>
      <w:r>
        <w:rPr>
          <w:sz w:val="21"/>
          <w:color w:val="222222"/>
          <w:shd w:fill="FFFFFF" w:val="clear"/>
        </w:rPr>
        <w:t>综上，通过开展科学规范的高中专项教育质量监测，及时掌握集团内高中教育质量总体状况，识别教学中的问题和偏差。以全面、客观的监测数据支撑教育决策与教学管理，引导集团各高中聚焦质量提升与育人增效，全面贯彻党的教育方针，落实立德树人根本任务，为构建德智体美劳全面发展的高中教育培养体系提供坚实的科学支撑。</w:t>
      </w:r>
    </w:p>
    <w:p>
      <w:pPr>
        <w:pStyle w:val="null3"/>
      </w:pPr>
      <w:r>
        <w:rPr/>
        <w:t>采购包1（华南师范大学教育集团2026年普通高中教育质量监测与提升服务）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合同签订后，12个月内完成交付。</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1期：支付比例30%,项目中标并签订合同后，采购人在5个工作日内（供应商需开具相应金额发票），支付合同总额的30%作为项目预付款。</w:t>
            </w:r>
          </w:p>
          <w:p>
            <w:pPr>
              <w:pStyle w:val="null3"/>
            </w:pPr>
            <w:r>
              <w:rPr/>
              <w:t>2期：支付比例30%,项目实施完毕且经采购人书面确认无异议后，采购方在收到供应商开具的相应金额发票之日起5个工作日内，支付合同总额的30%。</w:t>
            </w:r>
          </w:p>
          <w:p>
            <w:pPr>
              <w:pStyle w:val="null3"/>
            </w:pPr>
            <w:r>
              <w:rPr/>
              <w:t>3期：支付比例40%,支付比例40%,项目成果通过验收后，采购人在收到供应商开具的相应金额发票之日起5个工作日内，支付合同总额的40%。 上述付款时间为采购人向财政部门申请支付的时间而非成交供应商实际收款时间。如因财政部门原因或银行原因导致采购人延迟支付的，不视为采购人逾期付款。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初次验收：测试实施后50日内，中标供应商提交涉及监测指标体系及工具研发、数据采集与分析、报告撰写等环节材料，并发起初次验收申请，由采购人在收到供应商验收申请后7日内组织开展项目初次验收。</w:t>
            </w:r>
          </w:p>
          <w:p>
            <w:pPr>
              <w:pStyle w:val="null3"/>
            </w:pPr>
            <w:r>
              <w:rPr/>
              <w:t>2期：最终验收：合同签订后12个月内，中标供应商提交全部材料并发起最终验收申请，由采购人在收到供应商验收申请后7日内组织开展项目最终验收。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一、包装运输，确保测试卷运输过程中的安全性、保密性和时效性，以应对运输过程中可能出现的意外情况，如交通堵塞、自然灾害等。</w:t>
            </w:r>
          </w:p>
          <w:p>
            <w:pPr>
              <w:pStyle w:val="null3"/>
            </w:pPr>
            <w:r>
              <w:rPr/>
              <w:t>二、质量保障方案，为使项目按质、按量、按时及有序实施，供应商应建立完善、稳定的项目团队、内部组织管理方式及管理机构、协调机制、技术基础，满足支撑保障要求及其他相关要求。在机制保障方面，建立组织实施小组和项目专家组的双轨运行的组织模式。在项目日常管理和条件保障方面，从行政组织、后勤保障和支撑条件各方面创造良好的项目实施环境，确保项目的顺利实施。</w:t>
            </w:r>
          </w:p>
          <w:p>
            <w:pPr>
              <w:pStyle w:val="null3"/>
            </w:pPr>
            <w:r>
              <w:rPr/>
              <w:t>三、售后服务，验收完成后，供应商须成立专门的售后服务团队，配备技术支持人员、数据分析人员及客服人员，提供为期一年的持续跟踪服务。售后团队人员应具备丰富的技术知识与项目经验，能够快速响应用户需求并高效解决问题，相关费用包含在总投标价内。</w:t>
            </w:r>
          </w:p>
          <w:p>
            <w:pPr>
              <w:pStyle w:val="null3"/>
            </w:pPr>
            <w:r>
              <w:rPr/>
              <w:t>四、服务承诺，投标人需按照附件格式提供以下承诺函：1.附件2（《关于不派出企业任何人员协助其他供应商参与投标（响应）的承诺函》）；2.附件3（《对投标文件所有响应内容真实性负责的承诺函》）。</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华南师范大学教育集团2026年普通高中教育质量监测与提升服务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1,500,000.00</w:t>
            </w:r>
          </w:p>
        </w:tc>
        <w:tc>
          <w:tcPr>
            <w:tcW w:type="dxa" w:w="933"/>
          </w:tcPr>
          <w:p>
            <w:pPr>
              <w:pStyle w:val="null3"/>
              <w:jc w:val="right"/>
            </w:pPr>
            <w:r>
              <w:rPr/>
              <w:t>1,500,000.00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华南师范大学教育集团2026年普通高中教育质量监测与提升服务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一、</w:t>
            </w:r>
            <w:r>
              <w:rPr>
                <w:sz w:val="21"/>
              </w:rPr>
              <w:t>服务内容与要求</w:t>
            </w:r>
            <w:r>
              <w:br/>
            </w:r>
            <w:r>
              <w:rPr/>
              <w:t xml:space="preserve">     </w:t>
            </w:r>
            <w:r>
              <w:rPr>
                <w:sz w:val="21"/>
              </w:rPr>
              <w:t>面向华南师范大学教育集团在广东省内所有普通高中，</w:t>
            </w:r>
            <w:r>
              <w:rPr>
                <w:sz w:val="21"/>
              </w:rPr>
              <w:t>2026年秋季入读高三的学生开展监测与提升服务，预计涉及集团高中约13所，学生约7200人（具体以实际为准）。监测工作预计于2026年7月启动，测试时间拟定为同年9月（具体时间以实际为准）；监测学科涵盖语文、数学、英语、物理、历史、化学、地理、思想政治、生物学九大学科，同时面向高三班主任、九大学科任课教师、校级领导及家长，调查影响学生学业发展的相关因素，覆盖学生学习、教师教学、学校管理及家庭与社会环境等维度。具体服务内容如下：</w:t>
            </w:r>
            <w:r>
              <w:br/>
            </w:r>
            <w:r>
              <w:rPr>
                <w:sz w:val="21"/>
              </w:rPr>
              <w:t>（</w:t>
            </w:r>
            <w:r>
              <w:rPr>
                <w:sz w:val="21"/>
              </w:rPr>
              <w:t>一）</w:t>
            </w:r>
            <w:r>
              <w:rPr>
                <w:sz w:val="21"/>
              </w:rPr>
              <w:t>研制教育集团高中专项教育质量监测指标体系</w:t>
            </w:r>
            <w:r>
              <w:br/>
            </w:r>
            <w:r>
              <w:rPr/>
              <w:t xml:space="preserve">     </w:t>
            </w:r>
            <w:r>
              <w:rPr>
                <w:sz w:val="21"/>
              </w:rPr>
              <w:t>依据《普通高中学校办学质量评价指南》等国家政策文件，结合最新高中教学大纲、课程标准及教育集团学校高三教学实际情况，针对高三年级教学现状、需求及重难点问题，聘请具备普通高中教育质量监测与命题经验的专家，研制集团高中专项教育质量监测指标体系及监测工具。</w:t>
            </w:r>
            <w:r>
              <w:br/>
            </w:r>
            <w:r>
              <w:rPr>
                <w:sz w:val="21"/>
              </w:rPr>
              <w:t>（</w:t>
            </w:r>
            <w:r>
              <w:rPr>
                <w:sz w:val="21"/>
              </w:rPr>
              <w:t>1）研制并提供监测指标体系</w:t>
            </w:r>
            <w:r>
              <w:br/>
            </w:r>
            <w:r>
              <w:rPr/>
              <w:t xml:space="preserve">     </w:t>
            </w:r>
            <w:r>
              <w:rPr>
                <w:sz w:val="21"/>
              </w:rPr>
              <w:t>参照国家义务教育质量监测办法，结合教育集团办学情况与教学需求，紧扣高考命题导向，构建科学、全面、贴合集团高中实际的监测指标体系。</w:t>
            </w:r>
            <w:r>
              <w:br/>
            </w:r>
            <w:r>
              <w:rPr/>
              <w:t xml:space="preserve">     </w:t>
            </w:r>
            <w:r>
              <w:rPr>
                <w:sz w:val="21"/>
              </w:rPr>
              <w:t>指标体系涵盖学生学业发展、学科核心素养、备考关键能力等多个层面，既遵循国家统一标准，又回应集团办学实际，最终形成符合教育集团办学理念、适应高中特色化发展需求的专项教育质量监测指标体系，为监测工具的研发提供科学框架与明确指引。</w:t>
            </w:r>
            <w:r>
              <w:br/>
            </w:r>
            <w:r>
              <w:rPr>
                <w:sz w:val="21"/>
              </w:rPr>
              <w:t>（</w:t>
            </w:r>
            <w:r>
              <w:rPr>
                <w:sz w:val="21"/>
              </w:rPr>
              <w:t>2）学生发展质量监测内容：围绕学生备考提升要求，重点监测高三学生各学科学业质量状况，结合高考考点与题型要求，明确各学科监测核心要点，对接高三教学节奏，具体如下：</w:t>
            </w:r>
            <w:r>
              <w:br/>
            </w:r>
            <w:r>
              <w:rPr/>
              <w:t xml:space="preserve">      </w:t>
            </w:r>
            <w:r>
              <w:rPr>
                <w:sz w:val="21"/>
              </w:rPr>
              <w:t>语文学业质量：重点测查语文基础知识掌握程度，以及阅读与鉴赏、表达与交流、梳理与探究能力。具体涵盖文言文阅读，现代文论述类、实用类、文学类文本解读，古诗文默写与赏析，语言运用及作文等核心模块。</w:t>
            </w:r>
            <w:r>
              <w:br/>
            </w:r>
            <w:r>
              <w:rPr/>
              <w:t xml:space="preserve">     </w:t>
            </w:r>
            <w:r>
              <w:rPr>
                <w:sz w:val="21"/>
              </w:rPr>
              <w:t>数学学业质量：重点测查数学基础知识、思维方法掌握情况，以及运算能力、问题解决能力。测评紧扣高考核心知识点，全面对接高考题型与难度，重点覆盖函数、数列、立体几何、解析几何、概率统计、导数等核心模块，注重考查逻辑推理能力与综合解题能力。</w:t>
            </w:r>
            <w:r>
              <w:br/>
            </w:r>
            <w:r>
              <w:rPr/>
              <w:t xml:space="preserve">     </w:t>
            </w:r>
            <w:r>
              <w:rPr>
                <w:sz w:val="21"/>
              </w:rPr>
              <w:t>英语学业质量：重点测查英语基础知识掌握情况及阅读、写作等综合语言运用能力。测评遵循高中英语课程标准，全面贴合高考冲刺要求，聚焦高频词汇、核心语法、完形填空、各类阅读理解题型、语法填空及书面表达等核心能力维度。</w:t>
            </w:r>
            <w:r>
              <w:br/>
            </w:r>
            <w:r>
              <w:rPr/>
              <w:t xml:space="preserve">     </w:t>
            </w:r>
            <w:r>
              <w:rPr>
                <w:sz w:val="21"/>
              </w:rPr>
              <w:t>思想政治学业质量：重点测查学生对学科基础知识的掌握情况，包括对基本概念、原理和观点的理解，以及运用所学知识分析、解决实际问题的能力，同时关注学生情感态度价值观的发展。重点考查政治生活、经济生活、文化生活、生活与哲学的核心知识点，注重考查学生对学科概念与原理的精准理解、知识体系的构建能力，以及运用所学知识分析社会热点、解决综合实际问题的能力，强化价值引领。</w:t>
            </w:r>
            <w:r>
              <w:br/>
            </w:r>
            <w:r>
              <w:rPr/>
              <w:t xml:space="preserve">     </w:t>
            </w:r>
            <w:r>
              <w:rPr>
                <w:sz w:val="21"/>
              </w:rPr>
              <w:t>化学学业质量：重点测查化学基础知识掌握情况、化学实验技能、科学探究能力，以及化学与社会、生活的联系等。全面对接高考核心知识点、考点与题型，重点测查物质结构、元素周期律、化学反应原理、无机化合物、有机化合物、化学实验等核心模块，注重考查学生的化学实验综合操作技能、物质推断能力、化学用语规范使用能力、综合解题能力，以及运用化学知识解释生活现象、解决综合化学问题的能力。</w:t>
            </w:r>
            <w:r>
              <w:br/>
            </w:r>
            <w:r>
              <w:rPr/>
              <w:t xml:space="preserve">     </w:t>
            </w:r>
            <w:r>
              <w:rPr>
                <w:sz w:val="21"/>
              </w:rPr>
              <w:t>物理学业质量：重点测查学生对物理基本概念和规律的理解、实验操作技能、科学探究能力，以及运用物理知识解决实际问题的能力等。测评聚焦力学、电磁学、热学、光学、近代物理等核心模块，注重评估学生对物理概念和规律的深度理解与综合应用能力，对实验原理的掌握及实验数据的分析处理能力，以及运用物理知识解决综合实际问题的逻辑思维与综合解题能力。</w:t>
            </w:r>
            <w:r>
              <w:br/>
            </w:r>
            <w:r>
              <w:rPr/>
              <w:t xml:space="preserve">     </w:t>
            </w:r>
            <w:r>
              <w:rPr>
                <w:sz w:val="21"/>
              </w:rPr>
              <w:t>历史学业质量：重点测查历史学科基础知识掌握情况，以及历史理解、解释与探究能力。考查内容聚焦中国古代史、中国近现代史、世界古代史、世界近现代史的核心知识点，注重评估学生对历史史实的精准掌握、历史事件的因果分析、历史观点的合理阐释、历史知识体系的构建能力，以及历史时空观念、史料实证、历史解释等学科核心素养。</w:t>
            </w:r>
            <w:r>
              <w:br/>
            </w:r>
            <w:r>
              <w:rPr/>
              <w:t xml:space="preserve">     </w:t>
            </w:r>
            <w:r>
              <w:rPr>
                <w:sz w:val="21"/>
              </w:rPr>
              <w:t>地理学业质量：重点测查地理基础知识掌握情况、地理图表判读能力、地理信息获取与处理能力及地理实践力等，涵盖自然地理、人文地理、区域地理、环境保护等核心模块，注重考查学生的地理图表判读、地理数据分析、地理概念理解、区域综合分析能力，以及运用地理知识分析区域发展与环境问题的综合地理实践能力。</w:t>
            </w:r>
            <w:r>
              <w:br/>
            </w:r>
            <w:r>
              <w:rPr/>
              <w:t xml:space="preserve">     </w:t>
            </w:r>
            <w:r>
              <w:rPr>
                <w:sz w:val="21"/>
              </w:rPr>
              <w:t>生物学学业质量重点测查生物学科基础知识掌握情况，包括细胞结构、遗传规律、生态系统等核心概念的理解，以及实验设计与操作能力、科学探究能力等；同时测查细胞代谢、遗传规律、稳态与调节、生态系统、生物技术实践等核心模块，注重考查学生对生物核心概念的深度理解、知识体系构建能力、实验设计与分析能力，以及运用生物学知识解释生命现象、解决综合生物学问题的能力。</w:t>
            </w:r>
            <w:r>
              <w:br/>
            </w:r>
            <w:r>
              <w:rPr/>
              <w:t xml:space="preserve">     </w:t>
            </w:r>
            <w:r>
              <w:rPr>
                <w:sz w:val="21"/>
              </w:rPr>
              <w:t>（</w:t>
            </w:r>
            <w:r>
              <w:rPr>
                <w:sz w:val="21"/>
              </w:rPr>
              <w:t>3）提供各学科命题细目表，明确各学科命题细目表需包含知识点名称、题型、分值、考评能力层级（明确区分识记、理解、应用、探究、综合运用等层级），明确每道试题的具体对标依据（精准对接最新课程标准对应条目、高考评价体系相关要求），合理设置基础题、中档题、难题的比例，精准适配集团内不同层次学校的教学水平，确保试题在不同层次学校间具备良好区分度，能够客观反映不同学情学生的真实学业水平与备考短板，为后续精准教学指导提供明确依据。</w:t>
            </w:r>
          </w:p>
        </w:tc>
      </w:tr>
      <w:tr>
        <w:tc>
          <w:tcPr>
            <w:tcW w:type="dxa" w:w="2076"/>
          </w:tcPr>
          <w:p/>
        </w:tc>
        <w:tc>
          <w:tcPr>
            <w:tcW w:type="dxa" w:w="415"/>
          </w:tcPr>
          <w:p>
            <w:pPr>
              <w:pStyle w:val="null3"/>
            </w:pPr>
            <w:r>
              <w:rPr/>
              <w:t>2</w:t>
            </w:r>
          </w:p>
        </w:tc>
        <w:tc>
          <w:tcPr>
            <w:tcW w:type="dxa" w:w="5814"/>
          </w:tcPr>
          <w:p>
            <w:pPr>
              <w:pStyle w:val="null3"/>
            </w:pPr>
            <w:r>
              <w:rPr>
                <w:sz w:val="20"/>
                <w:color w:val="000000"/>
              </w:rPr>
              <w:t>（二）</w:t>
            </w:r>
            <w:r>
              <w:rPr>
                <w:sz w:val="21"/>
              </w:rPr>
              <w:t>研发监测工具</w:t>
            </w:r>
            <w:r>
              <w:br/>
            </w:r>
            <w:r>
              <w:rPr/>
              <w:t xml:space="preserve">     </w:t>
            </w:r>
            <w:r>
              <w:rPr>
                <w:sz w:val="21"/>
              </w:rPr>
              <w:t>（</w:t>
            </w:r>
            <w:r>
              <w:rPr>
                <w:sz w:val="21"/>
              </w:rPr>
              <w:t>1）监测工具包含测试卷与相关因素调查问卷两类，由学科专家命题组负责研发。命题组依据最新高中教学大纲及课程标准，结合教育集团各高中学生实际学业发展情况，参考学业评价标准与命题方向，制定详细的研发计划，明确研发任务、提交日期及责任人等核心要素。参与研发人员须严格遵守保密规定，签订《项目保密承诺书》。工具研发遵循科学性、准确性、实用性与可操作性等基本原则，研发流程完善，具备科学性、有效性、准确性与可拓展性，全程贴合高三学生学业提升与发展需求，并明确监测实施规范，保障监测数据的真实性与完整性。</w:t>
            </w:r>
            <w:r>
              <w:br/>
            </w:r>
            <w:r>
              <w:rPr/>
              <w:t xml:space="preserve">     </w:t>
            </w:r>
            <w:r>
              <w:rPr>
                <w:sz w:val="21"/>
              </w:rPr>
              <w:t>（</w:t>
            </w:r>
            <w:r>
              <w:rPr>
                <w:sz w:val="21"/>
              </w:rPr>
              <w:t>2）测试卷以学科核心素养为考查核心，采用结构化命题模式，打破零散知识点考查局限，系统整合知识点、能力要求与素养目标。重点监测高三学生各学科学业水平、知识掌握情况及学科核心素养发展水平，结合高考导向与生活实际设计真实情境化试题，强化素养落地与实践能力考查，适当增加实验操作、实践应用、情境探究、综合解题等能力的考核比重，凸显高三备考的能力导向与实践导向，推动学生综合运用知识解决实际问题，助力精准对接高考素养考查要求。明确试卷信效度核心指标，命题过程中须完成与近三年高考真题的考点匹配度分析，确保监测内容精准对接高考冲刺需求。</w:t>
            </w:r>
            <w:r>
              <w:br/>
            </w:r>
            <w:r>
              <w:rPr/>
              <w:t xml:space="preserve">     </w:t>
            </w:r>
            <w:r>
              <w:rPr>
                <w:sz w:val="21"/>
              </w:rPr>
              <w:t>（</w:t>
            </w:r>
            <w:r>
              <w:rPr>
                <w:sz w:val="21"/>
              </w:rPr>
              <w:t>3）相关因素调查问卷主要用于测查影响学生学业发展的相关因素，分为学生问卷、教师问卷、校长问卷、家长问卷等类型。所有问卷及辅助工具均须严格落实信效度检验与科学论证要求，作为工具研发的核心环节之一，全程遵循教育测量规范，并提供完整的检验论证报告，确保测量工具的可靠性、有效性与科学性，为监测数据的精准性、客观性提供坚实支撑，杜绝因工具本身缺陷影响监测结果的科学性。</w:t>
            </w:r>
            <w:r>
              <w:br/>
            </w:r>
            <w:r>
              <w:rPr/>
              <w:t xml:space="preserve">     </w:t>
            </w:r>
            <w:r>
              <w:rPr>
                <w:sz w:val="21"/>
              </w:rPr>
              <w:t>（</w:t>
            </w:r>
            <w:r>
              <w:rPr>
                <w:sz w:val="21"/>
              </w:rPr>
              <w:t>4）所有监测工具须经过三级审核（具体内容见</w:t>
            </w:r>
            <w:r>
              <w:rPr>
                <w:sz w:val="21"/>
              </w:rPr>
              <w:t>具体技术</w:t>
            </w:r>
            <w:r>
              <w:rPr>
                <w:sz w:val="21"/>
              </w:rPr>
              <w:t>(</w:t>
            </w:r>
            <w:r>
              <w:rPr>
                <w:sz w:val="21"/>
              </w:rPr>
              <w:t>参数</w:t>
            </w:r>
            <w:r>
              <w:rPr>
                <w:sz w:val="21"/>
              </w:rPr>
              <w:t>)</w:t>
            </w:r>
            <w:r>
              <w:rPr>
                <w:sz w:val="21"/>
              </w:rPr>
              <w:t>要求</w:t>
            </w:r>
            <w:r>
              <w:rPr>
                <w:sz w:val="21"/>
              </w:rPr>
              <w:t>11.</w:t>
            </w:r>
            <w:r>
              <w:rPr>
                <w:sz w:val="21"/>
              </w:rPr>
              <w:t>三级审核要求），同时须经教育集团审核。集团相关负责人立足集团高三教学冲刺整体定位，结合集团实际，对问卷内容的针对性与适配性进行专项审核，重点围绕高三师生教学实际需求提出修改完善意见，确保问卷能够精准反映集团高三教育教学现状，紧扣高三教学冲刺阶段核心诉求，审核通过后方可最终定稿。</w:t>
            </w:r>
            <w:r>
              <w:br/>
            </w:r>
            <w:r>
              <w:rPr/>
              <w:t xml:space="preserve">     </w:t>
            </w:r>
            <w:r>
              <w:rPr>
                <w:sz w:val="21"/>
              </w:rPr>
              <w:t>（</w:t>
            </w:r>
            <w:r>
              <w:rPr>
                <w:sz w:val="21"/>
              </w:rPr>
              <w:t>5）需实现命题专家与入校指导专家的一体化，确保命题专家深度参与后续入校指导，从命题初衷、考点设计逻辑等维度为一线教学提供精准权威的指导，避免</w:t>
            </w:r>
            <w:r>
              <w:rPr>
                <w:sz w:val="21"/>
              </w:rPr>
              <w:t>“</w:t>
            </w:r>
            <w:r>
              <w:rPr>
                <w:sz w:val="21"/>
              </w:rPr>
              <w:t>命题</w:t>
            </w:r>
            <w:r>
              <w:rPr>
                <w:sz w:val="21"/>
              </w:rPr>
              <w:t>”</w:t>
            </w:r>
            <w:r>
              <w:rPr>
                <w:sz w:val="21"/>
              </w:rPr>
              <w:t>与</w:t>
            </w:r>
            <w:r>
              <w:rPr>
                <w:sz w:val="21"/>
              </w:rPr>
              <w:t>“</w:t>
            </w:r>
            <w:r>
              <w:rPr>
                <w:sz w:val="21"/>
              </w:rPr>
              <w:t>指导</w:t>
            </w:r>
            <w:r>
              <w:rPr>
                <w:sz w:val="21"/>
              </w:rPr>
              <w:t>”</w:t>
            </w:r>
            <w:r>
              <w:rPr>
                <w:sz w:val="21"/>
              </w:rPr>
              <w:t>脱节；配套编制并提供试题与学科核心素养的对应关系分析材料。针对监测试题，提供指标体系测评框架，清晰标注其考查的核心素养维度、具体素养点及考查层级，形成</w:t>
            </w:r>
            <w:r>
              <w:rPr>
                <w:sz w:val="21"/>
              </w:rPr>
              <w:t>“</w:t>
            </w:r>
            <w:r>
              <w:rPr>
                <w:sz w:val="21"/>
              </w:rPr>
              <w:t>试题</w:t>
            </w:r>
            <w:r>
              <w:rPr>
                <w:sz w:val="21"/>
              </w:rPr>
              <w:t>—</w:t>
            </w:r>
            <w:r>
              <w:rPr>
                <w:sz w:val="21"/>
              </w:rPr>
              <w:t>素养</w:t>
            </w:r>
            <w:r>
              <w:rPr>
                <w:sz w:val="21"/>
              </w:rPr>
              <w:t>—</w:t>
            </w:r>
            <w:r>
              <w:rPr>
                <w:sz w:val="21"/>
              </w:rPr>
              <w:t>能力</w:t>
            </w:r>
            <w:r>
              <w:rPr>
                <w:sz w:val="21"/>
              </w:rPr>
              <w:t>”</w:t>
            </w:r>
            <w:r>
              <w:rPr>
                <w:sz w:val="21"/>
              </w:rPr>
              <w:t>对应图谱，为教师精准分析学生素养水平、优化备考教学提供科学依据与可视化支撑。</w:t>
            </w:r>
          </w:p>
        </w:tc>
      </w:tr>
      <w:tr>
        <w:tc>
          <w:tcPr>
            <w:tcW w:type="dxa" w:w="2076"/>
          </w:tcPr>
          <w:p/>
        </w:tc>
        <w:tc>
          <w:tcPr>
            <w:tcW w:type="dxa" w:w="415"/>
          </w:tcPr>
          <w:p>
            <w:pPr>
              <w:pStyle w:val="null3"/>
            </w:pPr>
            <w:r>
              <w:rPr/>
              <w:t>3</w:t>
            </w:r>
          </w:p>
        </w:tc>
        <w:tc>
          <w:tcPr>
            <w:tcW w:type="dxa" w:w="5814"/>
          </w:tcPr>
          <w:p>
            <w:pPr>
              <w:pStyle w:val="null3"/>
            </w:pPr>
            <w:r>
              <w:rPr>
                <w:sz w:val="21"/>
              </w:rPr>
              <w:t>（三）</w:t>
            </w:r>
            <w:r>
              <w:rPr>
                <w:sz w:val="21"/>
              </w:rPr>
              <w:t>制定监测实施方案并组织实施</w:t>
            </w:r>
            <w:r>
              <w:br/>
            </w:r>
            <w:r>
              <w:rPr>
                <w:sz w:val="21"/>
              </w:rPr>
              <w:t>（</w:t>
            </w:r>
            <w:r>
              <w:rPr>
                <w:sz w:val="21"/>
              </w:rPr>
              <w:t>1）教育集团需求调研方案</w:t>
            </w:r>
            <w:r>
              <w:br/>
            </w:r>
            <w:r>
              <w:rPr/>
              <w:t xml:space="preserve">     </w:t>
            </w:r>
            <w:r>
              <w:rPr>
                <w:sz w:val="21"/>
              </w:rPr>
              <w:t>制定教育集团需求调研方案，全面调研集团教学课程现状、整体教育水平、现阶段考核目标、重难点把握等核心内容，精准对接教育集团高中专项监测需求，确保监测工作贴合集团实际、解决教学痛点，为监测体系构建、工具研发及实施落地提供坚实依据。</w:t>
            </w:r>
            <w:r>
              <w:br/>
            </w:r>
            <w:r>
              <w:rPr>
                <w:sz w:val="21"/>
              </w:rPr>
              <w:t>（</w:t>
            </w:r>
            <w:r>
              <w:rPr>
                <w:sz w:val="21"/>
              </w:rPr>
              <w:t>2）教育集团教育质量监测实施方案</w:t>
            </w:r>
            <w:r>
              <w:br/>
            </w:r>
            <w:r>
              <w:rPr/>
              <w:t xml:space="preserve">     </w:t>
            </w:r>
            <w:r>
              <w:rPr>
                <w:sz w:val="21"/>
              </w:rPr>
              <w:t>制定教育集团教育质量监测办法并组织实施。严格参照高考工作组织模式，结合</w:t>
            </w:r>
            <w:r>
              <w:rPr>
                <w:sz w:val="21"/>
              </w:rPr>
              <w:t>2024年监测实践经验，立足集团办学实际与核心需求，重点构建全流程闭环管理体系。</w:t>
            </w:r>
            <w:r>
              <w:br/>
            </w:r>
            <w:r>
              <w:rPr/>
              <w:t xml:space="preserve">     </w:t>
            </w:r>
            <w:r>
              <w:rPr>
                <w:sz w:val="21"/>
              </w:rPr>
              <w:t>一是明确职责分工，清晰划定各相关部门在监测工作中的权责边界，杜绝职责交叉与工作遗漏，确保各项任务精准落地；</w:t>
            </w:r>
            <w:r>
              <w:br/>
            </w:r>
            <w:r>
              <w:rPr/>
              <w:t xml:space="preserve">     </w:t>
            </w:r>
            <w:r>
              <w:rPr>
                <w:sz w:val="21"/>
              </w:rPr>
              <w:t>二是规范实施流程，制定详尽的组织程序、操作规范及执行标准，科学规划工作节点，明确各环节启动时间、完成时限与责任主体，建立可落地、可追溯的实施机制；</w:t>
            </w:r>
            <w:r>
              <w:br/>
            </w:r>
            <w:r>
              <w:rPr/>
              <w:t xml:space="preserve">     </w:t>
            </w:r>
            <w:r>
              <w:rPr>
                <w:sz w:val="21"/>
              </w:rPr>
              <w:t>三是强化考务与安全管控，完善监考人员全流程培训机制，严格落实测试卷命题、印制、运输、封存、销毁全流程保密制度，规范考场布置、入场核验等关键环节，筑牢监测工作公平公正防线；</w:t>
            </w:r>
            <w:r>
              <w:br/>
            </w:r>
            <w:r>
              <w:rPr/>
              <w:t xml:space="preserve">     </w:t>
            </w:r>
            <w:r>
              <w:rPr>
                <w:sz w:val="21"/>
              </w:rPr>
              <w:t>四是健全监督体系，成立专项巡考小组，对监测各环节开展全程监督检查，针对考务异常、试卷异常、设备故障等异常状况，制定健全的反馈与处置机制，保障监测工作公平有序推进；</w:t>
            </w:r>
            <w:r>
              <w:br/>
            </w:r>
            <w:r>
              <w:rPr/>
              <w:t xml:space="preserve">     </w:t>
            </w:r>
            <w:r>
              <w:rPr>
                <w:sz w:val="21"/>
              </w:rPr>
              <w:t>五是做实后勤保障，统筹人员、物资、场地、技术等全要素保障工作，明确各保障环节的责任主体、服务标准与响应时限，为监测工作高质量推进提供坚实支撑。</w:t>
            </w:r>
            <w:r>
              <w:br/>
            </w:r>
            <w:r>
              <w:rPr>
                <w:sz w:val="21"/>
              </w:rPr>
              <w:t>（</w:t>
            </w:r>
            <w:r>
              <w:rPr>
                <w:sz w:val="21"/>
              </w:rPr>
              <w:t>3）建立高效的应急处置机制</w:t>
            </w:r>
            <w:r>
              <w:br/>
            </w:r>
            <w:r>
              <w:rPr/>
              <w:t xml:space="preserve">     </w:t>
            </w:r>
            <w:r>
              <w:rPr>
                <w:sz w:val="21"/>
              </w:rPr>
              <w:t>建立高效的应急处置机制与完备的应急服务预案，快速有效处置监测过程中可能出现的突发事件和紧急情况。同时，坚持多方联动，统筹开展监测的动员、组织、培训、实施等工作，确保全过程安全严密、规范有序。</w:t>
            </w:r>
            <w:r>
              <w:br/>
            </w:r>
            <w:r>
              <w:rPr>
                <w:sz w:val="21"/>
              </w:rPr>
              <w:t>（</w:t>
            </w:r>
            <w:r>
              <w:rPr>
                <w:sz w:val="21"/>
              </w:rPr>
              <w:t>4）提供阅卷平台</w:t>
            </w:r>
            <w:r>
              <w:br/>
            </w:r>
            <w:r>
              <w:rPr/>
              <w:t xml:space="preserve">     </w:t>
            </w:r>
            <w:r>
              <w:rPr>
                <w:sz w:val="21"/>
              </w:rPr>
              <w:t>提供专业阅卷平台，确保顺畅完成测试卷批改全流程；同时需明确测试卷批阅完成时限，规范批阅流程、统一批阅标准，保障批阅工作规范有序、高效推进且公平公正。同时，为集团提供必要的阅卷培训支持。（阅卷要求详见</w:t>
            </w:r>
            <w:r>
              <w:rPr>
                <w:sz w:val="21"/>
              </w:rPr>
              <w:t>具体技术</w:t>
            </w:r>
            <w:r>
              <w:rPr>
                <w:sz w:val="21"/>
              </w:rPr>
              <w:t>(</w:t>
            </w:r>
            <w:r>
              <w:rPr>
                <w:sz w:val="21"/>
              </w:rPr>
              <w:t>参数</w:t>
            </w:r>
            <w:r>
              <w:rPr>
                <w:sz w:val="21"/>
              </w:rPr>
              <w:t>)</w:t>
            </w:r>
            <w:r>
              <w:rPr>
                <w:sz w:val="21"/>
              </w:rPr>
              <w:t>要求</w:t>
            </w:r>
            <w:r>
              <w:rPr>
                <w:sz w:val="21"/>
              </w:rPr>
              <w:t>12.</w:t>
            </w:r>
            <w:r>
              <w:rPr>
                <w:sz w:val="21"/>
              </w:rPr>
              <w:t>阅卷平台及阅卷标准）</w:t>
            </w:r>
          </w:p>
        </w:tc>
      </w:tr>
      <w:tr>
        <w:tc>
          <w:tcPr>
            <w:tcW w:type="dxa" w:w="2076"/>
          </w:tcPr>
          <w:p/>
        </w:tc>
        <w:tc>
          <w:tcPr>
            <w:tcW w:type="dxa" w:w="415"/>
          </w:tcPr>
          <w:p>
            <w:pPr>
              <w:pStyle w:val="null3"/>
            </w:pPr>
            <w:r>
              <w:rPr/>
              <w:t>4</w:t>
            </w:r>
          </w:p>
        </w:tc>
        <w:tc>
          <w:tcPr>
            <w:tcW w:type="dxa" w:w="5814"/>
          </w:tcPr>
          <w:p>
            <w:pPr>
              <w:pStyle w:val="null3"/>
              <w:jc w:val="both"/>
            </w:pPr>
            <w:r>
              <w:rPr/>
              <w:t>（四）</w:t>
            </w:r>
            <w:r>
              <w:rPr/>
              <w:t>提供数据采集、分析和平台接入服务</w:t>
            </w:r>
            <w:r>
              <w:br/>
            </w:r>
            <w:r>
              <w:rPr/>
              <w:t>（</w:t>
            </w:r>
            <w:r>
              <w:rPr/>
              <w:t>1）数据采集服务</w:t>
            </w:r>
            <w:r>
              <w:br/>
            </w:r>
            <w:r>
              <w:rPr/>
              <w:t xml:space="preserve">     </w:t>
            </w:r>
            <w:r>
              <w:rPr/>
              <w:t>监测数据包括样本信息上报数据、测试卷答题结果及相关因素调查问卷结果采集，投标人需提供数据存储、查询等配套服务。数据采集方式需符合本地实际应用场景，数据采集系统及相关设备需具备易用性和稳定性，严格规范数据采集流程，确保数据采集的规范性、时效性和准确性，保障监测数据真实可靠。</w:t>
            </w:r>
            <w:r>
              <w:br/>
            </w:r>
            <w:r>
              <w:rPr/>
              <w:t>（</w:t>
            </w:r>
            <w:r>
              <w:rPr/>
              <w:t>2）数据分析服务</w:t>
            </w:r>
            <w:r>
              <w:br/>
            </w:r>
            <w:r>
              <w:rPr/>
              <w:t xml:space="preserve">     </w:t>
            </w:r>
            <w:r>
              <w:rPr/>
              <w:t>在完成监测数据的扫描录入后，通过数据处理、数据链接等标准化流程构建规范的监测数据库。运用多种专业统计分析方法，对监测数据进行深度挖掘与精准分析，形成全面详实的监测结果。结合教学提升导向，精准分析学生学业短板及核心知识点掌握的薄弱环节，为集团高三教学优化提供数据支撑。同时，落实以下要求：</w:t>
            </w:r>
            <w:r>
              <w:br/>
            </w:r>
            <w:r>
              <w:rPr/>
              <w:t xml:space="preserve">     </w:t>
            </w:r>
            <w:r>
              <w:rPr/>
              <w:t>①挖掘本次监测与上一次监测的纵向关联数据，对比分析曾参与监测的学校及学科学生学业水平变化趋势、掌握提升情况与素养发展动态，梳理监测数据背后的教学规律，为集团制定长效备考策略、调整教学方向提供具备历史纵深的决策参考依据。</w:t>
            </w:r>
            <w:r>
              <w:br/>
            </w:r>
            <w:r>
              <w:rPr/>
              <w:t xml:space="preserve">      </w:t>
            </w:r>
            <w:r>
              <w:rPr/>
              <w:t>②建立“同伴示范”机制，依托监测结果精准挖掘集团内各学科的优势学校，系统梳理各学科优势学校的各项数据，为集团后续总结优势学校的教学模式、备考方法与管理经验等提供数据支持，并由集团统一组织实施经验分享与教学示范活动，供集团内其他学校参考借鉴。</w:t>
            </w:r>
            <w:r>
              <w:br/>
            </w:r>
            <w:r>
              <w:rPr/>
              <w:t xml:space="preserve">     </w:t>
            </w:r>
            <w:r>
              <w:rPr/>
              <w:t>③数据采集维度涵盖学生学业数据、答题细节数据、问卷调研数据、校际差异数据及历史关联数据，确保全面贴合集团及各参测学校现实状况。分析深度聚焦学科核心素养达成情况、学生能力短板、校际差距等核心内容，形成分层分类的精准分析结论；转化机制以监测数据为核心依据，将分析结果与各参测学校高三的教学及备考策略、课堂教学优化、个性化辅导、师资培训等直接关联，明确各项分析结论匹配对应的教学改进方向与具体措施，形成“监测数据采集—深度分析—策略转化—教学改进”的闭环管理体系。</w:t>
            </w:r>
            <w:r>
              <w:br/>
            </w:r>
            <w:r>
              <w:rPr/>
              <w:t xml:space="preserve">     </w:t>
            </w:r>
            <w:r>
              <w:rPr/>
              <w:t>④将集团能够提供的往年高考数据与本次监测数据开展多维度对比分析，包括运用增值评价等技术，客观评估集团及参测学校高中各学科成绩的变化状况，为集团及参测学校的备考工作提供数据支持。</w:t>
            </w:r>
            <w:r>
              <w:br/>
            </w:r>
            <w:r>
              <w:rPr/>
              <w:t>（</w:t>
            </w:r>
            <w:r>
              <w:rPr/>
              <w:t>3）数据接入服务</w:t>
            </w:r>
            <w:r>
              <w:br/>
            </w:r>
            <w:r>
              <w:rPr/>
              <w:t xml:space="preserve">     </w:t>
            </w:r>
            <w:r>
              <w:rPr/>
              <w:t>供应商须按照集团数字化管理平台要求，提供符合统一标准、数据格式及安全规范的数据接口，接口开发、调试、对接等相关费用均包含在总报价内，不另行计费。在服务周期内，集团若有明确的数据接口标准、格式及安全要求，供应商据此完成数据库建设；</w:t>
            </w:r>
            <w:r>
              <w:rPr/>
              <w:t xml:space="preserve">     </w:t>
            </w:r>
          </w:p>
          <w:p>
            <w:pPr>
              <w:pStyle w:val="null3"/>
            </w:pPr>
            <w:r>
              <w:rPr>
                <w:sz w:val="21"/>
              </w:rPr>
              <w:t>若暂无相关要求或要求尚未成熟，供应商可提供参考标准，经集团确认后执行。项目资料经双方验收通过后原则上不再修改，如后续确需协助，供应商应予以支持，相关费用包含在总投标价内。</w:t>
            </w:r>
          </w:p>
        </w:tc>
      </w:tr>
      <w:tr>
        <w:tc>
          <w:tcPr>
            <w:tcW w:type="dxa" w:w="2076"/>
          </w:tcPr>
          <w:p/>
        </w:tc>
        <w:tc>
          <w:tcPr>
            <w:tcW w:type="dxa" w:w="415"/>
          </w:tcPr>
          <w:p>
            <w:pPr>
              <w:pStyle w:val="null3"/>
            </w:pPr>
            <w:r>
              <w:rPr/>
              <w:t>5</w:t>
            </w:r>
          </w:p>
        </w:tc>
        <w:tc>
          <w:tcPr>
            <w:tcW w:type="dxa" w:w="5814"/>
          </w:tcPr>
          <w:p>
            <w:pPr>
              <w:pStyle w:val="null3"/>
            </w:pPr>
            <w:r>
              <w:rPr>
                <w:sz w:val="21"/>
              </w:rPr>
              <w:t>（五）</w:t>
            </w:r>
            <w:r>
              <w:rPr>
                <w:sz w:val="21"/>
              </w:rPr>
              <w:t>提供电子版监测报告</w:t>
            </w:r>
            <w:r>
              <w:br/>
            </w:r>
            <w:r>
              <w:rPr>
                <w:sz w:val="21"/>
              </w:rPr>
              <w:t>（</w:t>
            </w:r>
            <w:r>
              <w:rPr>
                <w:sz w:val="21"/>
              </w:rPr>
              <w:t>1）根据监测数据分析结果，综合考虑报告目的、内容和不同核心受众群体，由专家撰写完成监测结果分析报告。</w:t>
            </w:r>
            <w:r>
              <w:br/>
            </w:r>
            <w:r>
              <w:rPr>
                <w:sz w:val="21"/>
              </w:rPr>
              <w:t>（</w:t>
            </w:r>
            <w:r>
              <w:rPr>
                <w:sz w:val="21"/>
              </w:rPr>
              <w:t>2）对监测数据进行深入分析和挖掘，包括学校的优势学科。根据报告目的、内容和阅读对象的不同，研制完成各级教育质量监测报告。将准确评估高三学生学习素养水平，为改进教育管理、优化决策、提高高中教学质量等方面的工作提供科学依据。监测结果重点呈现高三年级学生在九大学科（语文、数学、英语、思想政治、物理、化学、历史、地理、生物学）领域的发展状况、影响学生备考成效的主要因素及针对性对策建议，并形成集团监测报告、学校监测报告。</w:t>
            </w:r>
            <w:r>
              <w:br/>
            </w:r>
            <w:r>
              <w:rPr/>
              <w:t xml:space="preserve">     </w:t>
            </w:r>
            <w:r>
              <w:rPr>
                <w:sz w:val="21"/>
              </w:rPr>
              <w:t>①</w:t>
            </w:r>
            <w:r>
              <w:rPr>
                <w:sz w:val="21"/>
              </w:rPr>
              <w:t>集团监测报告：呈现教育集团高三年级学生在九大学科（语文、数学、英语、思想政治、物理、化学、历史、地理、生物学）领域的发展水平、影响该年级学生发展水平成效的主要因素以及相关分析，诊断教育集团高三教育质量及备考过程中存在的问题，提出针对性优化建议。</w:t>
            </w:r>
            <w:r>
              <w:br/>
            </w:r>
            <w:r>
              <w:rPr/>
              <w:t xml:space="preserve">     </w:t>
            </w:r>
            <w:r>
              <w:rPr>
                <w:sz w:val="21"/>
              </w:rPr>
              <w:t>②</w:t>
            </w:r>
            <w:r>
              <w:rPr>
                <w:sz w:val="21"/>
              </w:rPr>
              <w:t>学校监测报告：分学校呈现高三学生在九大学科（语文、数学、英语、思想政治、物理、化学、历史、地理、生物学）领域的发展水平、影响该校学生发展水平成效的主要因素以及相关分析，诊断该校高三教育质量及备考短板，为学校优化高三教学及备考策略提供精准指引。</w:t>
            </w:r>
          </w:p>
        </w:tc>
      </w:tr>
      <w:tr>
        <w:tc>
          <w:tcPr>
            <w:tcW w:type="dxa" w:w="2076"/>
          </w:tcPr>
          <w:p/>
        </w:tc>
        <w:tc>
          <w:tcPr>
            <w:tcW w:type="dxa" w:w="415"/>
          </w:tcPr>
          <w:p>
            <w:pPr>
              <w:pStyle w:val="null3"/>
            </w:pPr>
            <w:r>
              <w:rPr/>
              <w:t>6</w:t>
            </w:r>
          </w:p>
        </w:tc>
        <w:tc>
          <w:tcPr>
            <w:tcW w:type="dxa" w:w="5814"/>
          </w:tcPr>
          <w:p>
            <w:pPr>
              <w:pStyle w:val="null3"/>
              <w:ind w:left="195"/>
              <w:jc w:val="both"/>
            </w:pPr>
            <w:r>
              <w:rPr/>
              <w:t>（六）</w:t>
            </w:r>
            <w:r>
              <w:rPr/>
              <w:t>提供报告解读和分层提升服务</w:t>
            </w:r>
          </w:p>
          <w:p>
            <w:pPr>
              <w:pStyle w:val="null3"/>
            </w:pPr>
            <w:r>
              <w:rPr>
                <w:sz w:val="21"/>
              </w:rPr>
              <w:t>组织监测报告解读专项培训，针对区域及典型学校的监测结果，开展分层解读培训，覆盖从校长到九大学科科任老师的全群体。帮助校长依托监测数据精准把握学校高三教学整体现状、管理短板及改进方向，提升办学决策与质量管控能力；指导科任老师读懂监测数据背后的学情短板、高考考点薄弱环节，提升数据应用与教学诊断能力，推动监测结果转化为高三教学优化、备考提升的实际成效。</w:t>
            </w:r>
          </w:p>
        </w:tc>
      </w:tr>
      <w:tr>
        <w:tc>
          <w:tcPr>
            <w:tcW w:type="dxa" w:w="2076"/>
          </w:tcPr>
          <w:p/>
        </w:tc>
        <w:tc>
          <w:tcPr>
            <w:tcW w:type="dxa" w:w="415"/>
          </w:tcPr>
          <w:p>
            <w:pPr>
              <w:pStyle w:val="null3"/>
            </w:pPr>
            <w:r>
              <w:rPr/>
              <w:t>7</w:t>
            </w:r>
          </w:p>
        </w:tc>
        <w:tc>
          <w:tcPr>
            <w:tcW w:type="dxa" w:w="5814"/>
          </w:tcPr>
          <w:p>
            <w:pPr>
              <w:pStyle w:val="null3"/>
            </w:pPr>
            <w:r>
              <w:rPr>
                <w:sz w:val="21"/>
              </w:rPr>
              <w:t>（七）</w:t>
            </w:r>
            <w:r>
              <w:rPr>
                <w:sz w:val="21"/>
              </w:rPr>
              <w:t>提供依托监测数据及学科教学优化等服务，为教育集团</w:t>
            </w:r>
            <w:r>
              <w:rPr>
                <w:sz w:val="21"/>
              </w:rPr>
              <w:t>1</w:t>
            </w:r>
            <w:r>
              <w:rPr>
                <w:sz w:val="21"/>
              </w:rPr>
              <w:t>所代表性学校提供针对性优化提升</w:t>
            </w:r>
            <w:r>
              <w:br/>
            </w:r>
            <w:r>
              <w:rPr>
                <w:sz w:val="21"/>
              </w:rPr>
              <w:t>（</w:t>
            </w:r>
            <w:r>
              <w:rPr>
                <w:sz w:val="21"/>
              </w:rPr>
              <w:t>1）专家团队组建与配置：组建课程专家与九大学科专家共同构成的专业指导团队。课程专家负责项目整体统筹、跨学科协调与质量监控；学科专家须具备高校学科教学研究、高考命题研究、省市统考阅卷或一线名师等资质，每学科配备1</w:t>
            </w:r>
            <w:r>
              <w:rPr>
                <w:sz w:val="21"/>
              </w:rPr>
              <w:t>—</w:t>
            </w:r>
            <w:r>
              <w:rPr>
                <w:sz w:val="21"/>
              </w:rPr>
              <w:t>2人，确保指导的专业性与针对性。授课点遴选1所集团学校，具备标准教室、多媒体设备、录播系统等硬件条件，能够协调学生参与示范课教学，保障正常教学秩序。</w:t>
            </w:r>
            <w:r>
              <w:br/>
            </w:r>
            <w:r>
              <w:rPr>
                <w:sz w:val="21"/>
              </w:rPr>
              <w:t>（</w:t>
            </w:r>
            <w:r>
              <w:rPr>
                <w:sz w:val="21"/>
              </w:rPr>
              <w:t>2）线下示范指导安排：提供高考九大学科的示范指导服务。其中，语文、数学、英语3科各不少于3天，物理、化学、生物、历史、地理、政治6科各不少于2天，总时累计不少于21天；每天每学科开展至少2场活动，累计组织不少于42场学科示范指导与专题培训。指导紧密围绕高三教学，基于监测数据呈现的教学薄弱环节，聚焦教学优化与考点突破，内容涵盖教学设计改进、课堂策略优化、分层教学实施、命题趋势解读、高频考点梳理、重难点突破、题型专项训练、临界生辅导等，采用听课评课、示范课、专题讲座、教研研讨等多种形式。提供可落地的教学实施方案，形成并交付课堂诊断与教学改进方案、高考备考分析报告等材料。</w:t>
            </w:r>
            <w:r>
              <w:br/>
            </w:r>
            <w:r>
              <w:rPr>
                <w:sz w:val="21"/>
              </w:rPr>
              <w:t>（</w:t>
            </w:r>
            <w:r>
              <w:rPr>
                <w:sz w:val="21"/>
              </w:rPr>
              <w:t>3）教学跟踪与反馈机制：建立完善的沟通反馈机制，九大学科教师可就课堂实施中的教学环节设计、师生互动方式、重难点突破技巧，学情把控中的学生课堂表现分析、学习困难诊断、差异化教学策略，以及高三教学冲刺中的复习进度安排、专题复习设计、临界生辅导方法、教学策略调整等问题，与专家进行深度交流。专家结合学校实际学情与教学监测数据反映的短板，为教师提供针对性改进建议：在教学设计层面，指导教师调整教学目标、重构教学环节、优化问题设计、改进评价方式；在课堂实施层面，指导教师优化提问策略、强化思维训练、提升课堂效率、改善学生参与度；在教学冲刺层面，指导教师调整复习节奏、优化专题设计、强化分层落实、完善临界生辅导方案。</w:t>
            </w:r>
            <w:r>
              <w:br/>
            </w:r>
            <w:r>
              <w:rPr>
                <w:sz w:val="21"/>
              </w:rPr>
              <w:t>（</w:t>
            </w:r>
            <w:r>
              <w:rPr>
                <w:sz w:val="21"/>
              </w:rPr>
              <w:t>4）闭环提升机制：构建</w:t>
            </w:r>
            <w:r>
              <w:rPr>
                <w:sz w:val="21"/>
              </w:rPr>
              <w:t>“</w:t>
            </w:r>
            <w:r>
              <w:rPr>
                <w:sz w:val="21"/>
              </w:rPr>
              <w:t>实施</w:t>
            </w:r>
            <w:r>
              <w:rPr>
                <w:sz w:val="21"/>
              </w:rPr>
              <w:t>—</w:t>
            </w:r>
            <w:r>
              <w:rPr>
                <w:sz w:val="21"/>
              </w:rPr>
              <w:t>反馈</w:t>
            </w:r>
            <w:r>
              <w:rPr>
                <w:sz w:val="21"/>
              </w:rPr>
              <w:t>—</w:t>
            </w:r>
            <w:r>
              <w:rPr>
                <w:sz w:val="21"/>
              </w:rPr>
              <w:t>优化</w:t>
            </w:r>
            <w:r>
              <w:rPr>
                <w:sz w:val="21"/>
              </w:rPr>
              <w:t>—</w:t>
            </w:r>
            <w:r>
              <w:rPr>
                <w:sz w:val="21"/>
              </w:rPr>
              <w:t>再实施</w:t>
            </w:r>
            <w:r>
              <w:rPr>
                <w:sz w:val="21"/>
              </w:rPr>
              <w:t>”</w:t>
            </w:r>
            <w:r>
              <w:rPr>
                <w:sz w:val="21"/>
              </w:rPr>
              <w:t>的闭环提升模式。实施阶段，专家入校开展示范课展示与专题讲座，学校教师全程观摩学习，记录要点与思考；反馈阶段，建立一对一沟通机制，教师与专家深度交流，专家收集教师需求与困惑；优化阶段，专家结合学情与数据短板提供改进建议，教师调整教学设计、课堂实施方案、备考策略；在实施阶段，教师将优化方案应用于课堂实践。通过这一闭环机制，确保每一次指导都能转化为实际的教学改进，持续推动教师专业能力与教学质量双提升。</w:t>
            </w:r>
          </w:p>
        </w:tc>
      </w:tr>
      <w:tr>
        <w:tc>
          <w:tcPr>
            <w:tcW w:type="dxa" w:w="2076"/>
          </w:tcPr>
          <w:p/>
        </w:tc>
        <w:tc>
          <w:tcPr>
            <w:tcW w:type="dxa" w:w="415"/>
          </w:tcPr>
          <w:p>
            <w:pPr>
              <w:pStyle w:val="null3"/>
            </w:pPr>
            <w:r>
              <w:rPr/>
              <w:t>8</w:t>
            </w:r>
          </w:p>
        </w:tc>
        <w:tc>
          <w:tcPr>
            <w:tcW w:type="dxa" w:w="5814"/>
          </w:tcPr>
          <w:p>
            <w:pPr>
              <w:pStyle w:val="null3"/>
            </w:pPr>
            <w:r>
              <w:rPr>
                <w:sz w:val="21"/>
              </w:rPr>
              <w:t>（八）</w:t>
            </w:r>
            <w:r>
              <w:rPr>
                <w:sz w:val="21"/>
              </w:rPr>
              <w:t>提供教育科研成果产出服务</w:t>
            </w:r>
            <w:r>
              <w:br/>
            </w:r>
            <w:r>
              <w:rPr/>
              <w:t xml:space="preserve">     </w:t>
            </w:r>
            <w:r>
              <w:rPr>
                <w:sz w:val="21"/>
              </w:rPr>
              <w:t>在提供质量监测数据分析和诊断报告的基础上，结合学科教研指导实际，聚焦共性问题与典型经验，开展专题化研究，通过数据实证与理论提炼，撰写不少于</w:t>
            </w:r>
            <w:r>
              <w:rPr>
                <w:sz w:val="21"/>
              </w:rPr>
              <w:t>1篇的专业研究报告或学术论文，形成具有集团特色的教育教学范式，助力提升教育集团品牌影响力。</w:t>
            </w:r>
          </w:p>
        </w:tc>
      </w:tr>
      <w:tr>
        <w:tc>
          <w:tcPr>
            <w:tcW w:type="dxa" w:w="2076"/>
          </w:tcPr>
          <w:p/>
        </w:tc>
        <w:tc>
          <w:tcPr>
            <w:tcW w:type="dxa" w:w="415"/>
          </w:tcPr>
          <w:p>
            <w:pPr>
              <w:pStyle w:val="null3"/>
            </w:pPr>
            <w:r>
              <w:rPr/>
              <w:t>9</w:t>
            </w:r>
          </w:p>
        </w:tc>
        <w:tc>
          <w:tcPr>
            <w:tcW w:type="dxa" w:w="5814"/>
          </w:tcPr>
          <w:p>
            <w:pPr>
              <w:pStyle w:val="null3"/>
            </w:pPr>
            <w:r>
              <w:rPr>
                <w:sz w:val="21"/>
              </w:rPr>
              <w:t>二</w:t>
            </w:r>
            <w:r>
              <w:rPr>
                <w:sz w:val="21"/>
              </w:rPr>
              <w:t>、技术标准与规范</w:t>
            </w:r>
            <w:r>
              <w:br/>
            </w:r>
            <w:r>
              <w:rPr>
                <w:sz w:val="21"/>
              </w:rPr>
              <w:t>（</w:t>
            </w:r>
            <w:r>
              <w:rPr>
                <w:sz w:val="21"/>
              </w:rPr>
              <w:t>一）</w:t>
            </w:r>
            <w:r>
              <w:rPr>
                <w:sz w:val="21"/>
              </w:rPr>
              <w:t>监测指标体系研制标准</w:t>
            </w:r>
            <w:r>
              <w:br/>
            </w:r>
            <w:r>
              <w:rPr/>
              <w:t xml:space="preserve">     </w:t>
            </w:r>
            <w:r>
              <w:rPr>
                <w:sz w:val="21"/>
              </w:rPr>
              <w:t>指标体系需科学、全面、贴合集团高三实际，涵盖学生学业发展、学科核心素养、备考关键能力等多个层面。同步细化各学科命题细目表，明确知识点名称、题型、分值、考查频次、考评能力层级（区分识记、理解、应用、探究、综合运用等），明确每道试题的具体对标依据（精准对接课程标准条目、高考评价体系要求），合理设置基础题、中档题、难题的比例。</w:t>
            </w:r>
          </w:p>
        </w:tc>
      </w:tr>
      <w:tr>
        <w:tc>
          <w:tcPr>
            <w:tcW w:type="dxa" w:w="2076"/>
          </w:tcPr>
          <w:p/>
        </w:tc>
        <w:tc>
          <w:tcPr>
            <w:tcW w:type="dxa" w:w="415"/>
          </w:tcPr>
          <w:p>
            <w:pPr>
              <w:pStyle w:val="null3"/>
            </w:pPr>
            <w:r>
              <w:rPr/>
              <w:t>10</w:t>
            </w:r>
          </w:p>
        </w:tc>
        <w:tc>
          <w:tcPr>
            <w:tcW w:type="dxa" w:w="5814"/>
          </w:tcPr>
          <w:p>
            <w:pPr>
              <w:pStyle w:val="null3"/>
              <w:jc w:val="both"/>
            </w:pPr>
            <w:r>
              <w:rPr/>
              <w:t>（二）</w:t>
            </w:r>
            <w:r>
              <w:rPr/>
              <w:t>监测工具研发标准</w:t>
            </w:r>
          </w:p>
          <w:p>
            <w:pPr>
              <w:pStyle w:val="null3"/>
            </w:pPr>
            <w:r>
              <w:rPr>
                <w:sz w:val="21"/>
              </w:rPr>
              <w:t>测试卷：以学科核心素养为考查核心，采用结构化命题模式，构建</w:t>
            </w:r>
            <w:r>
              <w:rPr>
                <w:sz w:val="21"/>
              </w:rPr>
              <w:t>“</w:t>
            </w:r>
            <w:r>
              <w:rPr>
                <w:sz w:val="21"/>
              </w:rPr>
              <w:t>知识点</w:t>
            </w:r>
            <w:r>
              <w:rPr>
                <w:sz w:val="21"/>
              </w:rPr>
              <w:t>—</w:t>
            </w:r>
            <w:r>
              <w:rPr>
                <w:sz w:val="21"/>
              </w:rPr>
              <w:t>素养</w:t>
            </w:r>
            <w:r>
              <w:rPr>
                <w:sz w:val="21"/>
              </w:rPr>
              <w:t>—</w:t>
            </w:r>
            <w:r>
              <w:rPr>
                <w:sz w:val="21"/>
              </w:rPr>
              <w:t>能力</w:t>
            </w:r>
            <w:r>
              <w:rPr>
                <w:sz w:val="21"/>
              </w:rPr>
              <w:t>”</w:t>
            </w:r>
            <w:r>
              <w:rPr>
                <w:sz w:val="21"/>
              </w:rPr>
              <w:t>一体化命题体系。整卷应具有良好的内容效度和校标关联效度，信度系数在0.80以上，区分度在0.3以上，整份试卷平均难度系数控制在0.5-0.6。命题过程中须完成与近三年高考真题的考点匹配度分析，形成分析报告，明确考点覆盖率、题型相似度、能力对标关系。</w:t>
            </w:r>
            <w:r>
              <w:br/>
            </w:r>
            <w:r>
              <w:rPr/>
              <w:t xml:space="preserve">     </w:t>
            </w:r>
            <w:r>
              <w:rPr>
                <w:sz w:val="21"/>
              </w:rPr>
              <w:t>问卷及辅助工具：须经过专业的信效度检验与科学论证，效度检验围绕内容、结构、效标关联三大维度展开，同时需提交完整的检验论证报告，包含检验过程、数据结果及优化建议，对未达标的条目进行修订与复测。</w:t>
            </w:r>
          </w:p>
        </w:tc>
      </w:tr>
      <w:tr>
        <w:tc>
          <w:tcPr>
            <w:tcW w:type="dxa" w:w="2076"/>
          </w:tcPr>
          <w:p/>
        </w:tc>
        <w:tc>
          <w:tcPr>
            <w:tcW w:type="dxa" w:w="415"/>
          </w:tcPr>
          <w:p>
            <w:pPr>
              <w:pStyle w:val="null3"/>
            </w:pPr>
            <w:r>
              <w:rPr/>
              <w:t>11</w:t>
            </w:r>
          </w:p>
        </w:tc>
        <w:tc>
          <w:tcPr>
            <w:tcW w:type="dxa" w:w="5814"/>
          </w:tcPr>
          <w:p>
            <w:pPr>
              <w:pStyle w:val="null3"/>
            </w:pPr>
            <w:r>
              <w:rPr>
                <w:sz w:val="21"/>
              </w:rPr>
              <w:t>（</w:t>
            </w:r>
            <w:r>
              <w:rPr>
                <w:sz w:val="21"/>
              </w:rPr>
              <w:t>三）</w:t>
            </w:r>
            <w:r>
              <w:rPr>
                <w:sz w:val="21"/>
              </w:rPr>
              <w:t>三级审核要求</w:t>
            </w:r>
            <w:r>
              <w:br/>
            </w:r>
            <w:r>
              <w:rPr>
                <w:sz w:val="21"/>
              </w:rPr>
              <w:t>所有监测工具需经过三级审核：</w:t>
            </w:r>
            <w:r>
              <w:br/>
            </w:r>
            <w:r>
              <w:rPr/>
              <w:t xml:space="preserve">     </w:t>
            </w:r>
            <w:r>
              <w:rPr>
                <w:sz w:val="21"/>
              </w:rPr>
              <w:t>（</w:t>
            </w:r>
            <w:r>
              <w:rPr>
                <w:sz w:val="21"/>
              </w:rPr>
              <w:t>1）内容审核：重点检查政治性、针对性、敏感性、合规性，以及学术性、完整性和科学性，排查考点适配性、题型规范性。</w:t>
            </w:r>
            <w:r>
              <w:br/>
            </w:r>
            <w:r>
              <w:rPr/>
              <w:t xml:space="preserve">     </w:t>
            </w:r>
            <w:r>
              <w:rPr>
                <w:sz w:val="21"/>
              </w:rPr>
              <w:t>（</w:t>
            </w:r>
            <w:r>
              <w:rPr>
                <w:sz w:val="21"/>
              </w:rPr>
              <w:t>2）逻辑审核：评估题目编排顺序、备.选项设计、题目间的关系等，确保试题条理清晰、逻辑严谨、文字通畅、作答便利。</w:t>
            </w:r>
            <w:r>
              <w:br/>
            </w:r>
            <w:r>
              <w:rPr/>
              <w:t xml:space="preserve">     </w:t>
            </w:r>
            <w:r>
              <w:rPr>
                <w:sz w:val="21"/>
              </w:rPr>
              <w:t>（</w:t>
            </w:r>
            <w:r>
              <w:rPr>
                <w:sz w:val="21"/>
              </w:rPr>
              <w:t>3）作答审核：组织专业人员试答试题，排查格式错误、错别字、题号重复、选项重复、缺题、图片或表格缺失、题目材料与问题不匹配等问题。</w:t>
            </w:r>
            <w:r>
              <w:br/>
            </w:r>
            <w:r>
              <w:rPr>
                <w:sz w:val="21"/>
              </w:rPr>
              <w:t xml:space="preserve">    </w:t>
            </w:r>
            <w:r>
              <w:rPr>
                <w:sz w:val="21"/>
              </w:rPr>
              <w:t>各学科团队根据反馈意见完成最终修订。监测工具还须经教育集团审核通过后方可定稿。</w:t>
            </w:r>
          </w:p>
        </w:tc>
      </w:tr>
      <w:tr>
        <w:tc>
          <w:tcPr>
            <w:tcW w:type="dxa" w:w="2076"/>
          </w:tcPr>
          <w:p/>
        </w:tc>
        <w:tc>
          <w:tcPr>
            <w:tcW w:type="dxa" w:w="415"/>
          </w:tcPr>
          <w:p>
            <w:pPr>
              <w:pStyle w:val="null3"/>
            </w:pPr>
            <w:r>
              <w:rPr/>
              <w:t>12</w:t>
            </w:r>
          </w:p>
        </w:tc>
        <w:tc>
          <w:tcPr>
            <w:tcW w:type="dxa" w:w="5814"/>
          </w:tcPr>
          <w:p>
            <w:pPr>
              <w:pStyle w:val="null3"/>
            </w:pPr>
            <w:r>
              <w:rPr>
                <w:sz w:val="21"/>
              </w:rPr>
              <w:t>（</w:t>
            </w:r>
            <w:r>
              <w:rPr>
                <w:sz w:val="21"/>
              </w:rPr>
              <w:t>四</w:t>
            </w:r>
            <w:r>
              <w:rPr>
                <w:sz w:val="21"/>
              </w:rPr>
              <w:t>）</w:t>
            </w:r>
            <w:r>
              <w:rPr>
                <w:sz w:val="21"/>
              </w:rPr>
              <w:t>阅卷平台及阅卷标准</w:t>
            </w:r>
            <w:r>
              <w:br/>
            </w:r>
            <w:r>
              <w:rPr>
                <w:sz w:val="21"/>
              </w:rPr>
              <w:t>（1）执行双评机制：针对作文模块，</w:t>
            </w:r>
            <w:r>
              <w:rPr>
                <w:sz w:val="21"/>
              </w:rPr>
              <w:t>双评误差应控制在规定的允许阈值</w:t>
            </w:r>
            <w:r>
              <w:rPr>
                <w:sz w:val="21"/>
              </w:rPr>
              <w:t>以内</w:t>
            </w:r>
            <w:r>
              <w:rPr>
                <w:sz w:val="21"/>
              </w:rPr>
              <w:t>，</w:t>
            </w:r>
            <w:r>
              <w:rPr>
                <w:sz w:val="21"/>
              </w:rPr>
              <w:t>超出则需启动三评机制，由学科评卷组长重新评阅，以三评结果作为最终得分。</w:t>
            </w:r>
            <w:r>
              <w:br/>
            </w:r>
            <w:r>
              <w:rPr>
                <w:sz w:val="21"/>
              </w:rPr>
              <w:t>（2）阅卷误差率标准：应控制在题目分值的</w:t>
            </w:r>
            <w:r>
              <w:rPr>
                <w:sz w:val="21"/>
              </w:rPr>
              <w:t xml:space="preserve"> 1/6（约16.7%）以内</w:t>
            </w:r>
            <w:r>
              <w:rPr>
                <w:sz w:val="21"/>
              </w:rPr>
              <w:t>。</w:t>
            </w:r>
            <w:r>
              <w:rPr>
                <w:sz w:val="21"/>
              </w:rPr>
              <w:t>建立数据录入10%抽样复核机制，抽样复核的准确率须达到100%，阅卷工作完成后，须提供完整、规范的数据验收校验报告，明确复核过程、结果及相关说明，确保阅卷数据真实、准确、可追溯。</w:t>
            </w:r>
            <w:r>
              <w:br/>
            </w:r>
            <w:r>
              <w:rPr>
                <w:sz w:val="21"/>
              </w:rPr>
              <w:t>（3）阅卷过程实行全程保密管理，阅卷人员须签订保密承诺书，严禁泄露试题、答题内容、阅卷分数等相关信息；阅卷平台须具备完善的权限管理、操作留痕功能，确保阅卷过程可追溯、可监管。</w:t>
            </w:r>
          </w:p>
        </w:tc>
      </w:tr>
      <w:tr>
        <w:tc>
          <w:tcPr>
            <w:tcW w:type="dxa" w:w="2076"/>
          </w:tcPr>
          <w:p/>
        </w:tc>
        <w:tc>
          <w:tcPr>
            <w:tcW w:type="dxa" w:w="415"/>
          </w:tcPr>
          <w:p>
            <w:pPr>
              <w:pStyle w:val="null3"/>
            </w:pPr>
            <w:r>
              <w:rPr/>
              <w:t>13</w:t>
            </w:r>
          </w:p>
        </w:tc>
        <w:tc>
          <w:tcPr>
            <w:tcW w:type="dxa" w:w="5814"/>
          </w:tcPr>
          <w:p>
            <w:pPr>
              <w:pStyle w:val="null3"/>
            </w:pPr>
            <w:r>
              <w:rPr>
                <w:sz w:val="21"/>
              </w:rPr>
              <w:t>（</w:t>
            </w:r>
            <w:r>
              <w:rPr>
                <w:sz w:val="21"/>
              </w:rPr>
              <w:t>五）</w:t>
            </w:r>
            <w:r>
              <w:rPr>
                <w:sz w:val="21"/>
              </w:rPr>
              <w:t>数据分析规范</w:t>
            </w:r>
            <w:r>
              <w:br/>
            </w:r>
            <w:r>
              <w:rPr>
                <w:sz w:val="21"/>
              </w:rPr>
              <w:t>数据采集维度涵盖学生学业数据、答题细节数据、问卷调研数据、校际差异数据及历史关联数据。分析深度聚焦学科核心素养达成情况、学生能力短板、校际差距等核心内容，形成分层分类的精准分析结论。形成</w:t>
            </w:r>
            <w:r>
              <w:rPr>
                <w:sz w:val="21"/>
              </w:rPr>
              <w:t>“</w:t>
            </w:r>
            <w:r>
              <w:rPr>
                <w:sz w:val="21"/>
              </w:rPr>
              <w:t>监测数据采集</w:t>
            </w:r>
            <w:r>
              <w:rPr>
                <w:sz w:val="21"/>
              </w:rPr>
              <w:t>—</w:t>
            </w:r>
            <w:r>
              <w:rPr>
                <w:sz w:val="21"/>
              </w:rPr>
              <w:t>深度分析</w:t>
            </w:r>
            <w:r>
              <w:rPr>
                <w:sz w:val="21"/>
              </w:rPr>
              <w:t>—</w:t>
            </w:r>
            <w:r>
              <w:rPr>
                <w:sz w:val="21"/>
              </w:rPr>
              <w:t>策略转化</w:t>
            </w:r>
            <w:r>
              <w:rPr>
                <w:sz w:val="21"/>
              </w:rPr>
              <w:t>—</w:t>
            </w:r>
            <w:r>
              <w:rPr>
                <w:sz w:val="21"/>
              </w:rPr>
              <w:t>教学改进</w:t>
            </w:r>
            <w:r>
              <w:rPr>
                <w:sz w:val="21"/>
              </w:rPr>
              <w:t>”</w:t>
            </w:r>
            <w:r>
              <w:rPr>
                <w:sz w:val="21"/>
              </w:rPr>
              <w:t>的闭环管理体系。运用增值评价等技术，将往年高考数据与本次监测数据进行多维度对比分析。</w:t>
            </w:r>
          </w:p>
        </w:tc>
      </w:tr>
      <w:tr>
        <w:tc>
          <w:tcPr>
            <w:tcW w:type="dxa" w:w="2076"/>
          </w:tcPr>
          <w:p/>
        </w:tc>
        <w:tc>
          <w:tcPr>
            <w:tcW w:type="dxa" w:w="415"/>
          </w:tcPr>
          <w:p>
            <w:pPr>
              <w:pStyle w:val="null3"/>
            </w:pPr>
            <w:r>
              <w:rPr/>
              <w:t>14</w:t>
            </w:r>
          </w:p>
        </w:tc>
        <w:tc>
          <w:tcPr>
            <w:tcW w:type="dxa" w:w="5814"/>
          </w:tcPr>
          <w:p>
            <w:pPr>
              <w:pStyle w:val="null3"/>
              <w:jc w:val="both"/>
            </w:pPr>
            <w:r>
              <w:rPr/>
              <w:t>三</w:t>
            </w:r>
            <w:r>
              <w:rPr/>
              <w:t>、实施计划与时间节点</w:t>
            </w:r>
            <w:r>
              <w:br/>
            </w:r>
            <w:r>
              <w:rPr/>
              <w:t>（</w:t>
            </w:r>
            <w:r>
              <w:rPr/>
              <w:t>一）</w:t>
            </w:r>
            <w:r>
              <w:rPr/>
              <w:t>监测实施工作任务与时间节点表</w:t>
            </w:r>
          </w:p>
          <w:tbl>
            <w:tblPr>
              <w:tblInd w:type="dxa" w:w="120"/>
              <w:tblBorders>
                <w:top w:val="none" w:color="000000" w:sz="4"/>
                <w:left w:val="none" w:color="000000" w:sz="4"/>
                <w:bottom w:val="none" w:color="000000" w:sz="4"/>
                <w:right w:val="none" w:color="000000" w:sz="4"/>
                <w:insideH w:val="none"/>
                <w:insideV w:val="none"/>
              </w:tblBorders>
            </w:tblPr>
            <w:tblGrid>
              <w:gridCol w:w="1398"/>
              <w:gridCol w:w="1178"/>
              <w:gridCol w:w="1974"/>
              <w:gridCol w:w="1046"/>
            </w:tblGrid>
            <w:tr>
              <w:tc>
                <w:tcPr>
                  <w:tcW w:type="dxa" w:w="13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类别</w:t>
                  </w:r>
                </w:p>
              </w:tc>
              <w:tc>
                <w:tcPr>
                  <w:tcW w:type="dxa" w:w="11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任务</w:t>
                  </w:r>
                </w:p>
              </w:tc>
              <w:tc>
                <w:tcPr>
                  <w:tcW w:type="dxa" w:w="19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具体描述</w:t>
                  </w:r>
                </w:p>
              </w:tc>
              <w:tc>
                <w:tcPr>
                  <w:tcW w:type="dxa" w:w="10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时间</w:t>
                  </w:r>
                </w:p>
              </w:tc>
            </w:tr>
            <w:tr>
              <w:tc>
                <w:tcPr>
                  <w:tcW w:type="dxa" w:w="13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监测准备工作</w:t>
                  </w:r>
                </w:p>
              </w:tc>
              <w:tc>
                <w:tcPr>
                  <w:tcW w:type="dxa" w:w="1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下发监测通知</w:t>
                  </w:r>
                </w:p>
              </w:tc>
              <w:tc>
                <w:tcPr>
                  <w:tcW w:type="dxa" w:w="1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教育集团给参测附属中学下发监测通知</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测前</w:t>
                  </w:r>
                  <w:r>
                    <w:rPr>
                      <w:sz w:val="21"/>
                    </w:rPr>
                    <w:t>1个月</w:t>
                  </w:r>
                </w:p>
              </w:tc>
            </w:tr>
            <w:tr>
              <w:tc>
                <w:tcPr>
                  <w:tcW w:type="dxa" w:w="1398"/>
                  <w:vMerge/>
                  <w:tcBorders>
                    <w:top w:val="none" w:color="000000" w:sz="4"/>
                    <w:left w:val="single" w:color="000000" w:sz="4"/>
                    <w:bottom w:val="single" w:color="000000" w:sz="4"/>
                    <w:right w:val="single" w:color="000000" w:sz="4"/>
                  </w:tcBorders>
                </w:tcPr>
                <w:p/>
              </w:tc>
              <w:tc>
                <w:tcPr>
                  <w:tcW w:type="dxa" w:w="1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准备工作说明会</w:t>
                  </w:r>
                </w:p>
              </w:tc>
              <w:tc>
                <w:tcPr>
                  <w:tcW w:type="dxa" w:w="1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召开监测工作动员会和测试程序与操作培训会</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测前</w:t>
                  </w:r>
                  <w:r>
                    <w:rPr>
                      <w:sz w:val="21"/>
                    </w:rPr>
                    <w:t>1个月</w:t>
                  </w:r>
                </w:p>
              </w:tc>
            </w:tr>
            <w:tr>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监测工具研发</w:t>
                  </w:r>
                </w:p>
              </w:tc>
              <w:tc>
                <w:tcPr>
                  <w:tcW w:type="dxa" w:w="1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确定正式监测工具</w:t>
                  </w:r>
                </w:p>
              </w:tc>
              <w:tc>
                <w:tcPr>
                  <w:tcW w:type="dxa" w:w="1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研发并定稿各类监测工具，包括学科测试卷和影响因素问卷</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测前</w:t>
                  </w:r>
                  <w:r>
                    <w:rPr>
                      <w:sz w:val="21"/>
                    </w:rPr>
                    <w:t>1个月</w:t>
                  </w:r>
                </w:p>
              </w:tc>
            </w:tr>
            <w:tr>
              <w:tc>
                <w:tcPr>
                  <w:tcW w:type="dxa" w:w="13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监测组织实施</w:t>
                  </w:r>
                </w:p>
              </w:tc>
              <w:tc>
                <w:tcPr>
                  <w:tcW w:type="dxa" w:w="1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印刷与封装正式监测工具</w:t>
                  </w:r>
                </w:p>
              </w:tc>
              <w:tc>
                <w:tcPr>
                  <w:tcW w:type="dxa" w:w="1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完成工具印刷与封装工作</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测前</w:t>
                  </w:r>
                  <w:r>
                    <w:rPr>
                      <w:sz w:val="21"/>
                    </w:rPr>
                    <w:t>20天</w:t>
                  </w:r>
                </w:p>
              </w:tc>
            </w:tr>
            <w:tr>
              <w:tc>
                <w:tcPr>
                  <w:tcW w:type="dxa" w:w="1398"/>
                  <w:vMerge/>
                  <w:tcBorders>
                    <w:top w:val="none" w:color="000000" w:sz="4"/>
                    <w:left w:val="single" w:color="000000" w:sz="4"/>
                    <w:bottom w:val="single" w:color="000000" w:sz="4"/>
                    <w:right w:val="single" w:color="000000" w:sz="4"/>
                  </w:tcBorders>
                </w:tcPr>
                <w:p/>
              </w:tc>
              <w:tc>
                <w:tcPr>
                  <w:tcW w:type="dxa" w:w="1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问卷题目录入</w:t>
                  </w:r>
                </w:p>
              </w:tc>
              <w:tc>
                <w:tcPr>
                  <w:tcW w:type="dxa" w:w="1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将所有问卷上传平台，含工具开发团队核查工具、平台开发团队完成内测</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测前</w:t>
                  </w:r>
                  <w:r>
                    <w:rPr>
                      <w:sz w:val="21"/>
                    </w:rPr>
                    <w:t>10天</w:t>
                  </w:r>
                </w:p>
              </w:tc>
            </w:tr>
            <w:tr>
              <w:tc>
                <w:tcPr>
                  <w:tcW w:type="dxa" w:w="1398"/>
                  <w:vMerge/>
                  <w:tcBorders>
                    <w:top w:val="none" w:color="000000" w:sz="4"/>
                    <w:left w:val="single" w:color="000000" w:sz="4"/>
                    <w:bottom w:val="single" w:color="000000" w:sz="4"/>
                    <w:right w:val="single" w:color="000000" w:sz="4"/>
                  </w:tcBorders>
                </w:tcPr>
                <w:p/>
              </w:tc>
              <w:tc>
                <w:tcPr>
                  <w:tcW w:type="dxa" w:w="1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师生信息上报</w:t>
                  </w:r>
                </w:p>
              </w:tc>
              <w:tc>
                <w:tcPr>
                  <w:tcW w:type="dxa" w:w="1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各学校按照提供的模板提交测试年级的学生和教师信息</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测前</w:t>
                  </w:r>
                  <w:r>
                    <w:rPr>
                      <w:sz w:val="21"/>
                    </w:rPr>
                    <w:t>1个月</w:t>
                  </w:r>
                </w:p>
              </w:tc>
            </w:tr>
            <w:tr>
              <w:tc>
                <w:tcPr>
                  <w:tcW w:type="dxa" w:w="1398"/>
                  <w:vMerge/>
                  <w:tcBorders>
                    <w:top w:val="none" w:color="000000" w:sz="4"/>
                    <w:left w:val="single" w:color="000000" w:sz="4"/>
                    <w:bottom w:val="single" w:color="000000" w:sz="4"/>
                    <w:right w:val="single" w:color="000000" w:sz="4"/>
                  </w:tcBorders>
                </w:tcPr>
                <w:p/>
              </w:tc>
              <w:tc>
                <w:tcPr>
                  <w:tcW w:type="dxa" w:w="1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账号生成</w:t>
                  </w:r>
                </w:p>
              </w:tc>
              <w:tc>
                <w:tcPr>
                  <w:tcW w:type="dxa" w:w="1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生成参测人员的登录名和密码</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测前</w:t>
                  </w:r>
                  <w:r>
                    <w:rPr>
                      <w:sz w:val="21"/>
                    </w:rPr>
                    <w:t>8天</w:t>
                  </w:r>
                </w:p>
              </w:tc>
            </w:tr>
            <w:tr>
              <w:tc>
                <w:tcPr>
                  <w:tcW w:type="dxa" w:w="1398"/>
                  <w:vMerge/>
                  <w:tcBorders>
                    <w:top w:val="none" w:color="000000" w:sz="4"/>
                    <w:left w:val="single" w:color="000000" w:sz="4"/>
                    <w:bottom w:val="single" w:color="000000" w:sz="4"/>
                    <w:right w:val="single" w:color="000000" w:sz="4"/>
                  </w:tcBorders>
                </w:tcPr>
                <w:p/>
              </w:tc>
              <w:tc>
                <w:tcPr>
                  <w:tcW w:type="dxa" w:w="1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分发链接</w:t>
                  </w:r>
                </w:p>
              </w:tc>
              <w:tc>
                <w:tcPr>
                  <w:tcW w:type="dxa" w:w="1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下发监测工具链接（账号、密码）</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测前</w:t>
                  </w:r>
                  <w:r>
                    <w:rPr>
                      <w:sz w:val="21"/>
                    </w:rPr>
                    <w:t>3天</w:t>
                  </w:r>
                </w:p>
              </w:tc>
            </w:tr>
            <w:tr>
              <w:tc>
                <w:tcPr>
                  <w:tcW w:type="dxa" w:w="1398"/>
                  <w:vMerge/>
                  <w:tcBorders>
                    <w:top w:val="none" w:color="000000" w:sz="4"/>
                    <w:left w:val="single" w:color="000000" w:sz="4"/>
                    <w:bottom w:val="single" w:color="000000" w:sz="4"/>
                    <w:right w:val="single" w:color="000000" w:sz="4"/>
                  </w:tcBorders>
                </w:tcPr>
                <w:p/>
              </w:tc>
              <w:tc>
                <w:tcPr>
                  <w:tcW w:type="dxa" w:w="1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监测员培训</w:t>
                  </w:r>
                </w:p>
              </w:tc>
              <w:tc>
                <w:tcPr>
                  <w:tcW w:type="dxa" w:w="1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各学校对监测员召开正式监测工作流程培训</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测前</w:t>
                  </w:r>
                  <w:r>
                    <w:rPr>
                      <w:sz w:val="21"/>
                    </w:rPr>
                    <w:t>3天</w:t>
                  </w:r>
                </w:p>
              </w:tc>
            </w:tr>
            <w:tr>
              <w:tc>
                <w:tcPr>
                  <w:tcW w:type="dxa" w:w="1398"/>
                  <w:vMerge/>
                  <w:tcBorders>
                    <w:top w:val="none" w:color="000000" w:sz="4"/>
                    <w:left w:val="single" w:color="000000" w:sz="4"/>
                    <w:bottom w:val="single" w:color="000000" w:sz="4"/>
                    <w:right w:val="single" w:color="000000" w:sz="4"/>
                  </w:tcBorders>
                </w:tcPr>
                <w:p/>
              </w:tc>
              <w:tc>
                <w:tcPr>
                  <w:tcW w:type="dxa" w:w="1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问卷填答练习</w:t>
                  </w:r>
                </w:p>
              </w:tc>
              <w:tc>
                <w:tcPr>
                  <w:tcW w:type="dxa" w:w="1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各学校组织学生开展问卷调查系统的填答练习</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测前</w:t>
                  </w:r>
                  <w:r>
                    <w:rPr>
                      <w:sz w:val="21"/>
                    </w:rPr>
                    <w:t>7天</w:t>
                  </w:r>
                </w:p>
              </w:tc>
            </w:tr>
            <w:tr>
              <w:tc>
                <w:tcPr>
                  <w:tcW w:type="dxa" w:w="1398"/>
                  <w:vMerge/>
                  <w:tcBorders>
                    <w:top w:val="none" w:color="000000" w:sz="4"/>
                    <w:left w:val="single" w:color="000000" w:sz="4"/>
                    <w:bottom w:val="single" w:color="000000" w:sz="4"/>
                    <w:right w:val="single" w:color="000000" w:sz="4"/>
                  </w:tcBorders>
                </w:tcPr>
                <w:p/>
              </w:tc>
              <w:tc>
                <w:tcPr>
                  <w:tcW w:type="dxa" w:w="1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测试卷的保密与押运</w:t>
                  </w:r>
                </w:p>
              </w:tc>
              <w:tc>
                <w:tcPr>
                  <w:tcW w:type="dxa" w:w="1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完成各学科测试卷的押运与接收</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测前</w:t>
                  </w:r>
                  <w:r>
                    <w:rPr>
                      <w:sz w:val="21"/>
                    </w:rPr>
                    <w:t>1天</w:t>
                  </w:r>
                </w:p>
              </w:tc>
            </w:tr>
            <w:tr>
              <w:tc>
                <w:tcPr>
                  <w:tcW w:type="dxa" w:w="1398"/>
                  <w:vMerge/>
                  <w:tcBorders>
                    <w:top w:val="none" w:color="000000" w:sz="4"/>
                    <w:left w:val="single" w:color="000000" w:sz="4"/>
                    <w:bottom w:val="single" w:color="000000" w:sz="4"/>
                    <w:right w:val="single" w:color="000000" w:sz="4"/>
                  </w:tcBorders>
                </w:tcPr>
                <w:p/>
              </w:tc>
              <w:tc>
                <w:tcPr>
                  <w:tcW w:type="dxa" w:w="1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试卷填答</w:t>
                  </w:r>
                </w:p>
              </w:tc>
              <w:tc>
                <w:tcPr>
                  <w:tcW w:type="dxa" w:w="1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1.完成各监测学科试卷数据的收集</w:t>
                  </w:r>
                  <w:r>
                    <w:br/>
                  </w:r>
                  <w:r>
                    <w:rPr>
                      <w:sz w:val="21"/>
                    </w:rPr>
                    <w:t>2.监控测试过程，处置应急问题与突发事件</w:t>
                  </w:r>
                  <w:r>
                    <w:br/>
                  </w:r>
                  <w:r>
                    <w:rPr>
                      <w:sz w:val="21"/>
                    </w:rPr>
                    <w:t>3.准确完成各科测试卷的回收</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监测当天</w:t>
                  </w:r>
                </w:p>
              </w:tc>
            </w:tr>
            <w:tr>
              <w:tc>
                <w:tcPr>
                  <w:tcW w:type="dxa" w:w="1398"/>
                  <w:vMerge/>
                  <w:tcBorders>
                    <w:top w:val="none" w:color="000000" w:sz="4"/>
                    <w:left w:val="single" w:color="000000" w:sz="4"/>
                    <w:bottom w:val="single" w:color="000000" w:sz="4"/>
                    <w:right w:val="single" w:color="000000" w:sz="4"/>
                  </w:tcBorders>
                </w:tcPr>
                <w:p/>
              </w:tc>
              <w:tc>
                <w:tcPr>
                  <w:tcW w:type="dxa" w:w="1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问卷填答</w:t>
                  </w:r>
                </w:p>
              </w:tc>
              <w:tc>
                <w:tcPr>
                  <w:tcW w:type="dxa" w:w="1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1.分别填答校长问卷、教师问卷、学生问卷</w:t>
                  </w:r>
                  <w:r>
                    <w:br/>
                  </w:r>
                  <w:r>
                    <w:rPr>
                      <w:sz w:val="21"/>
                    </w:rPr>
                    <w:t>2.平台部跟进各类问卷填答进度，确保问卷按时收回</w:t>
                  </w:r>
                  <w:r>
                    <w:br/>
                  </w:r>
                  <w:r>
                    <w:rPr>
                      <w:sz w:val="21"/>
                    </w:rPr>
                    <w:t>3.组建答疑工作团队，负责问题答疑</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监测结束前完成</w:t>
                  </w:r>
                </w:p>
              </w:tc>
            </w:tr>
            <w:tr>
              <w:tc>
                <w:tcPr>
                  <w:tcW w:type="dxa" w:w="1398"/>
                  <w:vMerge/>
                  <w:tcBorders>
                    <w:top w:val="none" w:color="000000" w:sz="4"/>
                    <w:left w:val="single" w:color="000000" w:sz="4"/>
                    <w:bottom w:val="single" w:color="000000" w:sz="4"/>
                    <w:right w:val="single" w:color="000000" w:sz="4"/>
                  </w:tcBorders>
                </w:tcPr>
                <w:p/>
              </w:tc>
              <w:tc>
                <w:tcPr>
                  <w:tcW w:type="dxa" w:w="1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试卷回收</w:t>
                  </w:r>
                </w:p>
              </w:tc>
              <w:tc>
                <w:tcPr>
                  <w:tcW w:type="dxa" w:w="1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完成各学科测试卷的押运与回收</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实施后</w:t>
                  </w:r>
                  <w:r>
                    <w:rPr>
                      <w:sz w:val="21"/>
                    </w:rPr>
                    <w:t>3天</w:t>
                  </w:r>
                </w:p>
              </w:tc>
            </w:tr>
            <w:tr>
              <w:tc>
                <w:tcPr>
                  <w:tcW w:type="dxa" w:w="1398"/>
                  <w:vMerge/>
                  <w:tcBorders>
                    <w:top w:val="none" w:color="000000" w:sz="4"/>
                    <w:left w:val="single" w:color="000000" w:sz="4"/>
                    <w:bottom w:val="single" w:color="000000" w:sz="4"/>
                    <w:right w:val="single" w:color="000000" w:sz="4"/>
                  </w:tcBorders>
                </w:tcPr>
                <w:p/>
              </w:tc>
              <w:tc>
                <w:tcPr>
                  <w:tcW w:type="dxa" w:w="1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阅卷与数据录入</w:t>
                  </w:r>
                </w:p>
              </w:tc>
              <w:tc>
                <w:tcPr>
                  <w:tcW w:type="dxa" w:w="1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完成阅卷和数据录入</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回收后</w:t>
                  </w:r>
                  <w:r>
                    <w:rPr>
                      <w:sz w:val="21"/>
                    </w:rPr>
                    <w:t>15天</w:t>
                  </w:r>
                </w:p>
              </w:tc>
            </w:tr>
            <w:tr>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监测数据分析</w:t>
                  </w:r>
                </w:p>
              </w:tc>
              <w:tc>
                <w:tcPr>
                  <w:tcW w:type="dxa" w:w="1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数据清理及分析</w:t>
                  </w:r>
                </w:p>
              </w:tc>
              <w:tc>
                <w:tcPr>
                  <w:tcW w:type="dxa" w:w="1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对回收的数据进行清理与分析，建立影响因素模型</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测后</w:t>
                  </w:r>
                  <w:r>
                    <w:rPr>
                      <w:sz w:val="21"/>
                    </w:rPr>
                    <w:t>20天</w:t>
                  </w:r>
                </w:p>
              </w:tc>
            </w:tr>
            <w:tr>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报告撰写</w:t>
                  </w:r>
                </w:p>
              </w:tc>
              <w:tc>
                <w:tcPr>
                  <w:tcW w:type="dxa" w:w="1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撰写报告</w:t>
                  </w:r>
                </w:p>
              </w:tc>
              <w:tc>
                <w:tcPr>
                  <w:tcW w:type="dxa" w:w="1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撰写监测报告</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测后</w:t>
                  </w:r>
                  <w:r>
                    <w:rPr>
                      <w:sz w:val="21"/>
                    </w:rPr>
                    <w:t>50天</w:t>
                  </w:r>
                </w:p>
              </w:tc>
            </w:tr>
            <w:tr>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报告解读</w:t>
                  </w:r>
                </w:p>
              </w:tc>
              <w:tc>
                <w:tcPr>
                  <w:tcW w:type="dxa" w:w="1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解读报告</w:t>
                  </w:r>
                </w:p>
              </w:tc>
              <w:tc>
                <w:tcPr>
                  <w:tcW w:type="dxa" w:w="1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片区解读报告</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报告完成后</w:t>
                  </w:r>
                  <w:r>
                    <w:rPr>
                      <w:sz w:val="21"/>
                    </w:rPr>
                    <w:t>10天</w:t>
                  </w:r>
                </w:p>
              </w:tc>
            </w:tr>
            <w:tr>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提升服务</w:t>
                  </w:r>
                </w:p>
              </w:tc>
              <w:tc>
                <w:tcPr>
                  <w:tcW w:type="dxa" w:w="1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教学提升</w:t>
                  </w:r>
                </w:p>
              </w:tc>
              <w:tc>
                <w:tcPr>
                  <w:tcW w:type="dxa" w:w="1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监测数据及学科教学优化服务</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根据学校要求确定具体时间，在</w:t>
                  </w:r>
                  <w:r>
                    <w:rPr>
                      <w:sz w:val="21"/>
                    </w:rPr>
                    <w:t>12月前完成全部学科的提升任务。</w:t>
                  </w:r>
                </w:p>
              </w:tc>
            </w:tr>
            <w:tr>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验收</w:t>
                  </w:r>
                </w:p>
              </w:tc>
              <w:tc>
                <w:tcPr>
                  <w:tcW w:type="dxa" w:w="1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总体验收</w:t>
                  </w:r>
                </w:p>
              </w:tc>
              <w:tc>
                <w:tcPr>
                  <w:tcW w:type="dxa" w:w="1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根据中标单位提供的材料进行总体验收</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根据集团时间安排</w:t>
                  </w:r>
                </w:p>
              </w:tc>
            </w:tr>
          </w:tbl>
          <w:p/>
        </w:tc>
      </w:tr>
      <w:tr>
        <w:tc>
          <w:tcPr>
            <w:tcW w:type="dxa" w:w="2076"/>
          </w:tcPr>
          <w:p/>
        </w:tc>
        <w:tc>
          <w:tcPr>
            <w:tcW w:type="dxa" w:w="415"/>
          </w:tcPr>
          <w:p>
            <w:pPr>
              <w:pStyle w:val="null3"/>
            </w:pPr>
            <w:r>
              <w:rPr/>
              <w:t>15</w:t>
            </w:r>
          </w:p>
        </w:tc>
        <w:tc>
          <w:tcPr>
            <w:tcW w:type="dxa" w:w="5814"/>
          </w:tcPr>
          <w:p>
            <w:pPr>
              <w:pStyle w:val="null3"/>
            </w:pPr>
            <w:r>
              <w:rPr>
                <w:sz w:val="21"/>
              </w:rPr>
              <w:t>四</w:t>
            </w:r>
            <w:r>
              <w:rPr>
                <w:sz w:val="21"/>
              </w:rPr>
              <w:t>、</w:t>
            </w:r>
            <w:r>
              <w:rPr>
                <w:sz w:val="21"/>
              </w:rPr>
              <w:t>验收标准与交付物</w:t>
            </w:r>
            <w:r>
              <w:br/>
            </w:r>
            <w:r>
              <w:rPr>
                <w:sz w:val="21"/>
              </w:rPr>
              <w:t>（</w:t>
            </w:r>
            <w:r>
              <w:rPr>
                <w:sz w:val="21"/>
              </w:rPr>
              <w:t>一）</w:t>
            </w:r>
            <w:r>
              <w:rPr>
                <w:sz w:val="21"/>
              </w:rPr>
              <w:t>供应商需对标本文前述</w:t>
            </w:r>
            <w:r>
              <w:rPr>
                <w:sz w:val="21"/>
              </w:rPr>
              <w:t>“</w:t>
            </w:r>
            <w:r>
              <w:rPr>
                <w:sz w:val="21"/>
              </w:rPr>
              <w:t>服务内容与要求、技术标准与规范</w:t>
            </w:r>
            <w:r>
              <w:rPr>
                <w:sz w:val="21"/>
              </w:rPr>
              <w:t>”</w:t>
            </w:r>
            <w:r>
              <w:rPr>
                <w:sz w:val="21"/>
              </w:rPr>
              <w:t>，提交完整、规范的验收材料。</w:t>
            </w:r>
            <w:r>
              <w:br/>
            </w:r>
            <w:r>
              <w:rPr>
                <w:sz w:val="21"/>
              </w:rPr>
              <w:t>（</w:t>
            </w:r>
            <w:r>
              <w:rPr>
                <w:sz w:val="21"/>
              </w:rPr>
              <w:t>1）指标体系与监测工具：覆盖九大学科及各类调查问卷的完整监测指标体系，配套监测工具、各学科命题细目表、监测工具信效度检验及科学性论证报告、近三年高考试题匹配度分析报告、三级审核材料等，确保指标与工具科学合规、适配项目需求。</w:t>
            </w:r>
            <w:r>
              <w:br/>
            </w:r>
            <w:r>
              <w:rPr>
                <w:sz w:val="21"/>
              </w:rPr>
              <w:t>（</w:t>
            </w:r>
            <w:r>
              <w:rPr>
                <w:sz w:val="21"/>
              </w:rPr>
              <w:t>2）监测实施材料：提供监测组织操作手册、巡考方案、在线作答指引、应急处置预案等文件，确保流程规范、过程可追溯。</w:t>
            </w:r>
            <w:r>
              <w:br/>
            </w:r>
            <w:r>
              <w:rPr>
                <w:sz w:val="21"/>
              </w:rPr>
              <w:t>（</w:t>
            </w:r>
            <w:r>
              <w:rPr>
                <w:sz w:val="21"/>
              </w:rPr>
              <w:t>3）监测数据：提供九大学科答题数据及问卷数据的完整数据库，附数据验收校验报告、与2024年监测结果的对比分析报告。以上数据须真实、规范、可用。</w:t>
            </w:r>
            <w:r>
              <w:br/>
            </w:r>
            <w:r>
              <w:rPr>
                <w:sz w:val="21"/>
              </w:rPr>
              <w:t>（</w:t>
            </w:r>
            <w:r>
              <w:rPr>
                <w:sz w:val="21"/>
              </w:rPr>
              <w:t>4）监测报告：提供集团及学校完整监测报告，要求分析深入、结论精准、建议可行。内容需包含优势学科分析及针对性的具体改进措施，杜绝模板化报告。</w:t>
            </w:r>
            <w:r>
              <w:br/>
            </w:r>
            <w:r>
              <w:rPr>
                <w:sz w:val="21"/>
              </w:rPr>
              <w:t>（</w:t>
            </w:r>
            <w:r>
              <w:rPr>
                <w:sz w:val="21"/>
              </w:rPr>
              <w:t>5）报告解读相关材料：提供监测报告解读及配套解读视频等材料，内容清晰、重点突出。</w:t>
            </w:r>
            <w:r>
              <w:br/>
            </w:r>
            <w:r>
              <w:rPr>
                <w:sz w:val="21"/>
              </w:rPr>
              <w:t>（</w:t>
            </w:r>
            <w:r>
              <w:rPr>
                <w:sz w:val="21"/>
              </w:rPr>
              <w:t>6）教学提升活动相关材料：提供教学提升活动及相关的入校指导材料，包括但不限于课堂诊断与教学改进方案、高考备考分析报告，供复用和借鉴，确保材料专业、实用。</w:t>
            </w:r>
            <w:r>
              <w:br/>
            </w:r>
            <w:r>
              <w:rPr>
                <w:sz w:val="21"/>
              </w:rPr>
              <w:t>（</w:t>
            </w:r>
            <w:r>
              <w:rPr>
                <w:sz w:val="21"/>
              </w:rPr>
              <w:t>7）研究成果产出：提供专业研究报告或学术论文，须贴合教学实际，具备实操参考价值。</w:t>
            </w:r>
            <w:r>
              <w:br/>
            </w:r>
            <w:r>
              <w:rPr>
                <w:sz w:val="21"/>
              </w:rPr>
              <w:t>（</w:t>
            </w:r>
            <w:r>
              <w:rPr>
                <w:sz w:val="21"/>
              </w:rPr>
              <w:t>8）保密承诺书：提交正式签署的保密承诺书。</w:t>
            </w:r>
          </w:p>
        </w:tc>
      </w:tr>
      <w:tr>
        <w:tc>
          <w:tcPr>
            <w:tcW w:type="dxa" w:w="2076"/>
          </w:tcPr>
          <w:p/>
        </w:tc>
        <w:tc>
          <w:tcPr>
            <w:tcW w:type="dxa" w:w="415"/>
          </w:tcPr>
          <w:p>
            <w:pPr>
              <w:pStyle w:val="null3"/>
            </w:pPr>
            <w:r>
              <w:rPr/>
              <w:t>16</w:t>
            </w:r>
          </w:p>
        </w:tc>
        <w:tc>
          <w:tcPr>
            <w:tcW w:type="dxa" w:w="5814"/>
          </w:tcPr>
          <w:p>
            <w:pPr>
              <w:pStyle w:val="null3"/>
            </w:pPr>
            <w:r>
              <w:rPr>
                <w:sz w:val="21"/>
              </w:rPr>
              <w:t>（</w:t>
            </w:r>
            <w:r>
              <w:rPr>
                <w:sz w:val="21"/>
              </w:rPr>
              <w:t>二）</w:t>
            </w:r>
            <w:r>
              <w:rPr>
                <w:sz w:val="21"/>
              </w:rPr>
              <w:t>项目验收分为初次验收（初验）、最终验收（终验）两个阶段，验收工作由中标供应商发起验收申请，采购人负责组织实施。</w:t>
            </w:r>
            <w:r>
              <w:br/>
            </w:r>
            <w:r>
              <w:rPr>
                <w:sz w:val="21"/>
              </w:rPr>
              <w:t>（</w:t>
            </w:r>
            <w:r>
              <w:rPr>
                <w:sz w:val="21"/>
              </w:rPr>
              <w:t>1）初次验收：测试实施后50日内，中标供应商提交涉及监测指标体系及工具研发、数据采集与分析、报告撰写等环节材料，并发起初次验收申请，</w:t>
            </w:r>
            <w:r>
              <w:rPr>
                <w:sz w:val="21"/>
              </w:rPr>
              <w:t>由采购人</w:t>
            </w:r>
            <w:r>
              <w:rPr>
                <w:sz w:val="21"/>
              </w:rPr>
              <w:t>在收到供应商验收申请后</w:t>
            </w:r>
            <w:r>
              <w:rPr>
                <w:sz w:val="21"/>
              </w:rPr>
              <w:t>7日内</w:t>
            </w:r>
            <w:r>
              <w:rPr>
                <w:sz w:val="21"/>
              </w:rPr>
              <w:t>组织开展项目初次验收。</w:t>
            </w:r>
            <w:r>
              <w:br/>
            </w:r>
            <w:r>
              <w:rPr>
                <w:sz w:val="21"/>
              </w:rPr>
              <w:t>（</w:t>
            </w:r>
            <w:r>
              <w:rPr>
                <w:sz w:val="21"/>
              </w:rPr>
              <w:t>2）最终验收：合同签订后12个月内，中标供应商提交全部材料并发起最终验收申请，</w:t>
            </w:r>
            <w:r>
              <w:rPr>
                <w:sz w:val="21"/>
              </w:rPr>
              <w:t>由采购人</w:t>
            </w:r>
            <w:r>
              <w:rPr>
                <w:sz w:val="21"/>
              </w:rPr>
              <w:t>在收到供应商验收申请后</w:t>
            </w:r>
            <w:r>
              <w:rPr>
                <w:sz w:val="21"/>
              </w:rPr>
              <w:t>7日内</w:t>
            </w:r>
            <w:r>
              <w:rPr>
                <w:sz w:val="21"/>
              </w:rPr>
              <w:t>组织开展项目最终验收。</w:t>
            </w:r>
          </w:p>
        </w:tc>
      </w:tr>
      <w:tr>
        <w:tc>
          <w:tcPr>
            <w:tcW w:type="dxa" w:w="2076"/>
          </w:tcPr>
          <w:p/>
        </w:tc>
        <w:tc>
          <w:tcPr>
            <w:tcW w:type="dxa" w:w="415"/>
          </w:tcPr>
          <w:p>
            <w:pPr>
              <w:pStyle w:val="null3"/>
            </w:pPr>
            <w:r>
              <w:rPr/>
              <w:t>17</w:t>
            </w:r>
          </w:p>
        </w:tc>
        <w:tc>
          <w:tcPr>
            <w:tcW w:type="dxa" w:w="5814"/>
          </w:tcPr>
          <w:p>
            <w:pPr>
              <w:pStyle w:val="null3"/>
            </w:pPr>
            <w:r>
              <w:rPr>
                <w:sz w:val="21"/>
              </w:rPr>
              <w:t>五</w:t>
            </w:r>
            <w:r>
              <w:rPr>
                <w:sz w:val="21"/>
              </w:rPr>
              <w:t>、</w:t>
            </w:r>
            <w:r>
              <w:rPr>
                <w:sz w:val="21"/>
              </w:rPr>
              <w:t>人员与团队要求</w:t>
            </w:r>
            <w:r>
              <w:br/>
            </w:r>
            <w:r>
              <w:rPr>
                <w:sz w:val="21"/>
              </w:rPr>
              <w:t>（</w:t>
            </w:r>
            <w:r>
              <w:rPr>
                <w:sz w:val="21"/>
              </w:rPr>
              <w:t>一）</w:t>
            </w:r>
            <w:r>
              <w:rPr>
                <w:sz w:val="21"/>
              </w:rPr>
              <w:t>项目负责人</w:t>
            </w:r>
            <w:r>
              <w:br/>
            </w:r>
            <w:r>
              <w:rPr/>
              <w:t xml:space="preserve">     </w:t>
            </w:r>
            <w:r>
              <w:rPr>
                <w:sz w:val="21"/>
              </w:rPr>
              <w:t>投标人须为本次项目指定一名专职项目负责人，该负责人应具备教育或心理学专业背景，拥有高级及以上职称，主要负责项目全流程的沟通协调工作，统筹推进项目各环节有序开展、高效落地，保障项目整体进度与质量。</w:t>
            </w:r>
            <w:r>
              <w:br/>
            </w:r>
            <w:r>
              <w:rPr>
                <w:sz w:val="21"/>
              </w:rPr>
              <w:t>（</w:t>
            </w:r>
            <w:r>
              <w:rPr>
                <w:sz w:val="21"/>
              </w:rPr>
              <w:t>二）</w:t>
            </w:r>
            <w:r>
              <w:rPr>
                <w:sz w:val="21"/>
              </w:rPr>
              <w:t>测试卷团队</w:t>
            </w:r>
            <w:r>
              <w:br/>
            </w:r>
            <w:r>
              <w:rPr/>
              <w:t xml:space="preserve">     </w:t>
            </w:r>
            <w:r>
              <w:rPr>
                <w:sz w:val="21"/>
              </w:rPr>
              <w:t>须全面覆盖语文、数学等九大学科领域。九大学科各设专项命题团队，每个学科命题团队成员数量不得少于</w:t>
            </w:r>
            <w:r>
              <w:rPr>
                <w:sz w:val="21"/>
              </w:rPr>
              <w:t>5人；每个学科专项命题团队至少配备1名科组负责人，该负责人须具备高级及以上职称，主要负责统筹本学科测试卷的命题、审核、修订等全流程工作，确保测试卷质量贴合项目监测需求。</w:t>
            </w:r>
            <w:r>
              <w:br/>
            </w:r>
            <w:r>
              <w:rPr>
                <w:sz w:val="21"/>
              </w:rPr>
              <w:t>（</w:t>
            </w:r>
            <w:r>
              <w:rPr>
                <w:sz w:val="21"/>
              </w:rPr>
              <w:t>三）</w:t>
            </w:r>
            <w:r>
              <w:rPr>
                <w:sz w:val="21"/>
              </w:rPr>
              <w:t>问卷命制团队</w:t>
            </w:r>
            <w:r>
              <w:br/>
            </w:r>
            <w:r>
              <w:rPr/>
              <w:t xml:space="preserve">     </w:t>
            </w:r>
            <w:r>
              <w:rPr>
                <w:sz w:val="21"/>
              </w:rPr>
              <w:t>总人数不得少于</w:t>
            </w:r>
            <w:r>
              <w:rPr>
                <w:sz w:val="21"/>
              </w:rPr>
              <w:t>3人，团队内部须至少配备1名负责人。该负责人须同时满足以下两项条件：一是具备教育或心理学专业背景；二是拥有高级及以上职称，主要负责统筹问卷的设计、审核、优化及修订等相关工作，确保问卷的科学性、针对性与适配性。</w:t>
            </w:r>
            <w:r>
              <w:br/>
            </w:r>
            <w:r>
              <w:rPr>
                <w:sz w:val="21"/>
              </w:rPr>
              <w:t>（</w:t>
            </w:r>
            <w:r>
              <w:rPr>
                <w:sz w:val="21"/>
              </w:rPr>
              <w:t>四）</w:t>
            </w:r>
            <w:r>
              <w:rPr>
                <w:sz w:val="21"/>
              </w:rPr>
              <w:t>入校指导团队</w:t>
            </w:r>
            <w:r>
              <w:br/>
            </w:r>
            <w:r>
              <w:rPr/>
              <w:t xml:space="preserve">     </w:t>
            </w:r>
            <w:r>
              <w:rPr>
                <w:sz w:val="21"/>
              </w:rPr>
              <w:t>专家团队组建与配置：组建课程专家与九大学科专家共同构成的专业指导团队。课程专家负责项目整体统筹、跨学科协调与质量监控；学科专家须具备高校学科教学研究、高考命题研究、省市统考阅卷或一线名师等资质，每学科配备</w:t>
            </w:r>
            <w:r>
              <w:rPr>
                <w:sz w:val="21"/>
              </w:rPr>
              <w:t>1</w:t>
            </w:r>
            <w:r>
              <w:rPr>
                <w:sz w:val="21"/>
              </w:rPr>
              <w:t>—</w:t>
            </w:r>
            <w:r>
              <w:rPr>
                <w:sz w:val="21"/>
              </w:rPr>
              <w:t>2人，确保指导的专业性与针对性。</w:t>
            </w:r>
          </w:p>
        </w:tc>
      </w:tr>
      <w:tr>
        <w:tc>
          <w:tcPr>
            <w:tcW w:type="dxa" w:w="2076"/>
          </w:tcPr>
          <w:p/>
        </w:tc>
        <w:tc>
          <w:tcPr>
            <w:tcW w:type="dxa" w:w="415"/>
          </w:tcPr>
          <w:p>
            <w:pPr>
              <w:pStyle w:val="null3"/>
            </w:pPr>
            <w:r>
              <w:rPr/>
              <w:t>18</w:t>
            </w:r>
          </w:p>
        </w:tc>
        <w:tc>
          <w:tcPr>
            <w:tcW w:type="dxa" w:w="5814"/>
          </w:tcPr>
          <w:p>
            <w:pPr>
              <w:pStyle w:val="null3"/>
            </w:pPr>
            <w:r>
              <w:rPr>
                <w:sz w:val="21"/>
              </w:rPr>
              <w:t>六</w:t>
            </w:r>
            <w:r>
              <w:rPr>
                <w:sz w:val="21"/>
              </w:rPr>
              <w:t>、安全与保密</w:t>
            </w:r>
            <w:r>
              <w:br/>
            </w:r>
            <w:r>
              <w:rPr>
                <w:sz w:val="21"/>
              </w:rPr>
              <w:t>（</w:t>
            </w:r>
            <w:r>
              <w:rPr>
                <w:sz w:val="21"/>
              </w:rPr>
              <w:t>一）</w:t>
            </w:r>
            <w:r>
              <w:rPr>
                <w:sz w:val="21"/>
              </w:rPr>
              <w:t>须严格遵守《中华人民共和国个人信息保护法》《中华人民共和国数据安全法》《教育部机关及直属事业单位教育数据管理办法》等相关法律法规，在数据采集、存储、分析、传输、使用全过程落实数据安全与个人信息保护要求，确保所有监测数据处理活动合法合规。</w:t>
            </w:r>
            <w:r>
              <w:br/>
            </w:r>
            <w:r>
              <w:rPr>
                <w:sz w:val="21"/>
              </w:rPr>
              <w:t>（</w:t>
            </w:r>
            <w:r>
              <w:rPr>
                <w:sz w:val="21"/>
              </w:rPr>
              <w:t>二）</w:t>
            </w:r>
            <w:r>
              <w:rPr>
                <w:sz w:val="21"/>
              </w:rPr>
              <w:t>与教育集团签订数据安全保密协议，承担全程保密责任；项目结束并完成成果交付后，所有原始数据、过程资料及备份数据须在采购方监督下统一销毁，不得留存、外传或挪作他用。</w:t>
            </w:r>
            <w:r>
              <w:br/>
            </w:r>
            <w:r>
              <w:rPr>
                <w:sz w:val="21"/>
              </w:rPr>
              <w:t>（</w:t>
            </w:r>
            <w:r>
              <w:rPr>
                <w:sz w:val="21"/>
              </w:rPr>
              <w:t>三）</w:t>
            </w:r>
            <w:r>
              <w:rPr>
                <w:sz w:val="21"/>
              </w:rPr>
              <w:t>参与监测工具研发的相关人员须严格遵守保密规定，并签订《项目保密承诺书》。阅卷过程实行全程保密管理，阅卷人员须签订保密承诺书，严禁泄露试题、答题内容、阅卷分数等相关信息；阅卷平台须具备完善的权限管理、操作留痕功能，确保阅卷过程可追溯、可监管。</w:t>
            </w:r>
          </w:p>
        </w:tc>
      </w:tr>
      <w:tr>
        <w:tc>
          <w:tcPr>
            <w:tcW w:type="dxa" w:w="2076"/>
          </w:tcPr>
          <w:p/>
        </w:tc>
        <w:tc>
          <w:tcPr>
            <w:tcW w:type="dxa" w:w="415"/>
          </w:tcPr>
          <w:p>
            <w:pPr>
              <w:pStyle w:val="null3"/>
            </w:pPr>
            <w:r>
              <w:rPr/>
              <w:t>19</w:t>
            </w:r>
          </w:p>
        </w:tc>
        <w:tc>
          <w:tcPr>
            <w:tcW w:type="dxa" w:w="5814"/>
          </w:tcPr>
          <w:p>
            <w:pPr>
              <w:pStyle w:val="null3"/>
            </w:pPr>
            <w:r>
              <w:rPr>
                <w:sz w:val="21"/>
              </w:rPr>
              <w:t>七</w:t>
            </w:r>
            <w:r>
              <w:rPr>
                <w:sz w:val="21"/>
              </w:rPr>
              <w:t>、违约责任与风险防控</w:t>
            </w:r>
            <w:r>
              <w:br/>
            </w:r>
            <w:r>
              <w:rPr>
                <w:sz w:val="21"/>
              </w:rPr>
              <w:t>（</w:t>
            </w:r>
            <w:r>
              <w:rPr>
                <w:sz w:val="21"/>
              </w:rPr>
              <w:t>一）</w:t>
            </w:r>
            <w:r>
              <w:rPr>
                <w:sz w:val="21"/>
              </w:rPr>
              <w:t>应急处置机制：建立高效的应急处置机制与完备的应急服务预案，快速有效处置监测过程中可能出现的突发事件和紧急情况。同时，坚持多方联动，统筹开展监测的动员、组织、培训、实施等工作，确保全过程安全严密、规范有序。</w:t>
            </w:r>
            <w:r>
              <w:br/>
            </w:r>
            <w:r>
              <w:rPr>
                <w:sz w:val="21"/>
              </w:rPr>
              <w:t>（</w:t>
            </w:r>
            <w:r>
              <w:rPr>
                <w:sz w:val="21"/>
              </w:rPr>
              <w:t>二）</w:t>
            </w:r>
            <w:r>
              <w:rPr>
                <w:sz w:val="21"/>
              </w:rPr>
              <w:t>异常状况处置：成立专项巡考小组，对监测各环节开展全程监督检查，针对考务异常、试卷异常、设备故障等异常状况，制定健全的反馈与处置机制。</w:t>
            </w:r>
            <w:r>
              <w:br/>
            </w:r>
            <w:r>
              <w:rPr>
                <w:sz w:val="21"/>
              </w:rPr>
              <w:t>（</w:t>
            </w:r>
            <w:r>
              <w:rPr>
                <w:sz w:val="21"/>
              </w:rPr>
              <w:t>三）</w:t>
            </w:r>
            <w:r>
              <w:rPr>
                <w:sz w:val="21"/>
              </w:rPr>
              <w:t>保密违约：参与研发及阅卷人员须签订保密承诺书，如有泄露行为须承担相应责任（具体违约责任按合同约定）。</w:t>
            </w:r>
            <w:r>
              <w:br/>
            </w:r>
            <w:r>
              <w:rPr>
                <w:sz w:val="21"/>
              </w:rPr>
              <w:t>（</w:t>
            </w:r>
            <w:r>
              <w:rPr>
                <w:sz w:val="21"/>
              </w:rPr>
              <w:t>四）</w:t>
            </w:r>
            <w:r>
              <w:rPr>
                <w:sz w:val="21"/>
              </w:rPr>
              <w:t>质量违约：若交付的数据准确率低于</w:t>
            </w:r>
            <w:r>
              <w:rPr>
                <w:sz w:val="21"/>
              </w:rPr>
              <w:t>98%，或监测报告存在重大错漏、逻辑缺陷等质量问题，供应商须在3个工作日内无偿完成整改，服务周期内累计无偿整改不超过3次。</w:t>
            </w:r>
            <w:r>
              <w:br/>
            </w:r>
            <w:r>
              <w:rPr>
                <w:sz w:val="21"/>
              </w:rPr>
              <w:t>（</w:t>
            </w:r>
            <w:r>
              <w:rPr>
                <w:sz w:val="21"/>
              </w:rPr>
              <w:t>五）</w:t>
            </w:r>
            <w:r>
              <w:rPr>
                <w:sz w:val="21"/>
              </w:rPr>
              <w:t>交付逾期：</w:t>
            </w:r>
            <w:r>
              <w:br/>
            </w:r>
            <w:r>
              <w:rPr>
                <w:sz w:val="21"/>
              </w:rPr>
              <w:t>（</w:t>
            </w:r>
            <w:r>
              <w:rPr>
                <w:sz w:val="21"/>
              </w:rPr>
              <w:t>1）若供应商未按合同约定时间节点交付成果，每逾期一日，采购人有权扣除合同总金额的千分之五作为违约金；</w:t>
            </w:r>
            <w:r>
              <w:br/>
            </w:r>
            <w:r>
              <w:rPr>
                <w:sz w:val="21"/>
              </w:rPr>
              <w:t>（</w:t>
            </w:r>
            <w:r>
              <w:rPr>
                <w:sz w:val="21"/>
              </w:rPr>
              <w:t>2）如逾期超过15日仍未交付，或整改后仍无法达到合同约定的验收标准，采购人有权单方解除合同，不予支付剩余款项，并要求供应商承担由此造成的直接经济损失。</w:t>
            </w:r>
          </w:p>
        </w:tc>
      </w:tr>
      <w:tr>
        <w:tc>
          <w:tcPr>
            <w:tcW w:type="dxa" w:w="2076"/>
          </w:tcPr>
          <w:p/>
        </w:tc>
        <w:tc>
          <w:tcPr>
            <w:tcW w:type="dxa" w:w="415"/>
          </w:tcPr>
          <w:p>
            <w:pPr>
              <w:pStyle w:val="null3"/>
            </w:pPr>
            <w:r>
              <w:rPr/>
              <w:t>20</w:t>
            </w:r>
          </w:p>
        </w:tc>
        <w:tc>
          <w:tcPr>
            <w:tcW w:type="dxa" w:w="5814"/>
          </w:tcPr>
          <w:p>
            <w:pPr>
              <w:pStyle w:val="null3"/>
            </w:pPr>
            <w:r>
              <w:rPr>
                <w:sz w:val="21"/>
              </w:rPr>
              <w:t>八、</w:t>
            </w:r>
            <w:r>
              <w:rPr>
                <w:sz w:val="21"/>
              </w:rPr>
              <w:t>知识产权与成果归属</w:t>
            </w:r>
            <w:r>
              <w:br/>
            </w:r>
            <w:r>
              <w:rPr/>
              <w:t xml:space="preserve">     </w:t>
            </w:r>
            <w:r>
              <w:rPr>
                <w:sz w:val="21"/>
              </w:rPr>
              <w:t>项目实施过程中产生的所有成果（包括但不限于测试卷、分析报告、数据资源包、监测方案、教学建议及相关资料），其知识产权均归采购人所有。</w:t>
            </w:r>
            <w:r>
              <w:br/>
            </w:r>
            <w:r>
              <w:rPr/>
              <w:t xml:space="preserve">     </w:t>
            </w:r>
            <w:r>
              <w:rPr>
                <w:sz w:val="21"/>
              </w:rPr>
              <w:t>供应商不得擅自留存、使用、泄露或向第三方转让任何项目相关成果及资料。</w:t>
            </w:r>
          </w:p>
        </w:tc>
      </w:tr>
      <w:tr>
        <w:tc>
          <w:tcPr>
            <w:tcW w:type="dxa" w:w="2076"/>
          </w:tcPr>
          <w:p/>
        </w:tc>
        <w:tc>
          <w:tcPr>
            <w:tcW w:type="dxa" w:w="415"/>
          </w:tcPr>
          <w:p>
            <w:pPr>
              <w:pStyle w:val="null3"/>
            </w:pPr>
            <w:r>
              <w:rPr/>
              <w:t>21</w:t>
            </w:r>
          </w:p>
        </w:tc>
        <w:tc>
          <w:tcPr>
            <w:tcW w:type="dxa" w:w="5814"/>
          </w:tcPr>
          <w:p>
            <w:pPr>
              <w:pStyle w:val="null3"/>
            </w:pPr>
            <w:r>
              <w:rPr>
                <w:sz w:val="21"/>
              </w:rPr>
              <w:t>九</w:t>
            </w:r>
            <w:r>
              <w:rPr>
                <w:sz w:val="21"/>
              </w:rPr>
              <w:t>、后续服务</w:t>
            </w:r>
            <w:r>
              <w:br/>
            </w:r>
            <w:r>
              <w:rPr>
                <w:sz w:val="21"/>
              </w:rPr>
              <w:t>（</w:t>
            </w:r>
            <w:r>
              <w:rPr>
                <w:sz w:val="21"/>
              </w:rPr>
              <w:t>一）</w:t>
            </w:r>
            <w:r>
              <w:rPr>
                <w:sz w:val="21"/>
              </w:rPr>
              <w:t>数据接口协助：项目资料经双方验收通过后原则上不再修改，如后续确需协助，供应商应予以支持，相关费用包含在总投标价内。</w:t>
            </w:r>
            <w:r>
              <w:br/>
            </w:r>
            <w:r>
              <w:rPr>
                <w:sz w:val="21"/>
              </w:rPr>
              <w:t>（</w:t>
            </w:r>
            <w:r>
              <w:rPr>
                <w:sz w:val="21"/>
              </w:rPr>
              <w:t>二）</w:t>
            </w:r>
            <w:r>
              <w:rPr>
                <w:sz w:val="21"/>
              </w:rPr>
              <w:t>资料修改协商：项目资料经双方验收通过后原则上不再修改，如后续确需协助，供应商应予以支持。</w:t>
            </w:r>
            <w:r>
              <w:br/>
            </w:r>
            <w:r>
              <w:rPr>
                <w:sz w:val="21"/>
              </w:rPr>
              <w:t>（</w:t>
            </w:r>
            <w:r>
              <w:rPr>
                <w:sz w:val="21"/>
              </w:rPr>
              <w:t>三）</w:t>
            </w:r>
            <w:r>
              <w:rPr>
                <w:sz w:val="21"/>
              </w:rPr>
              <w:t>提供必要的其他售后服务。</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华南师范大学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采购机构代理服务收费标准：按委托协议相关约定执行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广东广招国际招标有限公司</w:t>
      </w:r>
      <w:r>
        <w:rPr/>
        <w:t>代收。具体操作要求详见</w:t>
      </w:r>
      <w:r>
        <w:rPr/>
        <w:t>广东广招国际招标有限公司</w:t>
      </w:r>
      <w:r>
        <w:rPr/>
        <w:t>有关指引，递交事宜请自行咨询</w:t>
      </w:r>
      <w:r>
        <w:rPr/>
        <w:t>广东广招国际招标有限公司</w:t>
      </w:r>
      <w:r>
        <w:rPr/>
        <w:t>；请各投标人在投标文件递交截止时间前按须知前附表规定的金额递交至</w:t>
      </w:r>
      <w:r>
        <w:rPr/>
        <w:t>广东广招国际招标有限公司</w:t>
      </w:r>
      <w:r>
        <w:rPr/>
        <w:t>，到账情况以开标时</w:t>
      </w:r>
      <w:r>
        <w:rPr/>
        <w:t>广东广招国际招标有限公司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020-38931902-821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广州市越秀区东风东路745号东山紫园商务大厦2003室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华南师范大学教育集团2026年普通高中教育质量监测与提升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采购包1（华南师范大学教育集团2026年普通高中教育质量监测与提升服务）：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采购包1（华南师范大学教育集团2026年普通高中教育质量监测与提升服务）：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 （以资格审查人员于投标（响应）截止时间当天在“信用中国”网站（www.creditchina.gov.cn）及中国政府采购网（http://www.ccgp.gov.cn/）查询结果为准，如相关失信记录已失效，供应商需提供相关证明资料。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其他资格要求</w:t>
            </w:r>
          </w:p>
        </w:tc>
        <w:tc>
          <w:tcPr>
            <w:tcW w:type="dxa" w:w="4238"/>
          </w:tcPr>
          <w:p>
            <w:pPr>
              <w:pStyle w:val="null3"/>
            </w:pPr>
            <w:r>
              <w:rPr/>
              <w:t>根据《关于在政府采购活动中对有关美国企业采取相关措施的通知》（财库〔2026〕10号），本项目不接受该通知附件所列46家美国企业生产的产品参与投标，投标人须自行核查拟投产品来源，确保不涉及上述企业及其产品（提供承诺函，格式自拟）。</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tc>
      </w:tr>
    </w:tbl>
    <w:p>
      <w:pPr>
        <w:pStyle w:val="null3"/>
        <w:ind w:firstLine="480"/>
      </w:pPr>
      <w:r>
        <w:rPr/>
        <w:t>表二符合性审查表：</w:t>
      </w:r>
    </w:p>
    <w:p>
      <w:pPr>
        <w:pStyle w:val="null3"/>
      </w:pPr>
      <w:r>
        <w:rPr/>
        <w:t>采购包1（华南师范大学教育集团2026年普通高中教育质量监测与提升服务）：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采购包1(华南师范大学教育集团2026年普通高中教育质量监测与提升服务):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技术条款响应程度 (20.0分)</w:t>
            </w:r>
          </w:p>
        </w:tc>
        <w:tc>
          <w:tcPr>
            <w:tcW w:type="dxa" w:w="5076"/>
          </w:tcPr>
          <w:p>
            <w:pPr>
              <w:pStyle w:val="null3"/>
              <w:jc w:val="left"/>
            </w:pPr>
            <w:r>
              <w:rPr/>
              <w:t>根据投标人对《第二章 采购需求》中“技术标准与要求”的附表中“具体技术（参数）要求”的响应情况进行评审，（注：“具体技术（参数）要求”附表中标有序号且为最末级编号的技术参数要求均以一项单独的条款计算，得分保留小数点后两位数，小数点后第三位四舍五入）：除带“★”“▲”技术条款及附表中“具体技术（参数）要求”的“五、人员与团队要求”外一般技术参数（共20条），每具有一条完全满足或优于采购需求的得1分，本项最多得20分。注：1.采购需求中有要求提供证明材料的，以采购需求中的要求提供；采购需求没有要求的，以《技术和服务要求响应表》为准。本项最高得20分。 2.投标文件内提供的证明材料中的技术参数描述与投标人在《技术和服务要求响应表》中的响应描述不一致时，以投标文件内提供的证明材料中的技术参数描述为准。 3.得分保留小数点后两位数，小数点后第三位四舍五入。</w:t>
            </w:r>
          </w:p>
        </w:tc>
      </w:tr>
      <w:tr>
        <w:tc>
          <w:tcPr>
            <w:tcW w:type="dxa" w:w="922"/>
            <w:gridSpan w:val="2"/>
            <w:vMerge/>
          </w:tcPr>
          <w:p/>
        </w:tc>
        <w:tc>
          <w:tcPr>
            <w:tcW w:type="dxa" w:w="2307"/>
          </w:tcPr>
          <w:p>
            <w:pPr>
              <w:pStyle w:val="null3"/>
              <w:jc w:val="left"/>
            </w:pPr>
            <w:r>
              <w:rPr/>
              <w:t>项目实施方案 (13.0分)</w:t>
            </w:r>
          </w:p>
        </w:tc>
        <w:tc>
          <w:tcPr>
            <w:tcW w:type="dxa" w:w="5076"/>
          </w:tcPr>
          <w:p>
            <w:pPr>
              <w:pStyle w:val="null3"/>
              <w:jc w:val="left"/>
            </w:pPr>
            <w:r>
              <w:rPr/>
              <w:t>根据投标人的项目实施方案（包括但不限于①教育集团需求调研方案②教育集团教育质量监测实施方案③应急处置机制④阅卷平台⑤提升服务方案）进行评审： 1.能提供针对本项目的项目实施方案的（须涵盖以上要求内容），得3分；如未能提供项目实施方案的，以下评分项均不得分。 1.1项目实施方案完全满足或优于采购需求的，得10分； 1.2项目实施方案部分满足采购需求的，得6分； 1.3项目实施方案不满足采购需求的，得2分； 1.4无提供方案的，得0分。</w:t>
            </w:r>
          </w:p>
        </w:tc>
      </w:tr>
      <w:tr>
        <w:tc>
          <w:tcPr>
            <w:tcW w:type="dxa" w:w="922"/>
            <w:gridSpan w:val="2"/>
            <w:vMerge/>
          </w:tcPr>
          <w:p/>
        </w:tc>
        <w:tc>
          <w:tcPr>
            <w:tcW w:type="dxa" w:w="2307"/>
          </w:tcPr>
          <w:p>
            <w:pPr>
              <w:pStyle w:val="null3"/>
              <w:jc w:val="left"/>
            </w:pPr>
            <w:r>
              <w:rPr/>
              <w:t>服务质量保证措施 (8.0分)</w:t>
            </w:r>
          </w:p>
        </w:tc>
        <w:tc>
          <w:tcPr>
            <w:tcW w:type="dxa" w:w="5076"/>
          </w:tcPr>
          <w:p>
            <w:pPr>
              <w:pStyle w:val="null3"/>
              <w:jc w:val="left"/>
            </w:pPr>
            <w:r>
              <w:rPr/>
              <w:t>根据投标人提供的质量保障措施（包括但不限于：①质量保障方案②机制保障等）进行评审： 1.能提供针对本项目的质量保障措施的（须涵盖以上要求内容），得2分；如未能提供质量保障措施的，以下评分项均不得分。 1.1方案完全满足或优于采购需求，得6分； 1.2方案部分满足采购需求，得3分； 1.3方案不满足采购需求，得1分； 1.4无提供方案的，得0分。</w:t>
            </w:r>
          </w:p>
        </w:tc>
      </w:tr>
      <w:tr>
        <w:tc>
          <w:tcPr>
            <w:tcW w:type="dxa" w:w="922"/>
            <w:gridSpan w:val="2"/>
            <w:vMerge/>
          </w:tcPr>
          <w:p/>
        </w:tc>
        <w:tc>
          <w:tcPr>
            <w:tcW w:type="dxa" w:w="2307"/>
          </w:tcPr>
          <w:p>
            <w:pPr>
              <w:pStyle w:val="null3"/>
              <w:jc w:val="left"/>
            </w:pPr>
            <w:r>
              <w:rPr/>
              <w:t>数据采集、分析和平台接入服务 (8.0分)</w:t>
            </w:r>
          </w:p>
        </w:tc>
        <w:tc>
          <w:tcPr>
            <w:tcW w:type="dxa" w:w="5076"/>
          </w:tcPr>
          <w:p>
            <w:pPr>
              <w:pStyle w:val="null3"/>
              <w:jc w:val="left"/>
            </w:pPr>
            <w:r>
              <w:rPr/>
              <w:t>根据投标人提供的数据采集、分析和平台接入服务方案（包括但不限于①数据采集②数据分析③数据接入等）进行评审： 1.能提供针对本项目的数据采集、分析和平台接入服务方案（须涵盖以上要求内容），得2分；如未能提供数据采集、分析和平台接入服务的，以下评分项均不得分。 1.1方案完全满足或优于采购需求，得6分； 1.2方案部分满足采购需求，得3分； 1.3方案不满足采购需求，得1分； 1.4无提供方案的，得0分。</w:t>
            </w:r>
          </w:p>
        </w:tc>
      </w:tr>
      <w:tr>
        <w:tc>
          <w:tcPr>
            <w:tcW w:type="dxa" w:w="922"/>
            <w:gridSpan w:val="2"/>
            <w:vMerge/>
          </w:tcPr>
          <w:p/>
        </w:tc>
        <w:tc>
          <w:tcPr>
            <w:tcW w:type="dxa" w:w="2307"/>
          </w:tcPr>
          <w:p>
            <w:pPr>
              <w:pStyle w:val="null3"/>
              <w:jc w:val="left"/>
            </w:pPr>
            <w:r>
              <w:rPr/>
              <w:t>测试卷包装运输方案 (8.0分)</w:t>
            </w:r>
          </w:p>
        </w:tc>
        <w:tc>
          <w:tcPr>
            <w:tcW w:type="dxa" w:w="5076"/>
          </w:tcPr>
          <w:p>
            <w:pPr>
              <w:pStyle w:val="null3"/>
              <w:jc w:val="left"/>
            </w:pPr>
            <w:r>
              <w:rPr/>
              <w:t>根据投标人提供的测试卷包装运输方案（包括但不限于：①包装运输方案②保密制度等）进行评审： 1.能提供针对本项目的包装运输方案（须涵盖以上要求内容），得2分；如未能提供测试卷包装运输方案的，以下评分项均不得分。 1.1方案完全满足或优于采购需求，得6分； 1.2方案部分满足采购需求，得3分； 1.3方案不满足采购需求，得1分； 1.4无提供方案的，得0分。</w:t>
            </w:r>
          </w:p>
        </w:tc>
      </w:tr>
      <w:tr>
        <w:tc>
          <w:tcPr>
            <w:tcW w:type="dxa" w:w="922"/>
            <w:gridSpan w:val="2"/>
            <w:vMerge/>
          </w:tcPr>
          <w:p/>
        </w:tc>
        <w:tc>
          <w:tcPr>
            <w:tcW w:type="dxa" w:w="2307"/>
          </w:tcPr>
          <w:p>
            <w:pPr>
              <w:pStyle w:val="null3"/>
              <w:jc w:val="left"/>
            </w:pPr>
            <w:r>
              <w:rPr/>
              <w:t>技术承诺 (3.0分)</w:t>
            </w:r>
          </w:p>
        </w:tc>
        <w:tc>
          <w:tcPr>
            <w:tcW w:type="dxa" w:w="5076"/>
          </w:tcPr>
          <w:p>
            <w:pPr>
              <w:pStyle w:val="null3"/>
              <w:jc w:val="left"/>
            </w:pPr>
            <w:r>
              <w:rPr/>
              <w:t>投标人须分别出具以下承诺函： 阅卷平台服务承诺函，承诺提供符合本项目所有需求的阅卷平台。 注：若承诺函内容完整可行且无附加条件，本小项最高得3分；若承诺内容表述不清晰、覆盖不全面或无法落地落实，则不得分。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(8.0分)</w:t>
            </w:r>
          </w:p>
        </w:tc>
        <w:tc>
          <w:tcPr>
            <w:tcW w:type="dxa" w:w="5076"/>
          </w:tcPr>
          <w:p>
            <w:pPr>
              <w:pStyle w:val="null3"/>
              <w:jc w:val="left"/>
            </w:pPr>
            <w:r>
              <w:rPr/>
              <w:t>投标人2024年1月1日至今同类项目（考试服务、师生培训、教育质量提升等包含任意一项本项目服务内容）的合同，每提供一个项目得2分，满分8分。注：以合同签订时间为准，须提供合同关键页（包括但不限于合同双方的单位名称、合同项目名称、项目内容与含签订合同双方的落款盖章、签订日期的关键页、合同期内发票作为证明材料）复印件，不提供不得分。</w:t>
            </w:r>
          </w:p>
        </w:tc>
      </w:tr>
      <w:tr>
        <w:tc>
          <w:tcPr>
            <w:tcW w:type="dxa" w:w="922"/>
            <w:gridSpan w:val="2"/>
            <w:vMerge/>
          </w:tcPr>
          <w:p/>
        </w:tc>
        <w:tc>
          <w:tcPr>
            <w:tcW w:type="dxa" w:w="2307"/>
          </w:tcPr>
          <w:p>
            <w:pPr>
              <w:pStyle w:val="null3"/>
              <w:jc w:val="left"/>
            </w:pPr>
            <w:r>
              <w:rPr/>
              <w:t>项目团队 (17.0分)</w:t>
            </w:r>
          </w:p>
        </w:tc>
        <w:tc>
          <w:tcPr>
            <w:tcW w:type="dxa" w:w="5076"/>
          </w:tcPr>
          <w:p>
            <w:pPr>
              <w:pStyle w:val="null3"/>
              <w:jc w:val="left"/>
            </w:pPr>
            <w:r>
              <w:rPr/>
              <w:t>1.项目负责人：具备教育或心理学相关专业高级及以上职称，满足得2分；提供质量监测相关业绩证明，每项1分，最高得4分。 2.测试卷团队科组负责人（项目负责人除外）：九大学科至少配备1名科组负责人，且对应负责人需具备对应学科专业高级及以上职称。每提供一名满足要求的科组负责人得1分，最高得9分。 3.问卷团队负责人具有教育学、心理学专业高级及以上职称，得2分。 注：本项最高得17分。以上人员互相不可兼任。提供人员职称证明和聘用证明（或劳务合同）证明材料，未提供或未按要求提供不得分。项目负责人业绩：提供加盖客户单位公章的业绩证明材料。</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根据投标人提供的售后服务方案（包括但不限于①售后服务方案②服务时间③售后跟踪④技术支持等）进行评审： 1.能提供针对本项目的售后服务方案的（须涵盖以上要求内容），得2分；如未能提供售后服务方案的，以下评分项均不得分。 1.1售后服务方案完全满足或优于采购需求，得3分； 1.2售后服务方案部分满足采购需求，得2分； 1.3售后服务方案不满足采购需求，得1分； 1.4无提供方案的，得0分。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广东省政府采购</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48"/>
          <w:b/>
          <w:color w:val="222222"/>
        </w:rPr>
        <w:t>合　同　书</w:t>
      </w:r>
    </w:p>
    <w:p>
      <w:pPr>
        <w:pStyle w:val="null3"/>
        <w:shd w:fill="FFFFFF"/>
        <w:spacing w:before="0" w:after="0"/>
        <w:ind w:left="0" w:right="0"/>
        <w:jc w:val="center"/>
      </w:pPr>
      <w:r>
        <w:br/>
      </w:r>
      <w:r>
        <w:br/>
      </w:r>
      <w:r>
        <w:br/>
      </w: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jc w:val="both"/>
      </w:pPr>
      <w:r>
        <w:br/>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color w:val="222222"/>
        </w:rPr>
        <w:t xml:space="preserve"> </w:t>
      </w:r>
      <w:r>
        <w:rPr>
          <w:rFonts w:ascii="宋体" w:hAnsi="宋体" w:cs="宋体" w:eastAsia="宋体"/>
          <w:sz w:val="27"/>
          <w:color w:val="222222"/>
        </w:rPr>
        <w:t>：</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b/>
          <w:color w:val="222222"/>
        </w:rPr>
        <w:t>乙方：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color w:val="222222"/>
        </w:rPr>
        <w:t xml:space="preserve"> </w:t>
      </w:r>
      <w:r>
        <w:rPr>
          <w:rFonts w:ascii="宋体" w:hAnsi="宋体" w:cs="宋体" w:eastAsia="宋体"/>
          <w:sz w:val="27"/>
          <w:color w:val="222222"/>
        </w:rPr>
        <w:t xml:space="preserve"> </w:t>
      </w:r>
      <w:r>
        <w:rPr>
          <w:rFonts w:ascii="宋体" w:hAnsi="宋体" w:cs="宋体" w:eastAsia="宋体"/>
          <w:sz w:val="27"/>
          <w:color w:val="222222"/>
        </w:rPr>
        <w:t>根据</w:t>
      </w:r>
      <w:r>
        <w:rPr>
          <w:rFonts w:ascii="宋体" w:hAnsi="宋体" w:cs="宋体" w:eastAsia="宋体"/>
          <w:sz w:val="27"/>
          <w:color w:val="222222"/>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项目</w:t>
      </w:r>
      <w:r>
        <w:rPr>
          <w:rFonts w:ascii="宋体" w:hAnsi="宋体" w:cs="宋体" w:eastAsia="宋体"/>
          <w:sz w:val="27"/>
          <w:color w:val="222222"/>
          <w:u w:val="single"/>
        </w:rPr>
        <w:t xml:space="preserve"> </w:t>
      </w:r>
      <w:r>
        <w:rPr>
          <w:rFonts w:ascii="宋体" w:hAnsi="宋体" w:cs="宋体" w:eastAsia="宋体"/>
          <w:sz w:val="27"/>
          <w:color w:val="222222"/>
        </w:rPr>
        <w:t>的采购结果，按照《中华人民共和国政府采购法》，《</w:t>
      </w:r>
      <w:r>
        <w:rPr>
          <w:rFonts w:ascii="宋体" w:hAnsi="宋体" w:cs="宋体" w:eastAsia="宋体"/>
          <w:sz w:val="27"/>
          <w:color w:val="222222"/>
        </w:rPr>
        <w:t>中华人民共和国民法典(合同编)</w:t>
      </w:r>
      <w:r>
        <w:rPr>
          <w:rFonts w:ascii="宋体" w:hAnsi="宋体" w:cs="宋体" w:eastAsia="宋体"/>
          <w:sz w:val="27"/>
          <w:color w:val="222222"/>
        </w:rPr>
        <w:t>》的规定，经双方协商，本着平等互利和诚实信用的原则，一致同意遵守本合同如下。</w:t>
      </w:r>
    </w:p>
    <w:p>
      <w:pPr>
        <w:pStyle w:val="null3"/>
        <w:shd w:fill="FFFFFF"/>
        <w:spacing w:before="0" w:after="0"/>
        <w:ind w:left="0" w:right="0"/>
        <w:jc w:val="both"/>
      </w:pPr>
      <w:r>
        <w:rPr>
          <w:rFonts w:ascii="宋体" w:hAnsi="宋体" w:cs="宋体" w:eastAsia="宋体"/>
          <w:sz w:val="27"/>
          <w:b/>
          <w:color w:val="222222"/>
        </w:rPr>
        <w:t>一、合同金额</w:t>
      </w:r>
    </w:p>
    <w:p>
      <w:pPr>
        <w:pStyle w:val="null3"/>
        <w:shd w:fill="FFFFFF"/>
        <w:spacing w:before="0" w:after="0"/>
        <w:ind w:left="0" w:right="0"/>
        <w:jc w:val="both"/>
      </w:pPr>
      <w:r>
        <w:rPr>
          <w:rFonts w:ascii="宋体" w:hAnsi="宋体" w:cs="宋体" w:eastAsia="宋体"/>
          <w:sz w:val="27"/>
          <w:color w:val="222222"/>
        </w:rPr>
        <w:t>　　合同金额为（大写）：_____________元（￥_________元）人民币。</w:t>
      </w:r>
    </w:p>
    <w:p>
      <w:pPr>
        <w:pStyle w:val="null3"/>
        <w:shd w:fill="FFFFFF"/>
        <w:spacing w:before="0" w:after="0"/>
        <w:ind w:left="0" w:right="0"/>
        <w:jc w:val="both"/>
      </w:pPr>
      <w:r>
        <w:rPr>
          <w:rFonts w:ascii="宋体" w:hAnsi="宋体" w:cs="宋体" w:eastAsia="宋体"/>
          <w:sz w:val="27"/>
          <w:b/>
          <w:color w:val="222222"/>
        </w:rPr>
        <w:t>二、服务范围</w:t>
      </w:r>
    </w:p>
    <w:p>
      <w:pPr>
        <w:pStyle w:val="null3"/>
        <w:shd w:fill="FFFFFF"/>
        <w:spacing w:before="0" w:after="0"/>
        <w:ind w:left="0" w:right="0"/>
        <w:jc w:val="both"/>
      </w:pPr>
      <w:r>
        <w:rPr>
          <w:rFonts w:ascii="宋体" w:hAnsi="宋体" w:cs="宋体" w:eastAsia="宋体"/>
          <w:sz w:val="27"/>
          <w:color w:val="222222"/>
        </w:rPr>
        <w:t>　　甲方聘请乙方提供以下服务：</w:t>
      </w:r>
    </w:p>
    <w:p>
      <w:pPr>
        <w:pStyle w:val="null3"/>
        <w:shd w:fill="FFFFFF"/>
        <w:spacing w:before="0" w:after="0"/>
        <w:ind w:left="0" w:right="0"/>
        <w:jc w:val="both"/>
      </w:pPr>
      <w:r>
        <w:rPr>
          <w:rFonts w:ascii="宋体" w:hAnsi="宋体" w:cs="宋体" w:eastAsia="宋体"/>
          <w:sz w:val="27"/>
          <w:color w:val="222222"/>
        </w:rPr>
        <w:t>　　1．</w:t>
      </w:r>
      <w:r>
        <w:rPr>
          <w:rFonts w:ascii="宋体" w:hAnsi="宋体" w:cs="宋体" w:eastAsia="宋体"/>
          <w:sz w:val="27"/>
          <w:color w:val="222222"/>
          <w:u w:val="single"/>
        </w:rPr>
        <w:t>　　　　　　　　　　　</w:t>
      </w: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color w:val="222222"/>
        </w:rPr>
        <w:t>　　2．</w:t>
      </w:r>
      <w:r>
        <w:rPr>
          <w:rFonts w:ascii="宋体" w:hAnsi="宋体" w:cs="宋体" w:eastAsia="宋体"/>
          <w:sz w:val="27"/>
          <w:color w:val="222222"/>
          <w:u w:val="single"/>
        </w:rPr>
        <w:t>　　　　　　　　　　　</w:t>
      </w:r>
    </w:p>
    <w:p>
      <w:pPr>
        <w:pStyle w:val="null3"/>
        <w:shd w:fill="FFFFFF"/>
        <w:spacing w:before="0" w:after="0"/>
        <w:ind w:left="0" w:right="0"/>
        <w:jc w:val="both"/>
      </w:pP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b/>
          <w:color w:val="222222"/>
        </w:rPr>
        <w:t>三、甲方乙方的权利和义务</w:t>
      </w:r>
    </w:p>
    <w:p>
      <w:pPr>
        <w:pStyle w:val="null3"/>
        <w:shd w:fill="FFFFFF"/>
        <w:spacing w:before="0" w:after="0"/>
        <w:ind w:left="0" w:right="0"/>
        <w:jc w:val="both"/>
      </w:pPr>
      <w:r>
        <w:rPr>
          <w:rFonts w:ascii="宋体" w:hAnsi="宋体" w:cs="宋体" w:eastAsia="宋体"/>
          <w:sz w:val="27"/>
          <w:color w:val="222222"/>
        </w:rPr>
        <w:t>　　1.甲方的权利和义务</w:t>
      </w:r>
    </w:p>
    <w:p>
      <w:pPr>
        <w:pStyle w:val="null3"/>
        <w:shd w:fill="FFFFFF"/>
        <w:spacing w:before="0" w:after="0"/>
        <w:ind w:left="0" w:right="0"/>
        <w:jc w:val="both"/>
      </w:pPr>
      <w:r>
        <w:rPr>
          <w:rFonts w:ascii="宋体" w:hAnsi="宋体" w:cs="宋体" w:eastAsia="宋体"/>
          <w:sz w:val="27"/>
          <w:color w:val="222222"/>
        </w:rPr>
        <w:t>　　2.乙方的权利和义务</w:t>
      </w:r>
    </w:p>
    <w:p>
      <w:pPr>
        <w:pStyle w:val="null3"/>
        <w:shd w:fill="FFFFFF"/>
        <w:spacing w:before="0" w:after="0"/>
        <w:ind w:left="0" w:right="0"/>
        <w:jc w:val="both"/>
      </w:pPr>
      <w:r>
        <w:rPr>
          <w:rFonts w:ascii="宋体" w:hAnsi="宋体" w:cs="宋体" w:eastAsia="宋体"/>
          <w:sz w:val="27"/>
          <w:b/>
          <w:color w:val="222222"/>
        </w:rPr>
        <w:t>四、服务期间（项目完成期限）</w:t>
      </w:r>
    </w:p>
    <w:p>
      <w:pPr>
        <w:pStyle w:val="null3"/>
        <w:shd w:fill="FFFFFF"/>
        <w:spacing w:before="0" w:after="0"/>
        <w:ind w:left="0" w:right="0"/>
        <w:jc w:val="both"/>
      </w:pPr>
      <w:r>
        <w:rPr>
          <w:rFonts w:ascii="宋体" w:hAnsi="宋体" w:cs="宋体" w:eastAsia="宋体"/>
          <w:sz w:val="27"/>
          <w:color w:val="222222"/>
        </w:rPr>
        <w:t>　　1.委托服务期间自______年______月至______年______月止。</w:t>
      </w:r>
    </w:p>
    <w:p>
      <w:pPr>
        <w:pStyle w:val="null3"/>
        <w:shd w:fill="FFFFFF"/>
        <w:spacing w:before="0" w:after="0"/>
        <w:ind w:left="0" w:right="0"/>
        <w:jc w:val="both"/>
      </w:pPr>
      <w:r>
        <w:rPr>
          <w:rFonts w:ascii="宋体" w:hAnsi="宋体" w:cs="宋体" w:eastAsia="宋体"/>
          <w:sz w:val="27"/>
          <w:b/>
          <w:color w:val="222222"/>
        </w:rPr>
        <w:t>五、付款方式</w:t>
      </w:r>
    </w:p>
    <w:p>
      <w:pPr>
        <w:pStyle w:val="null3"/>
        <w:shd w:fill="FFFFFF"/>
        <w:spacing w:before="0" w:after="0"/>
        <w:ind w:left="0" w:right="0"/>
        <w:jc w:val="both"/>
      </w:pPr>
      <w:r>
        <w:rPr>
          <w:rFonts w:ascii="宋体" w:hAnsi="宋体" w:cs="宋体" w:eastAsia="宋体"/>
          <w:sz w:val="27"/>
          <w:color w:val="222222"/>
        </w:rPr>
        <w:t>　　由甲方按下列程序在</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内付款：</w:t>
      </w:r>
    </w:p>
    <w:p>
      <w:pPr>
        <w:pStyle w:val="null3"/>
        <w:shd w:fill="FFFFFF"/>
        <w:spacing w:before="0" w:after="0"/>
        <w:ind w:left="0" w:right="0"/>
        <w:jc w:val="both"/>
      </w:pPr>
      <w:r>
        <w:rPr>
          <w:rFonts w:ascii="宋体" w:hAnsi="宋体" w:cs="宋体" w:eastAsia="宋体"/>
          <w:sz w:val="27"/>
          <w:color w:val="222222"/>
        </w:rPr>
        <w:t>　　1.在合同实施及服务人员到达服务地后__天内，甲方应将第一次付　　款总服务费的__(-%)付给乙方。</w:t>
      </w:r>
    </w:p>
    <w:p>
      <w:pPr>
        <w:pStyle w:val="null3"/>
        <w:shd w:fill="FFFFFF"/>
        <w:spacing w:before="0" w:after="0"/>
        <w:ind w:left="0" w:right="0"/>
        <w:jc w:val="both"/>
      </w:pPr>
      <w:r>
        <w:rPr>
          <w:rFonts w:ascii="宋体" w:hAnsi="宋体" w:cs="宋体" w:eastAsia="宋体"/>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jc w:val="both"/>
      </w:pPr>
      <w:r>
        <w:rPr>
          <w:rFonts w:ascii="宋体" w:hAnsi="宋体" w:cs="宋体" w:eastAsia="宋体"/>
          <w:sz w:val="27"/>
          <w:color w:val="222222"/>
        </w:rPr>
        <w:t>　　3.最后一次付款额应为总服务费的__(-%)，甲方应在乙方递交了服务总结报告和说明并完全履行合同完毕_________日内付给乙方。</w:t>
      </w:r>
    </w:p>
    <w:p>
      <w:pPr>
        <w:pStyle w:val="null3"/>
        <w:shd w:fill="FFFFFF"/>
        <w:spacing w:before="0" w:after="0"/>
        <w:ind w:left="0" w:right="0"/>
        <w:jc w:val="both"/>
      </w:pPr>
      <w:r>
        <w:rPr>
          <w:rFonts w:ascii="宋体" w:hAnsi="宋体" w:cs="宋体" w:eastAsia="宋体"/>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jc w:val="both"/>
      </w:pPr>
      <w:r>
        <w:rPr>
          <w:rFonts w:ascii="宋体" w:hAnsi="宋体" w:cs="宋体" w:eastAsia="宋体"/>
          <w:sz w:val="27"/>
          <w:b/>
          <w:color w:val="222222"/>
        </w:rPr>
        <w:t>六、知识产权归属</w:t>
      </w:r>
    </w:p>
    <w:p>
      <w:pPr>
        <w:pStyle w:val="null3"/>
        <w:shd w:fill="FFFFFF"/>
        <w:spacing w:before="0" w:after="0"/>
        <w:ind w:left="0" w:right="0"/>
        <w:jc w:val="both"/>
      </w:pPr>
      <w:r>
        <w:rPr>
          <w:rFonts w:ascii="宋体" w:hAnsi="宋体" w:cs="宋体" w:eastAsia="宋体"/>
          <w:sz w:val="27"/>
          <w:b/>
          <w:color w:val="222222"/>
        </w:rPr>
        <w:t>七、保密</w:t>
      </w:r>
    </w:p>
    <w:p>
      <w:pPr>
        <w:pStyle w:val="null3"/>
        <w:shd w:fill="FFFFFF"/>
        <w:spacing w:before="0" w:after="0"/>
        <w:ind w:left="0" w:right="0"/>
        <w:jc w:val="both"/>
      </w:pPr>
      <w:r>
        <w:rPr>
          <w:rFonts w:ascii="宋体" w:hAnsi="宋体" w:cs="宋体" w:eastAsia="宋体"/>
          <w:sz w:val="27"/>
          <w:b/>
          <w:color w:val="222222"/>
        </w:rPr>
        <w:t>八、违约责任与赔偿损失</w:t>
      </w:r>
    </w:p>
    <w:p>
      <w:pPr>
        <w:pStyle w:val="null3"/>
        <w:shd w:fill="FFFFFF"/>
        <w:spacing w:before="0" w:after="0"/>
        <w:ind w:left="0" w:right="0"/>
        <w:jc w:val="both"/>
      </w:pPr>
      <w:r>
        <w:rPr>
          <w:rFonts w:ascii="宋体" w:hAnsi="宋体" w:cs="宋体" w:eastAsia="宋体"/>
          <w:sz w:val="27"/>
          <w:color w:val="222222"/>
        </w:rPr>
        <w:t>　　1.乙方提供的服务不符合本合同规定的，甲方有权拒收，并且乙方须向甲方方支付本合同总价5%的违约金。</w:t>
      </w:r>
    </w:p>
    <w:p>
      <w:pPr>
        <w:pStyle w:val="null3"/>
        <w:shd w:fill="FFFFFF"/>
        <w:spacing w:before="0" w:after="0"/>
        <w:ind w:left="0" w:right="0"/>
        <w:jc w:val="both"/>
      </w:pPr>
      <w:r>
        <w:rPr>
          <w:rFonts w:ascii="宋体" w:hAnsi="宋体" w:cs="宋体" w:eastAsia="宋体"/>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jc w:val="both"/>
      </w:pPr>
      <w:r>
        <w:rPr>
          <w:rFonts w:ascii="宋体" w:hAnsi="宋体" w:cs="宋体" w:eastAsia="宋体"/>
          <w:sz w:val="27"/>
          <w:color w:val="222222"/>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jc w:val="both"/>
      </w:pPr>
      <w:r>
        <w:rPr>
          <w:rFonts w:ascii="宋体" w:hAnsi="宋体" w:cs="宋体" w:eastAsia="宋体"/>
          <w:sz w:val="27"/>
          <w:color w:val="222222"/>
        </w:rPr>
        <w:t>　　4.对于因甲方原因导致变更、中止或者终止政府采购合同的，甲方应当依照以下合同约定对供应商受到的损失予以赔偿或者补偿：</w:t>
      </w:r>
    </w:p>
    <w:p>
      <w:pPr>
        <w:pStyle w:val="null3"/>
        <w:shd w:fill="FFFFFF"/>
        <w:spacing w:before="0" w:after="0"/>
        <w:ind w:left="0" w:right="0"/>
        <w:jc w:val="both"/>
      </w:pP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p>
    <w:p>
      <w:pPr>
        <w:pStyle w:val="null3"/>
        <w:shd w:fill="FFFFFF"/>
        <w:spacing w:before="0" w:after="0"/>
        <w:ind w:left="0" w:right="0"/>
        <w:jc w:val="both"/>
      </w:pPr>
      <w:r>
        <w:rPr>
          <w:rFonts w:ascii="宋体" w:hAnsi="宋体" w:cs="宋体" w:eastAsia="宋体"/>
          <w:sz w:val="27"/>
          <w:color w:val="222222"/>
        </w:rPr>
        <w:t>　　5.其它违约责任按《</w:t>
      </w:r>
      <w:r>
        <w:rPr>
          <w:rFonts w:ascii="宋体" w:hAnsi="宋体" w:cs="宋体" w:eastAsia="宋体"/>
          <w:sz w:val="27"/>
          <w:color w:val="222222"/>
        </w:rPr>
        <w:t>中华人民共和国民法典(合同编)</w:t>
      </w:r>
      <w:r>
        <w:rPr>
          <w:rFonts w:ascii="宋体" w:hAnsi="宋体" w:cs="宋体" w:eastAsia="宋体"/>
          <w:sz w:val="27"/>
          <w:color w:val="222222"/>
        </w:rPr>
        <w:t>》处理。</w:t>
      </w:r>
    </w:p>
    <w:p>
      <w:pPr>
        <w:pStyle w:val="null3"/>
        <w:shd w:fill="FFFFFF"/>
        <w:spacing w:before="0" w:after="0"/>
        <w:ind w:left="0" w:right="0"/>
        <w:jc w:val="both"/>
      </w:pPr>
      <w:r>
        <w:rPr>
          <w:rFonts w:ascii="宋体" w:hAnsi="宋体" w:cs="宋体" w:eastAsia="宋体"/>
          <w:sz w:val="27"/>
          <w:b/>
          <w:color w:val="222222"/>
        </w:rPr>
        <w:t>九、争议的解决</w:t>
      </w:r>
    </w:p>
    <w:p>
      <w:pPr>
        <w:pStyle w:val="null3"/>
        <w:shd w:fill="FFFFFF"/>
        <w:spacing w:before="0" w:after="0"/>
        <w:ind w:left="0" w:right="0" w:firstLine="400"/>
        <w:jc w:val="both"/>
      </w:pPr>
      <w:r>
        <w:rPr>
          <w:rFonts w:ascii="宋体" w:hAnsi="宋体" w:cs="宋体" w:eastAsia="宋体"/>
          <w:sz w:val="27"/>
          <w:color w:val="222222"/>
        </w:rPr>
        <w:t>合同执行过程中发生的任何争议，如双方不能通过友好协商解决，按相关法律法规处理。</w:t>
      </w:r>
      <w:r>
        <w:rPr>
          <w:rFonts w:ascii="helvetica" w:hAnsi="helvetica" w:cs="helvetica" w:eastAsia="helvetica"/>
          <w:sz w:val="27"/>
          <w:color w:val="222222"/>
        </w:rPr>
        <w:t xml:space="preserve"> </w:t>
      </w:r>
      <w:r>
        <w:rPr>
          <w:rFonts w:ascii="宋体" w:hAnsi="宋体" w:cs="宋体" w:eastAsia="宋体"/>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十、不可抗力</w:t>
      </w:r>
    </w:p>
    <w:p>
      <w:pPr>
        <w:pStyle w:val="null3"/>
        <w:shd w:fill="FFFFFF"/>
        <w:spacing w:before="0" w:after="0"/>
        <w:ind w:left="0" w:right="0"/>
        <w:jc w:val="both"/>
      </w:pPr>
      <w:r>
        <w:rPr>
          <w:rFonts w:ascii="宋体" w:hAnsi="宋体" w:cs="宋体" w:eastAsia="宋体"/>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jc w:val="both"/>
      </w:pPr>
      <w:r>
        <w:rPr>
          <w:rFonts w:ascii="宋体" w:hAnsi="宋体" w:cs="宋体" w:eastAsia="宋体"/>
          <w:sz w:val="27"/>
          <w:b/>
          <w:color w:val="222222"/>
        </w:rPr>
        <w:t>十一、税费</w:t>
      </w:r>
    </w:p>
    <w:p>
      <w:pPr>
        <w:pStyle w:val="null3"/>
        <w:shd w:fill="FFFFFF"/>
        <w:spacing w:before="0" w:after="0"/>
        <w:ind w:left="0" w:right="0"/>
        <w:jc w:val="both"/>
      </w:pPr>
      <w:r>
        <w:rPr>
          <w:rFonts w:ascii="宋体" w:hAnsi="宋体" w:cs="宋体" w:eastAsia="宋体"/>
          <w:sz w:val="27"/>
          <w:color w:val="222222"/>
        </w:rPr>
        <w:t>　　在中国境内、外发生的与本合同执行有关的一切税费均由乙方负担。</w:t>
      </w:r>
    </w:p>
    <w:p>
      <w:pPr>
        <w:pStyle w:val="null3"/>
        <w:shd w:fill="FFFFFF"/>
        <w:spacing w:before="0" w:after="0"/>
        <w:ind w:left="0" w:right="0"/>
        <w:jc w:val="both"/>
      </w:pPr>
      <w:r>
        <w:rPr>
          <w:rFonts w:ascii="宋体" w:hAnsi="宋体" w:cs="宋体" w:eastAsia="宋体"/>
          <w:sz w:val="27"/>
          <w:b/>
          <w:color w:val="222222"/>
        </w:rPr>
        <w:t>十二、其它</w:t>
      </w:r>
    </w:p>
    <w:p>
      <w:pPr>
        <w:pStyle w:val="null3"/>
        <w:shd w:fill="FFFFFF"/>
        <w:spacing w:before="0" w:after="0"/>
        <w:ind w:left="0" w:right="0"/>
        <w:jc w:val="both"/>
      </w:pPr>
      <w:r>
        <w:rPr>
          <w:rFonts w:ascii="宋体" w:hAnsi="宋体" w:cs="宋体" w:eastAsia="宋体"/>
          <w:sz w:val="27"/>
          <w:color w:val="222222"/>
        </w:rPr>
        <w:t>　　1.本合同所有附件、招标文件、投标文件、中标通知书均为合同的有效组成部分，与本合同具有同等法律效力。</w:t>
      </w:r>
    </w:p>
    <w:p>
      <w:pPr>
        <w:pStyle w:val="null3"/>
        <w:shd w:fill="FFFFFF"/>
        <w:spacing w:before="0" w:after="0"/>
        <w:ind w:left="0" w:right="0"/>
        <w:jc w:val="both"/>
      </w:pPr>
      <w:r>
        <w:rPr>
          <w:rFonts w:ascii="宋体" w:hAnsi="宋体" w:cs="宋体" w:eastAsia="宋体"/>
          <w:sz w:val="27"/>
          <w:color w:val="222222"/>
        </w:rPr>
        <w:t>　　2.在执行本合同的过程中，所有经双方签署确认的文件（包括会议纪要、补充协议、往来信函）即成为本合同的有效组成部分。</w:t>
      </w:r>
    </w:p>
    <w:p>
      <w:pPr>
        <w:pStyle w:val="null3"/>
        <w:shd w:fill="FFFFFF"/>
        <w:spacing w:before="0" w:after="0"/>
        <w:ind w:left="0" w:right="0"/>
        <w:jc w:val="both"/>
      </w:pPr>
      <w:r>
        <w:rPr>
          <w:rFonts w:ascii="宋体" w:hAnsi="宋体" w:cs="宋体" w:eastAsia="宋体"/>
          <w:sz w:val="27"/>
          <w:color w:val="222222"/>
        </w:rPr>
        <w:t>　　3.如一方地址、电话、传真号码有变更，应在变更当日内书面通知对方，否则，应承担相应责任。</w:t>
      </w:r>
    </w:p>
    <w:p>
      <w:pPr>
        <w:pStyle w:val="null3"/>
        <w:shd w:fill="FFFFFF"/>
        <w:spacing w:before="0" w:after="0"/>
        <w:ind w:left="0" w:right="0"/>
        <w:jc w:val="both"/>
      </w:pPr>
      <w:r>
        <w:rPr>
          <w:rFonts w:ascii="宋体" w:hAnsi="宋体" w:cs="宋体" w:eastAsia="宋体"/>
          <w:sz w:val="27"/>
          <w:color w:val="222222"/>
        </w:rPr>
        <w:t>　　4.除甲方事先书面同意外，乙方不得部分或全部转让其应履行的合同项下的义务。</w:t>
      </w:r>
    </w:p>
    <w:p>
      <w:pPr>
        <w:pStyle w:val="null3"/>
        <w:shd w:fill="FFFFFF"/>
        <w:spacing w:before="0" w:after="0"/>
        <w:ind w:left="0" w:right="0"/>
        <w:jc w:val="both"/>
      </w:pPr>
      <w:r>
        <w:rPr>
          <w:rFonts w:ascii="宋体" w:hAnsi="宋体" w:cs="宋体" w:eastAsia="宋体"/>
          <w:sz w:val="27"/>
          <w:b/>
          <w:color w:val="222222"/>
        </w:rPr>
        <w:t>十三、合同生效</w:t>
      </w:r>
    </w:p>
    <w:p>
      <w:pPr>
        <w:pStyle w:val="null3"/>
        <w:shd w:fill="FFFFFF"/>
        <w:spacing w:before="0" w:after="0"/>
        <w:ind w:left="0" w:right="0"/>
        <w:jc w:val="both"/>
      </w:pPr>
      <w:r>
        <w:rPr>
          <w:rFonts w:ascii="宋体" w:hAnsi="宋体" w:cs="宋体" w:eastAsia="宋体"/>
          <w:sz w:val="27"/>
          <w:color w:val="222222"/>
        </w:rPr>
        <w:t>　　1.本合同在甲乙双方法人代表或其授权代表签字盖章后生效。</w:t>
      </w:r>
    </w:p>
    <w:p>
      <w:pPr>
        <w:pStyle w:val="null3"/>
        <w:shd w:fill="FFFFFF"/>
        <w:spacing w:before="0" w:after="0"/>
        <w:ind w:left="0" w:right="0"/>
        <w:jc w:val="both"/>
      </w:pPr>
      <w:r>
        <w:rPr>
          <w:rFonts w:ascii="宋体" w:hAnsi="宋体" w:cs="宋体" w:eastAsia="宋体"/>
          <w:sz w:val="27"/>
          <w:color w:val="222222"/>
        </w:rPr>
        <w:t>　　2.合同一式</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份。</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甲方（盖章）：</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乙方（盖章）：</w:t>
      </w:r>
    </w:p>
    <w:p>
      <w:pPr>
        <w:pStyle w:val="null3"/>
        <w:shd w:fill="FFFFFF"/>
        <w:spacing w:before="0" w:after="0"/>
        <w:ind w:left="0" w:right="0"/>
        <w:jc w:val="both"/>
      </w:pPr>
      <w:r>
        <w:rPr>
          <w:rFonts w:ascii="宋体" w:hAnsi="宋体" w:cs="宋体" w:eastAsia="宋体"/>
          <w:sz w:val="27"/>
          <w:b/>
          <w:color w:val="222222"/>
        </w:rPr>
        <w:t>代表：</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代表：</w:t>
      </w:r>
    </w:p>
    <w:p>
      <w:pPr>
        <w:pStyle w:val="null3"/>
        <w:shd w:fill="FFFFFF"/>
        <w:spacing w:before="0" w:after="0"/>
        <w:ind w:left="0" w:right="0"/>
        <w:jc w:val="both"/>
      </w:pPr>
      <w:r>
        <w:rPr>
          <w:rFonts w:ascii="宋体" w:hAnsi="宋体" w:cs="宋体" w:eastAsia="宋体"/>
          <w:sz w:val="27"/>
          <w:color w:val="222222"/>
        </w:rPr>
        <w:t>签订地点：</w:t>
      </w:r>
    </w:p>
    <w:p>
      <w:pPr>
        <w:pStyle w:val="null3"/>
        <w:shd w:fill="FFFFFF"/>
        <w:spacing w:before="0" w:after="0"/>
        <w:ind w:left="0" w:right="0"/>
        <w:jc w:val="both"/>
      </w:pPr>
      <w:r>
        <w:rPr>
          <w:rFonts w:ascii="宋体" w:hAnsi="宋体" w:cs="宋体" w:eastAsia="宋体"/>
          <w:sz w:val="27"/>
          <w:color w:val="222222"/>
        </w:rPr>
        <w:t>签订日期：　　　年　　月　　日</w:t>
      </w:r>
      <w:r>
        <w:rPr>
          <w:rFonts w:ascii="宋体" w:hAnsi="宋体" w:cs="宋体" w:eastAsia="宋体"/>
          <w:sz w:val="27"/>
          <w:color w:val="222222"/>
        </w:rPr>
        <w:t xml:space="preserve"> </w:t>
      </w:r>
      <w:r>
        <w:rPr>
          <w:rFonts w:ascii="宋体" w:hAnsi="宋体" w:cs="宋体" w:eastAsia="宋体"/>
          <w:sz w:val="27"/>
          <w:color w:val="222222"/>
        </w:rPr>
        <w:t xml:space="preserve"> 签订日期：　　　年　　月　　日</w:t>
      </w:r>
    </w:p>
    <w:p>
      <w:pPr>
        <w:pStyle w:val="null3"/>
        <w:shd w:fill="FFFFFF"/>
        <w:spacing w:before="0" w:after="0"/>
        <w:ind w:left="0" w:right="0"/>
        <w:jc w:val="both"/>
      </w:pPr>
      <w:r>
        <w:rPr>
          <w:rFonts w:ascii="宋体" w:hAnsi="宋体" w:cs="宋体" w:eastAsia="宋体"/>
          <w:sz w:val="27"/>
          <w:color w:val="222222"/>
        </w:rPr>
        <w:t>开户名称：</w:t>
      </w:r>
    </w:p>
    <w:p>
      <w:pPr>
        <w:pStyle w:val="null3"/>
        <w:shd w:fill="FFFFFF"/>
        <w:spacing w:before="0" w:after="0"/>
        <w:ind w:left="0" w:right="0"/>
        <w:jc w:val="both"/>
      </w:pPr>
      <w:r>
        <w:rPr>
          <w:rFonts w:ascii="宋体" w:hAnsi="宋体" w:cs="宋体" w:eastAsia="宋体"/>
          <w:sz w:val="27"/>
          <w:color w:val="222222"/>
        </w:rPr>
        <w:t>银行帐号：</w:t>
      </w:r>
    </w:p>
    <w:p>
      <w:pPr>
        <w:pStyle w:val="null3"/>
        <w:shd w:fill="FFFFFF"/>
        <w:spacing w:before="0" w:after="0"/>
        <w:ind w:left="0" w:right="0"/>
        <w:jc w:val="both"/>
      </w:pPr>
      <w:r>
        <w:rPr>
          <w:rFonts w:ascii="宋体" w:hAnsi="宋体" w:cs="宋体" w:eastAsia="宋体"/>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440001-2026-24281</w:t>
      </w:r>
    </w:p>
    <w:p>
      <w:pPr>
        <w:pStyle w:val="null3"/>
        <w:jc w:val="center"/>
        <w:outlineLvl w:val="3"/>
      </w:pPr>
      <w:r>
        <w:rPr>
          <w:sz w:val="24"/>
          <w:b/>
        </w:rPr>
        <w:t>采购项目编号：</w:t>
      </w:r>
      <w:r>
        <w:rPr>
          <w:sz w:val="24"/>
          <w:b/>
        </w:rPr>
        <w:t>0877-26GZTP4ZC0484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华南师范大学教育集团2026年普通高中教育质量监测与提升服务采购项目</w:t>
      </w:r>
      <w:r>
        <w:rPr>
          <w:u w:val="single"/>
        </w:rPr>
        <w:t>”</w:t>
      </w:r>
      <w:r>
        <w:rPr/>
        <w:t>项目的招标[采购项目编号为：</w:t>
      </w:r>
      <w:r>
        <w:rPr>
          <w:u w:val="single"/>
        </w:rPr>
        <w:t>0877-26GZTP4ZC0484</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华南师范大学教育集团2026年普通高中教育质量监测与提升服务采购项目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华南师范大学教育集团2026年普通高中教育质量监测与提升服务采购项目</w:t>
      </w:r>
      <w:r>
        <w:rPr/>
        <w:t>”项目采购[采购项目编号为</w:t>
      </w:r>
      <w:r>
        <w:rPr/>
        <w:t>0877-26GZTP4ZC0484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华南师范大学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华南师范大学教育集团2026年普通高中教育质量监测与提升服务采购项目</w:t>
      </w:r>
      <w:r>
        <w:rPr/>
        <w:t>招标中获中标（采购项目编号：</w:t>
      </w:r>
      <w:r>
        <w:rPr/>
        <w:t>0877-26GZTP4ZC0484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广东广招国际招标有限公司</w:t>
      </w:r>
    </w:p>
    <w:p>
      <w:pPr>
        <w:pStyle w:val="null3"/>
        <w:ind w:firstLine="480"/>
      </w:pPr>
      <w:r>
        <w:rPr/>
        <w:t>我单位已登记并准备参与“</w:t>
      </w:r>
      <w:r>
        <w:rPr/>
        <w:t>华南师范大学教育集团2026年普通高中教育质量监测与提升服务采购项目</w:t>
      </w:r>
      <w:r>
        <w:rPr/>
        <w:t>”项目（采购项目编号：</w:t>
      </w:r>
      <w:r>
        <w:rPr/>
        <w:t>0877-26GZTP4ZC0484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