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EE2439">
      <w:pPr>
        <w:keepNext w:val="0"/>
        <w:keepLines w:val="0"/>
        <w:pageBreakBefore w:val="0"/>
        <w:widowControl w:val="0"/>
        <w:kinsoku/>
        <w:wordWrap/>
        <w:overflowPunct/>
        <w:topLinePunct w:val="0"/>
        <w:autoSpaceDE w:val="0"/>
        <w:autoSpaceDN w:val="0"/>
        <w:bidi w:val="0"/>
        <w:adjustRightInd/>
        <w:snapToGrid/>
        <w:spacing w:line="800" w:lineRule="exact"/>
        <w:jc w:val="center"/>
        <w:textAlignment w:val="auto"/>
        <w:rPr>
          <w:rFonts w:hint="eastAsia"/>
          <w:b/>
          <w:bCs/>
          <w:color w:val="auto"/>
          <w:sz w:val="48"/>
          <w:szCs w:val="48"/>
        </w:rPr>
      </w:pPr>
      <w:r>
        <w:rPr>
          <w:rFonts w:hint="eastAsia"/>
          <w:b/>
          <w:bCs/>
          <w:color w:val="auto"/>
          <w:sz w:val="48"/>
          <w:szCs w:val="48"/>
          <w:lang w:val="en-US" w:eastAsia="zh-CN"/>
        </w:rPr>
        <w:t>广东生态工程职业学院校园安全保卫服务项目用户</w:t>
      </w:r>
      <w:r>
        <w:rPr>
          <w:rFonts w:hint="eastAsia"/>
          <w:b/>
          <w:bCs/>
          <w:color w:val="auto"/>
          <w:sz w:val="48"/>
          <w:szCs w:val="48"/>
        </w:rPr>
        <w:t>需求书（征求</w:t>
      </w:r>
      <w:bookmarkStart w:id="0" w:name="_GoBack"/>
      <w:bookmarkEnd w:id="0"/>
      <w:r>
        <w:rPr>
          <w:rFonts w:hint="eastAsia"/>
          <w:b/>
          <w:bCs/>
          <w:color w:val="auto"/>
          <w:sz w:val="48"/>
          <w:szCs w:val="48"/>
        </w:rPr>
        <w:t>意见稿）</w:t>
      </w:r>
    </w:p>
    <w:p w14:paraId="3736FDCA">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423D833C">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1C22362C">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用户需求书中标注有“★”号的条款必须实质性响应，负偏离（不满足要求）将导致投标无效。</w:t>
      </w:r>
    </w:p>
    <w:p w14:paraId="40E412ED">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p>
    <w:p w14:paraId="495986CE">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一、项目概况</w:t>
      </w:r>
    </w:p>
    <w:p w14:paraId="21324BD3">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rFonts w:hint="eastAsia"/>
          <w:color w:val="auto"/>
          <w:sz w:val="24"/>
          <w:szCs w:val="24"/>
          <w:lang w:val="en-US" w:eastAsia="zh-CN"/>
        </w:rPr>
        <w:t>项目地点：</w:t>
      </w:r>
      <w:r>
        <w:rPr>
          <w:color w:val="auto"/>
          <w:sz w:val="24"/>
          <w:szCs w:val="24"/>
        </w:rPr>
        <w:t>学院天河校区位于广州市天河区，占地面积612亩</w:t>
      </w:r>
      <w:r>
        <w:rPr>
          <w:rFonts w:hint="eastAsia"/>
          <w:color w:val="auto"/>
          <w:sz w:val="24"/>
          <w:szCs w:val="24"/>
          <w:lang w:eastAsia="zh-CN"/>
        </w:rPr>
        <w:t>，</w:t>
      </w:r>
      <w:r>
        <w:rPr>
          <w:rFonts w:hint="eastAsia"/>
          <w:color w:val="auto"/>
          <w:sz w:val="24"/>
          <w:szCs w:val="24"/>
        </w:rPr>
        <w:t>该校区下设北苑（校本部北区）和南苑（校本部南区）</w:t>
      </w:r>
      <w:r>
        <w:rPr>
          <w:rFonts w:hint="eastAsia"/>
          <w:color w:val="auto"/>
          <w:sz w:val="24"/>
          <w:szCs w:val="24"/>
          <w:lang w:eastAsia="zh-CN"/>
        </w:rPr>
        <w:t>。</w:t>
      </w:r>
      <w:r>
        <w:rPr>
          <w:color w:val="auto"/>
          <w:sz w:val="24"/>
          <w:szCs w:val="24"/>
        </w:rPr>
        <w:t>海珠校区位于海珠区，占地面积60亩。</w:t>
      </w:r>
    </w:p>
    <w:p w14:paraId="7D0CFC37">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项目内容：</w:t>
      </w:r>
    </w:p>
    <w:p w14:paraId="6673889A">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color w:val="auto"/>
          <w:sz w:val="24"/>
          <w:szCs w:val="24"/>
        </w:rPr>
        <w:t>1.保障学院和师生人身财产不受侵害，维护正常的教学、办公和生活秩序。</w:t>
      </w:r>
    </w:p>
    <w:p w14:paraId="3F29E817">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color w:val="auto"/>
          <w:sz w:val="24"/>
          <w:szCs w:val="24"/>
        </w:rPr>
        <w:t>2</w:t>
      </w:r>
      <w:r>
        <w:rPr>
          <w:rFonts w:hint="eastAsia"/>
          <w:color w:val="auto"/>
          <w:sz w:val="24"/>
          <w:szCs w:val="24"/>
          <w:lang w:val="en-US" w:eastAsia="zh-CN"/>
        </w:rPr>
        <w:t>.四</w:t>
      </w:r>
      <w:r>
        <w:rPr>
          <w:color w:val="auto"/>
          <w:sz w:val="24"/>
          <w:szCs w:val="24"/>
        </w:rPr>
        <w:t>个校区内的治安保卫工作及各种安全设施、设备的使用和维护。</w:t>
      </w:r>
    </w:p>
    <w:p w14:paraId="210011D1">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color w:val="auto"/>
          <w:sz w:val="24"/>
          <w:szCs w:val="24"/>
        </w:rPr>
        <w:t>3</w:t>
      </w:r>
      <w:r>
        <w:rPr>
          <w:rFonts w:hint="eastAsia"/>
          <w:color w:val="auto"/>
          <w:sz w:val="24"/>
          <w:szCs w:val="24"/>
          <w:lang w:val="en-US" w:eastAsia="zh-CN"/>
        </w:rPr>
        <w:t>.</w:t>
      </w:r>
      <w:r>
        <w:rPr>
          <w:color w:val="auto"/>
          <w:sz w:val="24"/>
          <w:szCs w:val="24"/>
        </w:rPr>
        <w:t>所有建筑物、设施及有形物体的消防管理，消防设施的日常维护及管理，包括但不限于消防系统及相应的控制柜、消防喷淋系统、消防栓系统、防火门、消防排烟送风系统、烟感、温感、消防应急照明系统、消防报警系统、灭火器材等。</w:t>
      </w:r>
    </w:p>
    <w:p w14:paraId="6153A03D">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color w:val="auto"/>
          <w:sz w:val="24"/>
          <w:szCs w:val="24"/>
        </w:rPr>
        <w:t>4</w:t>
      </w:r>
      <w:r>
        <w:rPr>
          <w:rFonts w:hint="eastAsia"/>
          <w:color w:val="auto"/>
          <w:sz w:val="24"/>
          <w:szCs w:val="24"/>
          <w:lang w:val="en-US" w:eastAsia="zh-CN"/>
        </w:rPr>
        <w:t>.</w:t>
      </w:r>
      <w:r>
        <w:rPr>
          <w:color w:val="auto"/>
          <w:sz w:val="24"/>
          <w:szCs w:val="24"/>
        </w:rPr>
        <w:t>按学院规定做好校园交通、车辆、门岗和治安管理。</w:t>
      </w:r>
    </w:p>
    <w:p w14:paraId="2CE234E3">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5.</w:t>
      </w:r>
      <w:r>
        <w:rPr>
          <w:color w:val="auto"/>
          <w:sz w:val="24"/>
          <w:szCs w:val="24"/>
        </w:rPr>
        <w:t>与安全有关的日常工作和各项临时性任务（比如采购人如举行大型会议或全校性体育比赛、庆典、迎接上级单位检查和教学评估、考试、迎新等重大活动或在出现自然灾害、突发事件时，投标人应依据行业标准，根据校方管理规定与服务要求，制订切实可行的校园秩序（治安、交通）维护、消防服务整体方案和应急预案，在服务期内应组织增派自身的人员积极响应学院的要求参与工作）。</w:t>
      </w:r>
    </w:p>
    <w:p w14:paraId="6BB7690E">
      <w:pPr>
        <w:keepNext w:val="0"/>
        <w:keepLines w:val="0"/>
        <w:pageBreakBefore w:val="0"/>
        <w:widowControl w:val="0"/>
        <w:kinsoku/>
        <w:wordWrap/>
        <w:overflowPunct/>
        <w:topLinePunct w:val="0"/>
        <w:autoSpaceDE w:val="0"/>
        <w:autoSpaceDN w:val="0"/>
        <w:bidi w:val="0"/>
        <w:adjustRightInd/>
        <w:snapToGrid/>
        <w:spacing w:line="440" w:lineRule="exact"/>
        <w:ind w:firstLine="480" w:firstLineChars="200"/>
        <w:textAlignment w:val="auto"/>
        <w:rPr>
          <w:rFonts w:hint="default" w:eastAsia="宋体"/>
          <w:color w:val="auto"/>
          <w:sz w:val="24"/>
          <w:szCs w:val="24"/>
          <w:lang w:val="en-US" w:eastAsia="zh-CN"/>
        </w:rPr>
      </w:pPr>
      <w:r>
        <w:rPr>
          <w:rFonts w:hint="eastAsia" w:ascii="宋体" w:hAnsi="宋体" w:eastAsia="宋体" w:cs="宋体"/>
          <w:color w:val="auto"/>
          <w:sz w:val="24"/>
          <w:szCs w:val="24"/>
        </w:rPr>
        <w:t>6.负责校园视频监控、消防监控、防盗报警等全套技防设施的日常巡查与管理配合工作。</w:t>
      </w:r>
      <w:r>
        <w:rPr>
          <w:color w:val="auto"/>
          <w:sz w:val="24"/>
          <w:szCs w:val="24"/>
        </w:rPr>
        <w:t>投标人</w:t>
      </w:r>
      <w:r>
        <w:rPr>
          <w:rFonts w:hint="eastAsia" w:ascii="宋体" w:hAnsi="宋体" w:eastAsia="宋体" w:cs="宋体"/>
          <w:color w:val="auto"/>
          <w:sz w:val="24"/>
          <w:szCs w:val="24"/>
        </w:rPr>
        <w:t>需在日常巡逻中检查技防设施的运行状态（如设备是否在线、外观是否完好、有无遮挡），发现故障或异常应立即上报采购人保卫部门，并做好故障期间的临时看护与应急处置。中标人应协助采购人建立完善的技防设施管理台账，配合专业维保单位进行设备维修、测试及验收工作，确保技防系统始终处于良好备用状态。</w:t>
      </w:r>
    </w:p>
    <w:p w14:paraId="246407AF">
      <w:pPr>
        <w:keepNext w:val="0"/>
        <w:keepLines w:val="0"/>
        <w:pageBreakBefore w:val="0"/>
        <w:widowControl w:val="0"/>
        <w:kinsoku/>
        <w:wordWrap/>
        <w:overflowPunct/>
        <w:topLinePunct w:val="0"/>
        <w:autoSpaceDE w:val="0"/>
        <w:autoSpaceDN w:val="0"/>
        <w:bidi w:val="0"/>
        <w:adjustRightInd/>
        <w:snapToGrid/>
        <w:spacing w:line="440" w:lineRule="exact"/>
        <w:textAlignment w:val="auto"/>
        <w:rPr>
          <w:rFonts w:hint="eastAsia" w:ascii="宋体" w:hAnsi="宋体" w:eastAsia="宋体" w:cs="宋体"/>
          <w:sz w:val="24"/>
          <w:szCs w:val="24"/>
        </w:rPr>
      </w:pPr>
      <w:r>
        <w:rPr>
          <w:rFonts w:hint="eastAsia" w:ascii="宋体" w:hAnsi="宋体" w:eastAsia="宋体" w:cs="宋体"/>
          <w:lang w:val="en-US" w:eastAsia="zh-CN"/>
        </w:rPr>
        <w:t>7</w:t>
      </w:r>
      <w:r>
        <w:rPr>
          <w:rFonts w:hint="eastAsia" w:ascii="宋体" w:hAnsi="宋体" w:eastAsia="宋体" w:cs="宋体"/>
          <w:sz w:val="24"/>
          <w:szCs w:val="24"/>
        </w:rPr>
        <w:t>. 服务期限与费用结算</w:t>
      </w:r>
    </w:p>
    <w:p w14:paraId="0C7CA5E3">
      <w:pPr>
        <w:keepNext w:val="0"/>
        <w:keepLines w:val="0"/>
        <w:pageBreakBefore w:val="0"/>
        <w:widowControl w:val="0"/>
        <w:kinsoku/>
        <w:wordWrap/>
        <w:overflowPunct/>
        <w:topLinePunct w:val="0"/>
        <w:autoSpaceDE w:val="0"/>
        <w:autoSpaceDN w:val="0"/>
        <w:bidi w:val="0"/>
        <w:adjustRightInd/>
        <w:snapToGrid/>
        <w:spacing w:line="44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rPr>
        <w:t>本合同总期限为</w:t>
      </w:r>
      <w:r>
        <w:rPr>
          <w:rFonts w:hint="eastAsia" w:ascii="宋体" w:hAnsi="宋体" w:eastAsia="宋体" w:cs="宋体"/>
          <w:sz w:val="24"/>
          <w:szCs w:val="24"/>
          <w:lang w:val="en-US" w:eastAsia="zh-CN"/>
        </w:rPr>
        <w:t>34个月</w:t>
      </w:r>
      <w:r>
        <w:rPr>
          <w:rFonts w:hint="eastAsia" w:ascii="宋体" w:hAnsi="宋体" w:eastAsia="宋体" w:cs="宋体"/>
          <w:sz w:val="24"/>
          <w:szCs w:val="24"/>
        </w:rPr>
        <w:t>（2026年</w:t>
      </w:r>
      <w:r>
        <w:rPr>
          <w:rFonts w:hint="eastAsia" w:ascii="宋体" w:hAnsi="宋体" w:eastAsia="宋体" w:cs="宋体"/>
          <w:sz w:val="24"/>
          <w:szCs w:val="24"/>
          <w:lang w:val="en-US" w:eastAsia="zh-CN"/>
        </w:rPr>
        <w:t>9</w:t>
      </w:r>
      <w:r>
        <w:rPr>
          <w:rFonts w:hint="eastAsia" w:ascii="宋体" w:hAnsi="宋体" w:eastAsia="宋体" w:cs="宋体"/>
          <w:sz w:val="24"/>
          <w:szCs w:val="24"/>
        </w:rPr>
        <w:t>月</w:t>
      </w:r>
      <w:r>
        <w:rPr>
          <w:rFonts w:hint="eastAsia" w:ascii="宋体" w:hAnsi="宋体" w:eastAsia="宋体" w:cs="宋体"/>
          <w:sz w:val="24"/>
          <w:szCs w:val="24"/>
          <w:lang w:val="en-US" w:eastAsia="zh-CN"/>
        </w:rPr>
        <w:t>30</w:t>
      </w:r>
      <w:r>
        <w:rPr>
          <w:rFonts w:hint="eastAsia" w:ascii="宋体" w:hAnsi="宋体" w:eastAsia="宋体" w:cs="宋体"/>
          <w:sz w:val="24"/>
          <w:szCs w:val="24"/>
        </w:rPr>
        <w:t>日至2029年</w:t>
      </w:r>
      <w:r>
        <w:rPr>
          <w:rFonts w:hint="eastAsia" w:ascii="宋体" w:hAnsi="宋体" w:eastAsia="宋体" w:cs="宋体"/>
          <w:sz w:val="24"/>
          <w:szCs w:val="24"/>
          <w:lang w:val="en-US" w:eastAsia="zh-CN"/>
        </w:rPr>
        <w:t>7</w:t>
      </w:r>
      <w:r>
        <w:rPr>
          <w:rFonts w:hint="eastAsia" w:ascii="宋体" w:hAnsi="宋体" w:eastAsia="宋体" w:cs="宋体"/>
          <w:sz w:val="24"/>
          <w:szCs w:val="24"/>
        </w:rPr>
        <w:t>月</w:t>
      </w:r>
      <w:r>
        <w:rPr>
          <w:rFonts w:hint="eastAsia" w:ascii="宋体" w:hAnsi="宋体" w:eastAsia="宋体" w:cs="宋体"/>
          <w:sz w:val="24"/>
          <w:szCs w:val="24"/>
          <w:lang w:val="en-US" w:eastAsia="zh-CN"/>
        </w:rPr>
        <w:t>31</w:t>
      </w:r>
      <w:r>
        <w:rPr>
          <w:rFonts w:hint="eastAsia" w:ascii="宋体" w:hAnsi="宋体" w:eastAsia="宋体" w:cs="宋体"/>
          <w:sz w:val="24"/>
          <w:szCs w:val="24"/>
        </w:rPr>
        <w:t>日），实行“单价包干、分段据实结算”，总预算为11,121,000.00元（人民币壹仟壹佰壹拾贰万壹仟元整）。具体执行如下：</w:t>
      </w:r>
      <w:r>
        <w:rPr>
          <w:rFonts w:hint="eastAsia" w:ascii="宋体" w:hAnsi="宋体" w:eastAsia="宋体" w:cs="宋体"/>
          <w:sz w:val="24"/>
          <w:szCs w:val="24"/>
        </w:rPr>
        <w:br w:type="textWrapping"/>
      </w:r>
      <w:r>
        <w:rPr>
          <w:rFonts w:hint="eastAsia" w:ascii="宋体" w:hAnsi="宋体" w:eastAsia="宋体" w:cs="宋体"/>
          <w:sz w:val="24"/>
          <w:szCs w:val="24"/>
        </w:rPr>
        <w:t>（1）</w:t>
      </w:r>
      <w:r>
        <w:rPr>
          <w:rFonts w:hint="eastAsia" w:ascii="宋体" w:hAnsi="宋体" w:eastAsia="宋体" w:cs="宋体"/>
          <w:sz w:val="24"/>
          <w:szCs w:val="24"/>
          <w:lang w:val="en-US" w:eastAsia="zh-CN"/>
        </w:rPr>
        <w:t>第一阶段（2026年9月30日至2028年9月29日）：按中标实际人数提供服务，该阶段两年总预算为人民币8,448,000.00元（人民币捌佰</w:t>
      </w:r>
      <w:r>
        <w:rPr>
          <w:rFonts w:hint="default" w:ascii="宋体" w:hAnsi="宋体" w:eastAsia="宋体" w:cs="宋体"/>
          <w:sz w:val="24"/>
          <w:szCs w:val="24"/>
          <w:lang w:val="en-US" w:eastAsia="zh-CN"/>
        </w:rPr>
        <w:t>肆</w:t>
      </w:r>
      <w:r>
        <w:rPr>
          <w:rFonts w:hint="eastAsia" w:ascii="宋体" w:hAnsi="宋体" w:eastAsia="宋体" w:cs="宋体"/>
          <w:sz w:val="24"/>
          <w:szCs w:val="24"/>
          <w:lang w:val="en-US" w:eastAsia="zh-CN"/>
        </w:rPr>
        <w:t>拾</w:t>
      </w:r>
      <w:r>
        <w:rPr>
          <w:rFonts w:hint="default" w:ascii="宋体" w:hAnsi="宋体" w:eastAsia="宋体" w:cs="宋体"/>
          <w:sz w:val="24"/>
          <w:szCs w:val="24"/>
          <w:lang w:val="en-US" w:eastAsia="zh-CN"/>
        </w:rPr>
        <w:t>肆</w:t>
      </w:r>
      <w:r>
        <w:rPr>
          <w:rFonts w:hint="eastAsia" w:ascii="宋体" w:hAnsi="宋体" w:eastAsia="宋体" w:cs="宋体"/>
          <w:color w:val="auto"/>
          <w:sz w:val="24"/>
          <w:szCs w:val="24"/>
          <w:lang w:val="en-US" w:eastAsia="zh-CN"/>
        </w:rPr>
        <w:t>万</w:t>
      </w:r>
      <w:r>
        <w:rPr>
          <w:rFonts w:hint="eastAsia" w:ascii="宋体" w:hAnsi="宋体" w:eastAsia="宋体" w:cs="宋体"/>
          <w:sz w:val="24"/>
          <w:szCs w:val="24"/>
          <w:lang w:val="en-US" w:eastAsia="zh-CN"/>
        </w:rPr>
        <w:t>捌仟元整）。</w:t>
      </w:r>
    </w:p>
    <w:p w14:paraId="0CF8E2CC">
      <w:pPr>
        <w:keepNext w:val="0"/>
        <w:keepLines w:val="0"/>
        <w:pageBreakBefore w:val="0"/>
        <w:widowControl w:val="0"/>
        <w:kinsoku/>
        <w:wordWrap/>
        <w:overflowPunct/>
        <w:topLinePunct w:val="0"/>
        <w:autoSpaceDE w:val="0"/>
        <w:autoSpaceDN w:val="0"/>
        <w:bidi w:val="0"/>
        <w:adjustRightInd/>
        <w:snapToGrid/>
        <w:spacing w:line="440" w:lineRule="exact"/>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sz w:val="24"/>
          <w:szCs w:val="24"/>
          <w:lang w:val="en-US" w:eastAsia="zh-CN"/>
        </w:rPr>
        <w:t>说明：因原南北苑保安与现有保安队的合同相差1个月，需扣除南北苑和附小（共14人）1个月的服务费用，</w:t>
      </w:r>
      <w:r>
        <w:rPr>
          <w:rFonts w:hint="eastAsia" w:ascii="宋体" w:hAnsi="宋体" w:eastAsia="宋体" w:cs="宋体"/>
          <w:color w:val="auto"/>
          <w:sz w:val="24"/>
          <w:szCs w:val="24"/>
          <w:lang w:val="en-US" w:eastAsia="zh-CN"/>
        </w:rPr>
        <w:t>减少1个月支出人民币77,000.00元（人民币柒万柒仟元整），调整后预算金额为人民币8,371,000.00元（人民币捌佰叁拾柒万壹仟元整）。</w:t>
      </w:r>
    </w:p>
    <w:p w14:paraId="0369E622">
      <w:pPr>
        <w:keepNext w:val="0"/>
        <w:keepLines w:val="0"/>
        <w:pageBreakBefore w:val="0"/>
        <w:widowControl w:val="0"/>
        <w:kinsoku/>
        <w:wordWrap/>
        <w:overflowPunct/>
        <w:topLinePunct w:val="0"/>
        <w:autoSpaceDE w:val="0"/>
        <w:autoSpaceDN w:val="0"/>
        <w:bidi w:val="0"/>
        <w:adjustRightInd/>
        <w:snapToGrid/>
        <w:spacing w:line="440" w:lineRule="exact"/>
        <w:textAlignment w:val="auto"/>
        <w:rPr>
          <w:sz w:val="24"/>
          <w:szCs w:val="24"/>
        </w:rPr>
      </w:pPr>
      <w:r>
        <w:rPr>
          <w:rFonts w:hint="eastAsia"/>
          <w:sz w:val="24"/>
          <w:szCs w:val="24"/>
        </w:rPr>
        <w:t>（2）第二阶段（2028年</w:t>
      </w:r>
      <w:r>
        <w:rPr>
          <w:rFonts w:hint="eastAsia"/>
          <w:sz w:val="24"/>
          <w:szCs w:val="24"/>
          <w:lang w:val="en-US" w:eastAsia="zh-CN"/>
        </w:rPr>
        <w:t>9</w:t>
      </w:r>
      <w:r>
        <w:rPr>
          <w:rFonts w:hint="eastAsia"/>
          <w:sz w:val="24"/>
          <w:szCs w:val="24"/>
        </w:rPr>
        <w:t>月</w:t>
      </w:r>
      <w:r>
        <w:rPr>
          <w:rFonts w:hint="eastAsia"/>
          <w:sz w:val="24"/>
          <w:szCs w:val="24"/>
          <w:lang w:val="en-US" w:eastAsia="zh-CN"/>
        </w:rPr>
        <w:t>30</w:t>
      </w:r>
      <w:r>
        <w:rPr>
          <w:rFonts w:hint="eastAsia"/>
          <w:sz w:val="24"/>
          <w:szCs w:val="24"/>
        </w:rPr>
        <w:t>日至2029年</w:t>
      </w:r>
      <w:r>
        <w:rPr>
          <w:rFonts w:hint="eastAsia"/>
          <w:sz w:val="24"/>
          <w:szCs w:val="24"/>
          <w:lang w:val="en-US" w:eastAsia="zh-CN"/>
        </w:rPr>
        <w:t>7</w:t>
      </w:r>
      <w:r>
        <w:rPr>
          <w:rFonts w:hint="eastAsia"/>
          <w:sz w:val="24"/>
          <w:szCs w:val="24"/>
        </w:rPr>
        <w:t>月</w:t>
      </w:r>
      <w:r>
        <w:rPr>
          <w:rFonts w:hint="eastAsia"/>
          <w:sz w:val="24"/>
          <w:szCs w:val="24"/>
          <w:lang w:val="en-US" w:eastAsia="zh-CN"/>
        </w:rPr>
        <w:t>31</w:t>
      </w:r>
      <w:r>
        <w:rPr>
          <w:rFonts w:hint="eastAsia"/>
          <w:sz w:val="24"/>
          <w:szCs w:val="24"/>
        </w:rPr>
        <w:t>日）：因甲方规划调整，乙方须撤出南北苑区域约</w:t>
      </w:r>
      <w:r>
        <w:rPr>
          <w:rFonts w:hint="eastAsia"/>
          <w:sz w:val="24"/>
          <w:szCs w:val="24"/>
          <w:lang w:val="en-US" w:eastAsia="zh-CN"/>
        </w:rPr>
        <w:t>14</w:t>
      </w:r>
      <w:r>
        <w:rPr>
          <w:rFonts w:hint="eastAsia"/>
          <w:sz w:val="24"/>
          <w:szCs w:val="24"/>
        </w:rPr>
        <w:t>名安保人员（以实际核减为准），仅保留银屏岭、海珠等校区岗位。该</w:t>
      </w:r>
      <w:r>
        <w:rPr>
          <w:rFonts w:hint="eastAsia"/>
          <w:sz w:val="24"/>
          <w:szCs w:val="24"/>
          <w:lang w:val="en-US" w:eastAsia="zh-CN"/>
        </w:rPr>
        <w:t>10个月</w:t>
      </w:r>
      <w:r>
        <w:rPr>
          <w:rFonts w:hint="eastAsia"/>
          <w:sz w:val="24"/>
          <w:szCs w:val="24"/>
        </w:rPr>
        <w:t>费用将在原标准基础上扣减相应人员费用（即：扣除金额=单人月度综合服务费×实际核减人数×1</w:t>
      </w:r>
      <w:r>
        <w:rPr>
          <w:rFonts w:hint="eastAsia"/>
          <w:sz w:val="24"/>
          <w:szCs w:val="24"/>
          <w:lang w:val="en-US" w:eastAsia="zh-CN"/>
        </w:rPr>
        <w:t>0</w:t>
      </w:r>
      <w:r>
        <w:rPr>
          <w:rFonts w:hint="eastAsia"/>
          <w:sz w:val="24"/>
          <w:szCs w:val="24"/>
        </w:rPr>
        <w:t>个月）。</w:t>
      </w:r>
      <w:r>
        <w:rPr>
          <w:rFonts w:ascii="Segoe UI" w:hAnsi="Segoe UI" w:eastAsia="Segoe UI" w:cs="Segoe UI"/>
          <w:i w:val="0"/>
          <w:iCs w:val="0"/>
          <w:caps w:val="0"/>
          <w:spacing w:val="4"/>
          <w:sz w:val="24"/>
          <w:szCs w:val="24"/>
          <w:shd w:val="clear" w:fill="FFFFFF"/>
        </w:rPr>
        <w:t>若因规划调整导致月份数变化，以实际服务时长为准。</w:t>
      </w:r>
      <w:r>
        <w:rPr>
          <w:rFonts w:hint="eastAsia"/>
          <w:sz w:val="24"/>
          <w:szCs w:val="24"/>
        </w:rPr>
        <w:br w:type="textWrapping"/>
      </w:r>
      <w:r>
        <w:rPr>
          <w:rFonts w:hint="eastAsia"/>
          <w:sz w:val="24"/>
          <w:szCs w:val="24"/>
        </w:rPr>
        <w:t>（3）履约承诺：乙方已充分知悉上述安排，承诺无条件配合第二阶段的人员撤离工作，并确保保留区域的安保服务质量不降低。最终结算总价以各阶段实际在岗人数及约定单价核算为准。</w:t>
      </w:r>
    </w:p>
    <w:p w14:paraId="79C61C8D">
      <w:pPr>
        <w:keepNext w:val="0"/>
        <w:keepLines w:val="0"/>
        <w:pageBreakBefore w:val="0"/>
        <w:widowControl w:val="0"/>
        <w:numPr>
          <w:ilvl w:val="0"/>
          <w:numId w:val="0"/>
        </w:numPr>
        <w:kinsoku/>
        <w:wordWrap/>
        <w:overflowPunct/>
        <w:topLinePunct w:val="0"/>
        <w:autoSpaceDE w:val="0"/>
        <w:autoSpaceDN w:val="0"/>
        <w:bidi w:val="0"/>
        <w:adjustRightInd/>
        <w:snapToGrid/>
        <w:spacing w:line="400" w:lineRule="exact"/>
        <w:ind w:right="0" w:rightChars="0"/>
        <w:textAlignment w:val="auto"/>
        <w:rPr>
          <w:color w:val="auto"/>
          <w:sz w:val="24"/>
          <w:szCs w:val="24"/>
        </w:rPr>
      </w:pPr>
      <w:r>
        <w:rPr>
          <w:rFonts w:hint="eastAsia"/>
          <w:color w:val="auto"/>
          <w:sz w:val="24"/>
          <w:szCs w:val="24"/>
          <w:lang w:val="en-US" w:eastAsia="zh-CN"/>
        </w:rPr>
        <w:t>8</w:t>
      </w:r>
      <w:r>
        <w:rPr>
          <w:rFonts w:hint="eastAsia"/>
          <w:color w:val="auto"/>
          <w:sz w:val="24"/>
          <w:szCs w:val="24"/>
        </w:rPr>
        <w:t>.安保服务岗位设置和保安员人数计算</w:t>
      </w:r>
    </w:p>
    <w:p w14:paraId="1E9174EF">
      <w:pPr>
        <w:keepNext w:val="0"/>
        <w:keepLines w:val="0"/>
        <w:pageBreakBefore w:val="0"/>
        <w:widowControl w:val="0"/>
        <w:kinsoku/>
        <w:wordWrap/>
        <w:overflowPunct/>
        <w:topLinePunct w:val="0"/>
        <w:autoSpaceDE w:val="0"/>
        <w:autoSpaceDN w:val="0"/>
        <w:bidi w:val="0"/>
        <w:adjustRightInd/>
        <w:snapToGrid/>
        <w:spacing w:line="600" w:lineRule="exact"/>
        <w:textAlignment w:val="auto"/>
        <w:rPr>
          <w:color w:val="auto"/>
          <w:sz w:val="24"/>
          <w:szCs w:val="24"/>
        </w:rPr>
      </w:pPr>
      <w:r>
        <w:rPr>
          <w:color w:val="auto"/>
          <w:sz w:val="24"/>
          <w:szCs w:val="24"/>
        </w:rPr>
        <w:t>按照我校目前的岗位需求，保安人数共</w:t>
      </w:r>
      <w:r>
        <w:rPr>
          <w:rFonts w:hint="eastAsia"/>
          <w:color w:val="auto"/>
          <w:sz w:val="24"/>
          <w:szCs w:val="24"/>
          <w:lang w:val="en-US" w:eastAsia="zh-CN"/>
        </w:rPr>
        <w:t>64</w:t>
      </w:r>
      <w:r>
        <w:rPr>
          <w:color w:val="auto"/>
          <w:sz w:val="24"/>
          <w:szCs w:val="24"/>
        </w:rPr>
        <w:t>人（含轮休人数）</w:t>
      </w:r>
    </w:p>
    <w:tbl>
      <w:tblPr>
        <w:tblStyle w:val="4"/>
        <w:tblW w:w="10207" w:type="dxa"/>
        <w:tblInd w:w="-1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36"/>
        <w:gridCol w:w="847"/>
        <w:gridCol w:w="3248"/>
        <w:gridCol w:w="1129"/>
        <w:gridCol w:w="2061"/>
        <w:gridCol w:w="1186"/>
      </w:tblGrid>
      <w:tr w14:paraId="3AD5E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736" w:type="dxa"/>
            <w:vAlign w:val="center"/>
          </w:tcPr>
          <w:p w14:paraId="19D6C7AB">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eastAsia="宋体"/>
                <w:color w:val="auto"/>
                <w:sz w:val="24"/>
                <w:szCs w:val="24"/>
                <w:vertAlign w:val="baseline"/>
                <w:lang w:val="en-US" w:eastAsia="zh-CN"/>
              </w:rPr>
            </w:pPr>
            <w:r>
              <w:rPr>
                <w:rFonts w:hint="eastAsia"/>
                <w:color w:val="auto"/>
                <w:sz w:val="24"/>
                <w:szCs w:val="24"/>
                <w:vertAlign w:val="baseline"/>
                <w:lang w:val="en-US" w:eastAsia="zh-CN"/>
              </w:rPr>
              <w:t>区 域</w:t>
            </w:r>
          </w:p>
        </w:tc>
        <w:tc>
          <w:tcPr>
            <w:tcW w:w="847" w:type="dxa"/>
            <w:vAlign w:val="center"/>
          </w:tcPr>
          <w:p w14:paraId="3F1F775A">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auto"/>
                <w:sz w:val="24"/>
                <w:szCs w:val="24"/>
                <w:vertAlign w:val="baseline"/>
                <w:lang w:val="en-US" w:eastAsia="zh-CN"/>
              </w:rPr>
            </w:pPr>
            <w:r>
              <w:rPr>
                <w:rFonts w:hint="eastAsia"/>
                <w:color w:val="auto"/>
                <w:sz w:val="24"/>
                <w:szCs w:val="24"/>
                <w:vertAlign w:val="baseline"/>
                <w:lang w:val="en-US" w:eastAsia="zh-CN"/>
              </w:rPr>
              <w:t>序号</w:t>
            </w:r>
          </w:p>
        </w:tc>
        <w:tc>
          <w:tcPr>
            <w:tcW w:w="3248" w:type="dxa"/>
            <w:vAlign w:val="center"/>
          </w:tcPr>
          <w:p w14:paraId="1A82582B">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岗位</w:t>
            </w:r>
            <w:r>
              <w:rPr>
                <w:rFonts w:hint="eastAsia" w:ascii="宋体" w:hAnsi="宋体" w:eastAsia="宋体" w:cs="宋体"/>
                <w:color w:val="auto"/>
                <w:sz w:val="24"/>
                <w:szCs w:val="24"/>
                <w:lang w:val="en-US" w:eastAsia="zh-CN"/>
              </w:rPr>
              <w:t>名称</w:t>
            </w:r>
          </w:p>
        </w:tc>
        <w:tc>
          <w:tcPr>
            <w:tcW w:w="1129" w:type="dxa"/>
            <w:vAlign w:val="center"/>
          </w:tcPr>
          <w:p w14:paraId="680F0C3B">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班人数</w:t>
            </w:r>
          </w:p>
        </w:tc>
        <w:tc>
          <w:tcPr>
            <w:tcW w:w="2061" w:type="dxa"/>
            <w:vAlign w:val="center"/>
          </w:tcPr>
          <w:p w14:paraId="3A55E675">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总人数</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3班倒</w:t>
            </w:r>
            <w:r>
              <w:rPr>
                <w:rFonts w:hint="eastAsia" w:ascii="宋体" w:hAnsi="宋体" w:eastAsia="宋体" w:cs="宋体"/>
                <w:color w:val="auto"/>
                <w:sz w:val="24"/>
                <w:szCs w:val="24"/>
                <w:lang w:eastAsia="zh-CN"/>
              </w:rPr>
              <w:t>）</w:t>
            </w:r>
          </w:p>
        </w:tc>
        <w:tc>
          <w:tcPr>
            <w:tcW w:w="1186" w:type="dxa"/>
          </w:tcPr>
          <w:p w14:paraId="7C59ADCB">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auto"/>
                <w:sz w:val="24"/>
                <w:szCs w:val="24"/>
                <w:vertAlign w:val="baseline"/>
                <w:lang w:val="en-US" w:eastAsia="zh-CN"/>
              </w:rPr>
            </w:pPr>
            <w:r>
              <w:rPr>
                <w:rFonts w:hint="eastAsia"/>
                <w:color w:val="auto"/>
                <w:sz w:val="24"/>
                <w:szCs w:val="24"/>
                <w:vertAlign w:val="baseline"/>
                <w:lang w:val="en-US" w:eastAsia="zh-CN"/>
              </w:rPr>
              <w:t>小计</w:t>
            </w:r>
          </w:p>
        </w:tc>
      </w:tr>
      <w:tr w14:paraId="591A0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restart"/>
            <w:vAlign w:val="center"/>
          </w:tcPr>
          <w:p w14:paraId="48A841B9">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color w:val="auto"/>
                <w:sz w:val="24"/>
                <w:szCs w:val="24"/>
                <w:vertAlign w:val="baseline"/>
              </w:rPr>
            </w:pPr>
            <w:r>
              <w:rPr>
                <w:rFonts w:hint="eastAsia" w:ascii="宋体" w:hAnsi="宋体" w:eastAsia="宋体" w:cs="宋体"/>
                <w:color w:val="auto"/>
                <w:sz w:val="24"/>
                <w:szCs w:val="24"/>
                <w:lang w:val="en-US" w:eastAsia="zh-CN"/>
              </w:rPr>
              <w:t>银屏岭校区</w:t>
            </w:r>
          </w:p>
        </w:tc>
        <w:tc>
          <w:tcPr>
            <w:tcW w:w="847" w:type="dxa"/>
            <w:vAlign w:val="center"/>
          </w:tcPr>
          <w:p w14:paraId="11C56FB2">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eastAsia="宋体"/>
                <w:color w:val="auto"/>
                <w:sz w:val="24"/>
                <w:szCs w:val="24"/>
                <w:vertAlign w:val="baseline"/>
                <w:lang w:val="en-US" w:eastAsia="zh-CN"/>
              </w:rPr>
            </w:pPr>
            <w:r>
              <w:rPr>
                <w:rFonts w:hint="eastAsia"/>
                <w:color w:val="auto"/>
                <w:sz w:val="24"/>
                <w:szCs w:val="24"/>
                <w:vertAlign w:val="baseline"/>
                <w:lang w:val="en-US" w:eastAsia="zh-CN"/>
              </w:rPr>
              <w:t>1</w:t>
            </w:r>
          </w:p>
        </w:tc>
        <w:tc>
          <w:tcPr>
            <w:tcW w:w="3248" w:type="dxa"/>
            <w:vAlign w:val="center"/>
          </w:tcPr>
          <w:p w14:paraId="390E8EFC">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队长</w:t>
            </w:r>
          </w:p>
        </w:tc>
        <w:tc>
          <w:tcPr>
            <w:tcW w:w="1129" w:type="dxa"/>
            <w:vAlign w:val="center"/>
          </w:tcPr>
          <w:p w14:paraId="482D6F80">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1</w:t>
            </w:r>
          </w:p>
        </w:tc>
        <w:tc>
          <w:tcPr>
            <w:tcW w:w="2061" w:type="dxa"/>
            <w:vAlign w:val="center"/>
          </w:tcPr>
          <w:p w14:paraId="76CE4F0A">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lang w:val="en-US" w:eastAsia="zh-CN"/>
              </w:rPr>
              <w:t>1</w:t>
            </w:r>
          </w:p>
        </w:tc>
        <w:tc>
          <w:tcPr>
            <w:tcW w:w="1186" w:type="dxa"/>
            <w:vMerge w:val="restart"/>
            <w:vAlign w:val="center"/>
          </w:tcPr>
          <w:p w14:paraId="2BC8D00F">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auto"/>
                <w:sz w:val="24"/>
                <w:szCs w:val="24"/>
                <w:vertAlign w:val="baseline"/>
                <w:lang w:val="en-US" w:eastAsia="zh-CN"/>
              </w:rPr>
            </w:pPr>
            <w:r>
              <w:rPr>
                <w:rFonts w:hint="eastAsia"/>
                <w:color w:val="auto"/>
                <w:sz w:val="24"/>
                <w:szCs w:val="24"/>
                <w:vertAlign w:val="baseline"/>
                <w:lang w:val="en-US" w:eastAsia="zh-CN"/>
              </w:rPr>
              <w:t>44</w:t>
            </w:r>
          </w:p>
        </w:tc>
      </w:tr>
      <w:tr w14:paraId="7A028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tcPr>
          <w:p w14:paraId="1C98E4B3">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c>
          <w:tcPr>
            <w:tcW w:w="847" w:type="dxa"/>
            <w:vAlign w:val="center"/>
          </w:tcPr>
          <w:p w14:paraId="6FE27FE8">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eastAsia="宋体"/>
                <w:color w:val="auto"/>
                <w:sz w:val="24"/>
                <w:szCs w:val="24"/>
                <w:vertAlign w:val="baseline"/>
                <w:lang w:val="en-US" w:eastAsia="zh-CN"/>
              </w:rPr>
            </w:pPr>
            <w:r>
              <w:rPr>
                <w:rFonts w:hint="eastAsia"/>
                <w:color w:val="auto"/>
                <w:sz w:val="24"/>
                <w:szCs w:val="24"/>
                <w:vertAlign w:val="baseline"/>
                <w:lang w:val="en-US" w:eastAsia="zh-CN"/>
              </w:rPr>
              <w:t>2</w:t>
            </w:r>
          </w:p>
        </w:tc>
        <w:tc>
          <w:tcPr>
            <w:tcW w:w="3248" w:type="dxa"/>
            <w:vAlign w:val="center"/>
          </w:tcPr>
          <w:p w14:paraId="1104D8AC">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副队长</w:t>
            </w:r>
          </w:p>
        </w:tc>
        <w:tc>
          <w:tcPr>
            <w:tcW w:w="1129" w:type="dxa"/>
            <w:vAlign w:val="center"/>
          </w:tcPr>
          <w:p w14:paraId="1DA9FD60">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lang w:val="en-US" w:eastAsia="zh-CN"/>
              </w:rPr>
              <w:t>1</w:t>
            </w:r>
          </w:p>
        </w:tc>
        <w:tc>
          <w:tcPr>
            <w:tcW w:w="2061" w:type="dxa"/>
            <w:vAlign w:val="center"/>
          </w:tcPr>
          <w:p w14:paraId="004141F7">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lang w:val="en-US" w:eastAsia="zh-CN"/>
              </w:rPr>
              <w:t>2</w:t>
            </w:r>
          </w:p>
        </w:tc>
        <w:tc>
          <w:tcPr>
            <w:tcW w:w="1186" w:type="dxa"/>
            <w:vMerge w:val="continue"/>
          </w:tcPr>
          <w:p w14:paraId="2F349CB8">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r>
      <w:tr w14:paraId="1FF02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tcPr>
          <w:p w14:paraId="47621156">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c>
          <w:tcPr>
            <w:tcW w:w="847" w:type="dxa"/>
            <w:vAlign w:val="center"/>
          </w:tcPr>
          <w:p w14:paraId="623EEA2D">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eastAsia="宋体"/>
                <w:color w:val="auto"/>
                <w:sz w:val="24"/>
                <w:szCs w:val="24"/>
                <w:vertAlign w:val="baseline"/>
                <w:lang w:val="en-US" w:eastAsia="zh-CN"/>
              </w:rPr>
            </w:pPr>
            <w:r>
              <w:rPr>
                <w:rFonts w:hint="eastAsia"/>
                <w:color w:val="auto"/>
                <w:sz w:val="24"/>
                <w:szCs w:val="24"/>
                <w:vertAlign w:val="baseline"/>
                <w:lang w:val="en-US" w:eastAsia="zh-CN"/>
              </w:rPr>
              <w:t>3</w:t>
            </w:r>
          </w:p>
        </w:tc>
        <w:tc>
          <w:tcPr>
            <w:tcW w:w="3248" w:type="dxa"/>
            <w:vAlign w:val="center"/>
          </w:tcPr>
          <w:p w14:paraId="17D18A05">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正门</w:t>
            </w:r>
          </w:p>
        </w:tc>
        <w:tc>
          <w:tcPr>
            <w:tcW w:w="1129" w:type="dxa"/>
            <w:vAlign w:val="center"/>
          </w:tcPr>
          <w:p w14:paraId="7431BE73">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2</w:t>
            </w:r>
          </w:p>
        </w:tc>
        <w:tc>
          <w:tcPr>
            <w:tcW w:w="2061" w:type="dxa"/>
            <w:vAlign w:val="center"/>
          </w:tcPr>
          <w:p w14:paraId="0B1BCA04">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6</w:t>
            </w:r>
          </w:p>
        </w:tc>
        <w:tc>
          <w:tcPr>
            <w:tcW w:w="1186" w:type="dxa"/>
            <w:vMerge w:val="continue"/>
          </w:tcPr>
          <w:p w14:paraId="64079482">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r>
      <w:tr w14:paraId="4C5E5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tcPr>
          <w:p w14:paraId="298F06A1">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c>
          <w:tcPr>
            <w:tcW w:w="847" w:type="dxa"/>
            <w:vAlign w:val="center"/>
          </w:tcPr>
          <w:p w14:paraId="1F5050A6">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eastAsia="宋体"/>
                <w:color w:val="auto"/>
                <w:sz w:val="24"/>
                <w:szCs w:val="24"/>
                <w:vertAlign w:val="baseline"/>
                <w:lang w:val="en-US" w:eastAsia="zh-CN"/>
              </w:rPr>
            </w:pPr>
            <w:r>
              <w:rPr>
                <w:rFonts w:hint="eastAsia"/>
                <w:color w:val="auto"/>
                <w:sz w:val="24"/>
                <w:szCs w:val="24"/>
                <w:vertAlign w:val="baseline"/>
                <w:lang w:val="en-US" w:eastAsia="zh-CN"/>
              </w:rPr>
              <w:t>4</w:t>
            </w:r>
          </w:p>
        </w:tc>
        <w:tc>
          <w:tcPr>
            <w:tcW w:w="3248" w:type="dxa"/>
            <w:vAlign w:val="center"/>
          </w:tcPr>
          <w:p w14:paraId="283B8EBF">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东门</w:t>
            </w:r>
          </w:p>
        </w:tc>
        <w:tc>
          <w:tcPr>
            <w:tcW w:w="1129" w:type="dxa"/>
            <w:vAlign w:val="center"/>
          </w:tcPr>
          <w:p w14:paraId="14DE0468">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rFonts w:hint="eastAsia" w:eastAsiaTheme="minorEastAsia"/>
                <w:color w:val="auto"/>
                <w:sz w:val="24"/>
                <w:szCs w:val="24"/>
                <w:vertAlign w:val="baseline"/>
                <w:lang w:eastAsia="zh-CN"/>
              </w:rPr>
            </w:pPr>
            <w:r>
              <w:rPr>
                <w:rFonts w:hint="eastAsia" w:ascii="宋体" w:hAnsi="宋体" w:eastAsia="宋体" w:cs="宋体"/>
                <w:color w:val="auto"/>
                <w:sz w:val="24"/>
                <w:szCs w:val="24"/>
                <w:lang w:val="en-US" w:eastAsia="zh-CN"/>
              </w:rPr>
              <w:t>1</w:t>
            </w:r>
          </w:p>
        </w:tc>
        <w:tc>
          <w:tcPr>
            <w:tcW w:w="2061" w:type="dxa"/>
            <w:vAlign w:val="center"/>
          </w:tcPr>
          <w:p w14:paraId="6CF31ACF">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rFonts w:hint="eastAsia" w:eastAsiaTheme="minorEastAsia"/>
                <w:color w:val="auto"/>
                <w:sz w:val="24"/>
                <w:szCs w:val="24"/>
                <w:vertAlign w:val="baseline"/>
                <w:lang w:eastAsia="zh-CN"/>
              </w:rPr>
            </w:pPr>
            <w:r>
              <w:rPr>
                <w:rFonts w:hint="eastAsia" w:ascii="宋体" w:hAnsi="宋体" w:eastAsia="宋体" w:cs="宋体"/>
                <w:color w:val="auto"/>
                <w:sz w:val="24"/>
                <w:szCs w:val="24"/>
                <w:lang w:val="en-US" w:eastAsia="zh-CN"/>
              </w:rPr>
              <w:t>3</w:t>
            </w:r>
          </w:p>
        </w:tc>
        <w:tc>
          <w:tcPr>
            <w:tcW w:w="1186" w:type="dxa"/>
            <w:vMerge w:val="continue"/>
          </w:tcPr>
          <w:p w14:paraId="41C1C2F8">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r>
      <w:tr w14:paraId="50AAE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tcPr>
          <w:p w14:paraId="2E3EE0D0">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c>
          <w:tcPr>
            <w:tcW w:w="847" w:type="dxa"/>
            <w:vAlign w:val="center"/>
          </w:tcPr>
          <w:p w14:paraId="372CFE3E">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eastAsia="宋体"/>
                <w:color w:val="auto"/>
                <w:sz w:val="24"/>
                <w:szCs w:val="24"/>
                <w:vertAlign w:val="baseline"/>
                <w:lang w:val="en-US" w:eastAsia="zh-CN"/>
              </w:rPr>
            </w:pPr>
            <w:r>
              <w:rPr>
                <w:rFonts w:hint="eastAsia"/>
                <w:color w:val="auto"/>
                <w:sz w:val="24"/>
                <w:szCs w:val="24"/>
                <w:vertAlign w:val="baseline"/>
                <w:lang w:val="en-US" w:eastAsia="zh-CN"/>
              </w:rPr>
              <w:t>5</w:t>
            </w:r>
          </w:p>
        </w:tc>
        <w:tc>
          <w:tcPr>
            <w:tcW w:w="3248" w:type="dxa"/>
            <w:vAlign w:val="center"/>
          </w:tcPr>
          <w:p w14:paraId="346070D6">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后山护林站</w:t>
            </w:r>
          </w:p>
        </w:tc>
        <w:tc>
          <w:tcPr>
            <w:tcW w:w="1129" w:type="dxa"/>
            <w:vAlign w:val="center"/>
          </w:tcPr>
          <w:p w14:paraId="303A504B">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1</w:t>
            </w:r>
          </w:p>
        </w:tc>
        <w:tc>
          <w:tcPr>
            <w:tcW w:w="2061" w:type="dxa"/>
            <w:vAlign w:val="center"/>
          </w:tcPr>
          <w:p w14:paraId="692DF34F">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3</w:t>
            </w:r>
          </w:p>
        </w:tc>
        <w:tc>
          <w:tcPr>
            <w:tcW w:w="1186" w:type="dxa"/>
            <w:vMerge w:val="continue"/>
          </w:tcPr>
          <w:p w14:paraId="306F860B">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r>
      <w:tr w14:paraId="0AC81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tcPr>
          <w:p w14:paraId="27B5352B">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c>
          <w:tcPr>
            <w:tcW w:w="847" w:type="dxa"/>
            <w:vAlign w:val="center"/>
          </w:tcPr>
          <w:p w14:paraId="4FCD2C5C">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eastAsia="宋体"/>
                <w:color w:val="auto"/>
                <w:sz w:val="24"/>
                <w:szCs w:val="24"/>
                <w:vertAlign w:val="baseline"/>
                <w:lang w:val="en-US" w:eastAsia="zh-CN"/>
              </w:rPr>
            </w:pPr>
            <w:r>
              <w:rPr>
                <w:rFonts w:hint="eastAsia"/>
                <w:color w:val="auto"/>
                <w:sz w:val="24"/>
                <w:szCs w:val="24"/>
                <w:vertAlign w:val="baseline"/>
                <w:lang w:val="en-US" w:eastAsia="zh-CN"/>
              </w:rPr>
              <w:t>6</w:t>
            </w:r>
          </w:p>
        </w:tc>
        <w:tc>
          <w:tcPr>
            <w:tcW w:w="3248" w:type="dxa"/>
            <w:vAlign w:val="center"/>
          </w:tcPr>
          <w:p w14:paraId="4F2F5224">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lang w:val="en-US" w:eastAsia="zh-CN"/>
              </w:rPr>
              <w:t>东区</w:t>
            </w:r>
            <w:r>
              <w:rPr>
                <w:rFonts w:hint="eastAsia" w:ascii="宋体" w:hAnsi="宋体" w:eastAsia="宋体" w:cs="宋体"/>
                <w:color w:val="auto"/>
                <w:sz w:val="24"/>
                <w:szCs w:val="24"/>
              </w:rPr>
              <w:t>经贸</w:t>
            </w:r>
          </w:p>
        </w:tc>
        <w:tc>
          <w:tcPr>
            <w:tcW w:w="1129" w:type="dxa"/>
            <w:vAlign w:val="center"/>
          </w:tcPr>
          <w:p w14:paraId="3D2B48D1">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1</w:t>
            </w:r>
          </w:p>
        </w:tc>
        <w:tc>
          <w:tcPr>
            <w:tcW w:w="2061" w:type="dxa"/>
            <w:vAlign w:val="center"/>
          </w:tcPr>
          <w:p w14:paraId="3C35892A">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3</w:t>
            </w:r>
          </w:p>
        </w:tc>
        <w:tc>
          <w:tcPr>
            <w:tcW w:w="1186" w:type="dxa"/>
            <w:vMerge w:val="continue"/>
          </w:tcPr>
          <w:p w14:paraId="058473DF">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r>
      <w:tr w14:paraId="09A27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tcPr>
          <w:p w14:paraId="6FE163EE">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c>
          <w:tcPr>
            <w:tcW w:w="847" w:type="dxa"/>
            <w:vAlign w:val="center"/>
          </w:tcPr>
          <w:p w14:paraId="196691A0">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eastAsia="宋体"/>
                <w:color w:val="auto"/>
                <w:sz w:val="24"/>
                <w:szCs w:val="24"/>
                <w:vertAlign w:val="baseline"/>
                <w:lang w:val="en-US" w:eastAsia="zh-CN"/>
              </w:rPr>
            </w:pPr>
            <w:r>
              <w:rPr>
                <w:rFonts w:hint="eastAsia"/>
                <w:color w:val="auto"/>
                <w:sz w:val="24"/>
                <w:szCs w:val="24"/>
                <w:vertAlign w:val="baseline"/>
                <w:lang w:val="en-US" w:eastAsia="zh-CN"/>
              </w:rPr>
              <w:t>7</w:t>
            </w:r>
          </w:p>
        </w:tc>
        <w:tc>
          <w:tcPr>
            <w:tcW w:w="3248" w:type="dxa"/>
            <w:vAlign w:val="center"/>
          </w:tcPr>
          <w:p w14:paraId="03584A78">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众创空间</w:t>
            </w:r>
          </w:p>
        </w:tc>
        <w:tc>
          <w:tcPr>
            <w:tcW w:w="1129" w:type="dxa"/>
            <w:vAlign w:val="center"/>
          </w:tcPr>
          <w:p w14:paraId="3E9F3647">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1</w:t>
            </w:r>
          </w:p>
        </w:tc>
        <w:tc>
          <w:tcPr>
            <w:tcW w:w="2061" w:type="dxa"/>
            <w:vAlign w:val="center"/>
          </w:tcPr>
          <w:p w14:paraId="5BB168B0">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1</w:t>
            </w:r>
          </w:p>
        </w:tc>
        <w:tc>
          <w:tcPr>
            <w:tcW w:w="1186" w:type="dxa"/>
            <w:vMerge w:val="continue"/>
          </w:tcPr>
          <w:p w14:paraId="5E7C6B5F">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r>
      <w:tr w14:paraId="1F7E7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tcPr>
          <w:p w14:paraId="14E857CF">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c>
          <w:tcPr>
            <w:tcW w:w="847" w:type="dxa"/>
            <w:vAlign w:val="center"/>
          </w:tcPr>
          <w:p w14:paraId="33EFCE50">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eastAsia="宋体"/>
                <w:color w:val="auto"/>
                <w:sz w:val="24"/>
                <w:szCs w:val="24"/>
                <w:vertAlign w:val="baseline"/>
                <w:lang w:val="en-US" w:eastAsia="zh-CN"/>
              </w:rPr>
            </w:pPr>
            <w:r>
              <w:rPr>
                <w:rFonts w:hint="eastAsia"/>
                <w:color w:val="auto"/>
                <w:sz w:val="24"/>
                <w:szCs w:val="24"/>
                <w:vertAlign w:val="baseline"/>
                <w:lang w:val="en-US" w:eastAsia="zh-CN"/>
              </w:rPr>
              <w:t>8</w:t>
            </w:r>
          </w:p>
        </w:tc>
        <w:tc>
          <w:tcPr>
            <w:tcW w:w="3248" w:type="dxa"/>
            <w:vAlign w:val="center"/>
          </w:tcPr>
          <w:p w14:paraId="5AD3A116">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校园巡逻</w:t>
            </w:r>
          </w:p>
        </w:tc>
        <w:tc>
          <w:tcPr>
            <w:tcW w:w="1129" w:type="dxa"/>
            <w:vAlign w:val="center"/>
          </w:tcPr>
          <w:p w14:paraId="49ED854C">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lang w:val="en-US" w:eastAsia="zh-CN"/>
              </w:rPr>
              <w:t>2</w:t>
            </w:r>
          </w:p>
        </w:tc>
        <w:tc>
          <w:tcPr>
            <w:tcW w:w="2061" w:type="dxa"/>
            <w:vAlign w:val="center"/>
          </w:tcPr>
          <w:p w14:paraId="3C5430E3">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lang w:val="en-US" w:eastAsia="zh-CN"/>
              </w:rPr>
              <w:t>6</w:t>
            </w:r>
          </w:p>
        </w:tc>
        <w:tc>
          <w:tcPr>
            <w:tcW w:w="1186" w:type="dxa"/>
            <w:vMerge w:val="continue"/>
          </w:tcPr>
          <w:p w14:paraId="27DDC977">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r>
      <w:tr w14:paraId="39D1A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tcPr>
          <w:p w14:paraId="7495848A">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c>
          <w:tcPr>
            <w:tcW w:w="847" w:type="dxa"/>
            <w:vAlign w:val="center"/>
          </w:tcPr>
          <w:p w14:paraId="659CAC00">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eastAsia="宋体"/>
                <w:color w:val="auto"/>
                <w:sz w:val="24"/>
                <w:szCs w:val="24"/>
                <w:vertAlign w:val="baseline"/>
                <w:lang w:val="en-US" w:eastAsia="zh-CN"/>
              </w:rPr>
            </w:pPr>
            <w:r>
              <w:rPr>
                <w:rFonts w:hint="eastAsia"/>
                <w:color w:val="auto"/>
                <w:sz w:val="24"/>
                <w:szCs w:val="24"/>
                <w:vertAlign w:val="baseline"/>
                <w:lang w:val="en-US" w:eastAsia="zh-CN"/>
              </w:rPr>
              <w:t>9</w:t>
            </w:r>
          </w:p>
        </w:tc>
        <w:tc>
          <w:tcPr>
            <w:tcW w:w="3248" w:type="dxa"/>
            <w:vAlign w:val="center"/>
          </w:tcPr>
          <w:p w14:paraId="7CBE2673">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lang w:val="en-US" w:eastAsia="zh-CN"/>
              </w:rPr>
              <w:t>河涌小门</w:t>
            </w:r>
          </w:p>
        </w:tc>
        <w:tc>
          <w:tcPr>
            <w:tcW w:w="1129" w:type="dxa"/>
            <w:vAlign w:val="center"/>
          </w:tcPr>
          <w:p w14:paraId="5B6B881D">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lang w:val="en-US" w:eastAsia="zh-CN"/>
              </w:rPr>
              <w:t>1</w:t>
            </w:r>
          </w:p>
        </w:tc>
        <w:tc>
          <w:tcPr>
            <w:tcW w:w="2061" w:type="dxa"/>
            <w:vAlign w:val="center"/>
          </w:tcPr>
          <w:p w14:paraId="70345733">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lang w:val="en-US" w:eastAsia="zh-CN"/>
              </w:rPr>
              <w:t>3</w:t>
            </w:r>
          </w:p>
        </w:tc>
        <w:tc>
          <w:tcPr>
            <w:tcW w:w="1186" w:type="dxa"/>
            <w:vMerge w:val="continue"/>
          </w:tcPr>
          <w:p w14:paraId="3C354FC4">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r>
      <w:tr w14:paraId="0FEA7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tcPr>
          <w:p w14:paraId="1473589E">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c>
          <w:tcPr>
            <w:tcW w:w="847" w:type="dxa"/>
            <w:vAlign w:val="center"/>
          </w:tcPr>
          <w:p w14:paraId="2947530F">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auto"/>
                <w:sz w:val="24"/>
                <w:szCs w:val="24"/>
                <w:vertAlign w:val="baseline"/>
                <w:lang w:val="en-US" w:eastAsia="zh-CN"/>
              </w:rPr>
            </w:pPr>
            <w:r>
              <w:rPr>
                <w:rFonts w:hint="eastAsia"/>
                <w:color w:val="auto"/>
                <w:sz w:val="24"/>
                <w:szCs w:val="24"/>
                <w:vertAlign w:val="baseline"/>
                <w:lang w:val="en-US" w:eastAsia="zh-CN"/>
              </w:rPr>
              <w:t>10</w:t>
            </w:r>
          </w:p>
        </w:tc>
        <w:tc>
          <w:tcPr>
            <w:tcW w:w="3248" w:type="dxa"/>
            <w:vAlign w:val="center"/>
          </w:tcPr>
          <w:p w14:paraId="7B47CF8D">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lang w:val="en-US" w:eastAsia="zh-CN"/>
              </w:rPr>
              <w:t>树木公园</w:t>
            </w:r>
          </w:p>
        </w:tc>
        <w:tc>
          <w:tcPr>
            <w:tcW w:w="1129" w:type="dxa"/>
            <w:vAlign w:val="center"/>
          </w:tcPr>
          <w:p w14:paraId="7E897146">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lang w:val="en-US" w:eastAsia="zh-CN"/>
              </w:rPr>
              <w:t>1</w:t>
            </w:r>
          </w:p>
        </w:tc>
        <w:tc>
          <w:tcPr>
            <w:tcW w:w="2061" w:type="dxa"/>
            <w:vAlign w:val="center"/>
          </w:tcPr>
          <w:p w14:paraId="3B5FE853">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snapToGrid w:val="0"/>
                <w:color w:val="auto"/>
                <w:kern w:val="0"/>
                <w:sz w:val="24"/>
                <w:szCs w:val="24"/>
                <w:lang w:val="en-US" w:eastAsia="zh-CN" w:bidi="ar-SA"/>
              </w:rPr>
              <w:t>3</w:t>
            </w:r>
          </w:p>
        </w:tc>
        <w:tc>
          <w:tcPr>
            <w:tcW w:w="1186" w:type="dxa"/>
            <w:vMerge w:val="continue"/>
          </w:tcPr>
          <w:p w14:paraId="5643D990">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r>
      <w:tr w14:paraId="314B9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tcPr>
          <w:p w14:paraId="7ED5E1A4">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c>
          <w:tcPr>
            <w:tcW w:w="847" w:type="dxa"/>
            <w:vAlign w:val="center"/>
          </w:tcPr>
          <w:p w14:paraId="6CCCE5F6">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C00000"/>
                <w:sz w:val="24"/>
                <w:szCs w:val="24"/>
                <w:vertAlign w:val="baseline"/>
                <w:lang w:val="en-US" w:eastAsia="zh-CN"/>
              </w:rPr>
            </w:pPr>
            <w:r>
              <w:rPr>
                <w:rFonts w:hint="eastAsia"/>
                <w:color w:val="C00000"/>
                <w:sz w:val="24"/>
                <w:szCs w:val="24"/>
                <w:vertAlign w:val="baseline"/>
                <w:lang w:val="en-US" w:eastAsia="zh-CN"/>
              </w:rPr>
              <w:t>11</w:t>
            </w:r>
          </w:p>
        </w:tc>
        <w:tc>
          <w:tcPr>
            <w:tcW w:w="3248" w:type="dxa"/>
            <w:vAlign w:val="center"/>
          </w:tcPr>
          <w:p w14:paraId="524B59E9">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地铁小门</w:t>
            </w:r>
          </w:p>
        </w:tc>
        <w:tc>
          <w:tcPr>
            <w:tcW w:w="1129" w:type="dxa"/>
            <w:vAlign w:val="center"/>
          </w:tcPr>
          <w:p w14:paraId="5A2D561D">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1</w:t>
            </w:r>
          </w:p>
        </w:tc>
        <w:tc>
          <w:tcPr>
            <w:tcW w:w="2061" w:type="dxa"/>
            <w:vAlign w:val="center"/>
          </w:tcPr>
          <w:p w14:paraId="6142B2B0">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1</w:t>
            </w:r>
          </w:p>
        </w:tc>
        <w:tc>
          <w:tcPr>
            <w:tcW w:w="1186" w:type="dxa"/>
            <w:vMerge w:val="continue"/>
          </w:tcPr>
          <w:p w14:paraId="51EF46C6">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r>
      <w:tr w14:paraId="72E06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tcPr>
          <w:p w14:paraId="349DD663">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c>
          <w:tcPr>
            <w:tcW w:w="847" w:type="dxa"/>
            <w:vAlign w:val="center"/>
          </w:tcPr>
          <w:p w14:paraId="3A8DBD87">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C00000"/>
                <w:sz w:val="24"/>
                <w:szCs w:val="24"/>
                <w:vertAlign w:val="baseline"/>
                <w:lang w:val="en-US" w:eastAsia="zh-CN"/>
              </w:rPr>
            </w:pPr>
            <w:r>
              <w:rPr>
                <w:rFonts w:hint="eastAsia"/>
                <w:color w:val="C00000"/>
                <w:sz w:val="24"/>
                <w:szCs w:val="24"/>
                <w:vertAlign w:val="baseline"/>
                <w:lang w:val="en-US" w:eastAsia="zh-CN"/>
              </w:rPr>
              <w:t>12</w:t>
            </w:r>
          </w:p>
        </w:tc>
        <w:tc>
          <w:tcPr>
            <w:tcW w:w="3248" w:type="dxa"/>
            <w:vAlign w:val="center"/>
          </w:tcPr>
          <w:p w14:paraId="251A6850">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rFonts w:hint="default"/>
                <w:color w:val="C00000"/>
                <w:sz w:val="24"/>
                <w:szCs w:val="24"/>
                <w:vertAlign w:val="baseline"/>
                <w:lang w:val="en-US"/>
              </w:rPr>
            </w:pPr>
            <w:r>
              <w:rPr>
                <w:rFonts w:hint="eastAsia" w:ascii="宋体" w:hAnsi="宋体" w:eastAsia="宋体" w:cs="宋体"/>
                <w:color w:val="C00000"/>
                <w:sz w:val="24"/>
                <w:szCs w:val="24"/>
                <w:lang w:val="en-US" w:eastAsia="zh-CN"/>
              </w:rPr>
              <w:t>校办公大楼</w:t>
            </w:r>
            <w:r>
              <w:rPr>
                <w:rFonts w:hint="eastAsia" w:cs="宋体"/>
                <w:color w:val="C00000"/>
                <w:sz w:val="24"/>
                <w:szCs w:val="24"/>
                <w:lang w:val="en-US" w:eastAsia="zh-CN"/>
              </w:rPr>
              <w:t>与</w:t>
            </w:r>
            <w:r>
              <w:rPr>
                <w:rFonts w:hint="eastAsia" w:ascii="宋体" w:hAnsi="宋体" w:eastAsia="宋体" w:cs="宋体"/>
                <w:color w:val="C00000"/>
                <w:sz w:val="24"/>
                <w:szCs w:val="24"/>
                <w:lang w:val="en-US" w:eastAsia="zh-CN"/>
              </w:rPr>
              <w:t>教学楼</w:t>
            </w:r>
          </w:p>
        </w:tc>
        <w:tc>
          <w:tcPr>
            <w:tcW w:w="1129" w:type="dxa"/>
            <w:vAlign w:val="center"/>
          </w:tcPr>
          <w:p w14:paraId="41BF6E05">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1</w:t>
            </w:r>
          </w:p>
        </w:tc>
        <w:tc>
          <w:tcPr>
            <w:tcW w:w="2061" w:type="dxa"/>
            <w:vAlign w:val="center"/>
          </w:tcPr>
          <w:p w14:paraId="197DE766">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3</w:t>
            </w:r>
          </w:p>
        </w:tc>
        <w:tc>
          <w:tcPr>
            <w:tcW w:w="1186" w:type="dxa"/>
            <w:vMerge w:val="continue"/>
          </w:tcPr>
          <w:p w14:paraId="382BD49A">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r>
      <w:tr w14:paraId="152AD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tcPr>
          <w:p w14:paraId="02E5D8BA">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c>
          <w:tcPr>
            <w:tcW w:w="847" w:type="dxa"/>
            <w:vAlign w:val="center"/>
          </w:tcPr>
          <w:p w14:paraId="21ABD2CC">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C00000"/>
                <w:sz w:val="24"/>
                <w:szCs w:val="24"/>
                <w:vertAlign w:val="baseline"/>
                <w:lang w:val="en-US" w:eastAsia="zh-CN"/>
              </w:rPr>
            </w:pPr>
            <w:r>
              <w:rPr>
                <w:rFonts w:hint="eastAsia"/>
                <w:color w:val="C00000"/>
                <w:sz w:val="24"/>
                <w:szCs w:val="24"/>
                <w:vertAlign w:val="baseline"/>
                <w:lang w:val="en-US" w:eastAsia="zh-CN"/>
              </w:rPr>
              <w:t>13</w:t>
            </w:r>
          </w:p>
        </w:tc>
        <w:tc>
          <w:tcPr>
            <w:tcW w:w="3248" w:type="dxa"/>
            <w:vAlign w:val="center"/>
          </w:tcPr>
          <w:p w14:paraId="6FA792E5">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学生公寓3栋消防与监控室</w:t>
            </w:r>
          </w:p>
        </w:tc>
        <w:tc>
          <w:tcPr>
            <w:tcW w:w="1129" w:type="dxa"/>
            <w:vAlign w:val="center"/>
          </w:tcPr>
          <w:p w14:paraId="4E9359A3">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1</w:t>
            </w:r>
          </w:p>
        </w:tc>
        <w:tc>
          <w:tcPr>
            <w:tcW w:w="2061" w:type="dxa"/>
            <w:vAlign w:val="center"/>
          </w:tcPr>
          <w:p w14:paraId="053F58AF">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3</w:t>
            </w:r>
          </w:p>
        </w:tc>
        <w:tc>
          <w:tcPr>
            <w:tcW w:w="1186" w:type="dxa"/>
            <w:vMerge w:val="continue"/>
          </w:tcPr>
          <w:p w14:paraId="2F714048">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r>
      <w:tr w14:paraId="3A579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tcPr>
          <w:p w14:paraId="0F870B4C">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c>
          <w:tcPr>
            <w:tcW w:w="847" w:type="dxa"/>
            <w:vAlign w:val="center"/>
          </w:tcPr>
          <w:p w14:paraId="1F16ED34">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C00000"/>
                <w:sz w:val="24"/>
                <w:szCs w:val="24"/>
                <w:vertAlign w:val="baseline"/>
                <w:lang w:val="en-US" w:eastAsia="zh-CN"/>
              </w:rPr>
            </w:pPr>
            <w:r>
              <w:rPr>
                <w:rFonts w:hint="eastAsia"/>
                <w:color w:val="C00000"/>
                <w:sz w:val="24"/>
                <w:szCs w:val="24"/>
                <w:vertAlign w:val="baseline"/>
                <w:lang w:val="en-US" w:eastAsia="zh-CN"/>
              </w:rPr>
              <w:t>14</w:t>
            </w:r>
          </w:p>
        </w:tc>
        <w:tc>
          <w:tcPr>
            <w:tcW w:w="3248" w:type="dxa"/>
            <w:vAlign w:val="center"/>
          </w:tcPr>
          <w:p w14:paraId="38485C36">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学生公寓区（2栋）</w:t>
            </w:r>
          </w:p>
        </w:tc>
        <w:tc>
          <w:tcPr>
            <w:tcW w:w="1129" w:type="dxa"/>
            <w:vAlign w:val="center"/>
          </w:tcPr>
          <w:p w14:paraId="7A3BC65D">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1</w:t>
            </w:r>
          </w:p>
        </w:tc>
        <w:tc>
          <w:tcPr>
            <w:tcW w:w="2061" w:type="dxa"/>
            <w:vAlign w:val="center"/>
          </w:tcPr>
          <w:p w14:paraId="61B1BFEB">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3</w:t>
            </w:r>
          </w:p>
        </w:tc>
        <w:tc>
          <w:tcPr>
            <w:tcW w:w="1186" w:type="dxa"/>
            <w:vMerge w:val="continue"/>
          </w:tcPr>
          <w:p w14:paraId="75EBCA7D">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r>
      <w:tr w14:paraId="40828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tcPr>
          <w:p w14:paraId="375CBC4B">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c>
          <w:tcPr>
            <w:tcW w:w="847" w:type="dxa"/>
            <w:vAlign w:val="center"/>
          </w:tcPr>
          <w:p w14:paraId="0E77EC42">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C00000"/>
                <w:sz w:val="24"/>
                <w:szCs w:val="24"/>
                <w:vertAlign w:val="baseline"/>
                <w:lang w:val="en-US" w:eastAsia="zh-CN"/>
              </w:rPr>
            </w:pPr>
            <w:r>
              <w:rPr>
                <w:rFonts w:hint="eastAsia"/>
                <w:color w:val="C00000"/>
                <w:sz w:val="24"/>
                <w:szCs w:val="24"/>
                <w:vertAlign w:val="baseline"/>
                <w:lang w:val="en-US" w:eastAsia="zh-CN"/>
              </w:rPr>
              <w:t>15</w:t>
            </w:r>
          </w:p>
        </w:tc>
        <w:tc>
          <w:tcPr>
            <w:tcW w:w="3248" w:type="dxa"/>
            <w:vAlign w:val="center"/>
          </w:tcPr>
          <w:p w14:paraId="4D29726B">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rFonts w:hint="default"/>
                <w:color w:val="C00000"/>
                <w:sz w:val="24"/>
                <w:szCs w:val="24"/>
                <w:vertAlign w:val="baseline"/>
                <w:lang w:val="en-US"/>
              </w:rPr>
            </w:pPr>
            <w:r>
              <w:rPr>
                <w:rFonts w:hint="eastAsia" w:ascii="宋体" w:hAnsi="宋体" w:eastAsia="宋体" w:cs="宋体"/>
                <w:color w:val="C00000"/>
                <w:sz w:val="24"/>
                <w:szCs w:val="24"/>
                <w:lang w:val="en-US" w:eastAsia="zh-CN"/>
              </w:rPr>
              <w:t>附属小学</w:t>
            </w:r>
          </w:p>
        </w:tc>
        <w:tc>
          <w:tcPr>
            <w:tcW w:w="1129" w:type="dxa"/>
            <w:vAlign w:val="center"/>
          </w:tcPr>
          <w:p w14:paraId="383D7E38">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1</w:t>
            </w:r>
          </w:p>
        </w:tc>
        <w:tc>
          <w:tcPr>
            <w:tcW w:w="2061" w:type="dxa"/>
            <w:vAlign w:val="center"/>
          </w:tcPr>
          <w:p w14:paraId="4ECC3C76">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3</w:t>
            </w:r>
          </w:p>
        </w:tc>
        <w:tc>
          <w:tcPr>
            <w:tcW w:w="1186" w:type="dxa"/>
            <w:vMerge w:val="continue"/>
          </w:tcPr>
          <w:p w14:paraId="521CFCA1">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vertAlign w:val="baseline"/>
              </w:rPr>
            </w:pPr>
          </w:p>
        </w:tc>
      </w:tr>
      <w:tr w14:paraId="689C2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restart"/>
            <w:vAlign w:val="center"/>
          </w:tcPr>
          <w:p w14:paraId="6DCC5EF9">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color w:val="auto"/>
                <w:sz w:val="24"/>
                <w:szCs w:val="24"/>
                <w:vertAlign w:val="baseline"/>
              </w:rPr>
            </w:pPr>
            <w:r>
              <w:rPr>
                <w:rFonts w:hint="eastAsia" w:ascii="宋体" w:hAnsi="宋体" w:eastAsia="宋体" w:cs="宋体"/>
                <w:color w:val="auto"/>
                <w:sz w:val="24"/>
                <w:szCs w:val="24"/>
                <w:lang w:val="en-US" w:eastAsia="zh-CN"/>
              </w:rPr>
              <w:t>南北苑区</w:t>
            </w:r>
          </w:p>
        </w:tc>
        <w:tc>
          <w:tcPr>
            <w:tcW w:w="847" w:type="dxa"/>
            <w:vAlign w:val="center"/>
          </w:tcPr>
          <w:p w14:paraId="1ADABB4B">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C00000"/>
                <w:sz w:val="24"/>
                <w:szCs w:val="24"/>
                <w:vertAlign w:val="baseline"/>
                <w:lang w:val="en-US" w:eastAsia="zh-CN"/>
              </w:rPr>
            </w:pPr>
            <w:r>
              <w:rPr>
                <w:rFonts w:hint="eastAsia"/>
                <w:color w:val="C00000"/>
                <w:sz w:val="24"/>
                <w:szCs w:val="24"/>
                <w:vertAlign w:val="baseline"/>
                <w:lang w:val="en-US" w:eastAsia="zh-CN"/>
              </w:rPr>
              <w:t>16</w:t>
            </w:r>
          </w:p>
        </w:tc>
        <w:tc>
          <w:tcPr>
            <w:tcW w:w="3248" w:type="dxa"/>
            <w:vAlign w:val="center"/>
          </w:tcPr>
          <w:p w14:paraId="76AC12CD">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default" w:ascii="宋体" w:hAnsi="宋体" w:eastAsia="宋体" w:cs="宋体"/>
                <w:color w:val="C00000"/>
                <w:sz w:val="24"/>
                <w:szCs w:val="24"/>
              </w:rPr>
              <w:t>副</w:t>
            </w:r>
            <w:r>
              <w:rPr>
                <w:rFonts w:hint="eastAsia" w:ascii="宋体" w:hAnsi="宋体" w:eastAsia="宋体" w:cs="宋体"/>
                <w:color w:val="C00000"/>
                <w:sz w:val="24"/>
                <w:szCs w:val="24"/>
              </w:rPr>
              <w:t>队长</w:t>
            </w:r>
          </w:p>
        </w:tc>
        <w:tc>
          <w:tcPr>
            <w:tcW w:w="1129" w:type="dxa"/>
            <w:vAlign w:val="center"/>
          </w:tcPr>
          <w:p w14:paraId="20C2D8D1">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rPr>
              <w:t>1</w:t>
            </w:r>
          </w:p>
        </w:tc>
        <w:tc>
          <w:tcPr>
            <w:tcW w:w="2061" w:type="dxa"/>
            <w:vAlign w:val="center"/>
          </w:tcPr>
          <w:p w14:paraId="61BB68D1">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1</w:t>
            </w:r>
          </w:p>
        </w:tc>
        <w:tc>
          <w:tcPr>
            <w:tcW w:w="1186" w:type="dxa"/>
            <w:vMerge w:val="restart"/>
            <w:vAlign w:val="center"/>
          </w:tcPr>
          <w:p w14:paraId="5701F214">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auto"/>
                <w:sz w:val="24"/>
                <w:szCs w:val="24"/>
                <w:vertAlign w:val="baseline"/>
                <w:lang w:val="en-US" w:eastAsia="zh-CN"/>
              </w:rPr>
            </w:pPr>
            <w:r>
              <w:rPr>
                <w:rFonts w:hint="eastAsia"/>
                <w:color w:val="auto"/>
                <w:sz w:val="24"/>
                <w:szCs w:val="24"/>
                <w:vertAlign w:val="baseline"/>
                <w:lang w:val="en-US" w:eastAsia="zh-CN"/>
              </w:rPr>
              <w:t>14</w:t>
            </w:r>
          </w:p>
        </w:tc>
      </w:tr>
      <w:tr w14:paraId="00504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vAlign w:val="center"/>
          </w:tcPr>
          <w:p w14:paraId="499FBBC4">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color w:val="auto"/>
                <w:sz w:val="24"/>
                <w:szCs w:val="24"/>
                <w:vertAlign w:val="baseline"/>
              </w:rPr>
            </w:pPr>
          </w:p>
        </w:tc>
        <w:tc>
          <w:tcPr>
            <w:tcW w:w="847" w:type="dxa"/>
            <w:vAlign w:val="center"/>
          </w:tcPr>
          <w:p w14:paraId="7294C820">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C00000"/>
                <w:sz w:val="24"/>
                <w:szCs w:val="24"/>
                <w:vertAlign w:val="baseline"/>
                <w:lang w:val="en-US" w:eastAsia="zh-CN"/>
              </w:rPr>
            </w:pPr>
            <w:r>
              <w:rPr>
                <w:rFonts w:hint="eastAsia" w:eastAsia="宋体"/>
                <w:color w:val="C00000"/>
                <w:sz w:val="24"/>
                <w:szCs w:val="24"/>
                <w:vertAlign w:val="baseline"/>
                <w:lang w:val="en-US" w:eastAsia="zh-CN"/>
              </w:rPr>
              <w:t>17</w:t>
            </w:r>
          </w:p>
        </w:tc>
        <w:tc>
          <w:tcPr>
            <w:tcW w:w="3248" w:type="dxa"/>
            <w:vAlign w:val="center"/>
          </w:tcPr>
          <w:p w14:paraId="77111F43">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南苑</w:t>
            </w:r>
            <w:r>
              <w:rPr>
                <w:rFonts w:hint="eastAsia" w:ascii="宋体" w:hAnsi="宋体" w:eastAsia="宋体" w:cs="宋体"/>
                <w:color w:val="C00000"/>
                <w:sz w:val="24"/>
                <w:szCs w:val="24"/>
              </w:rPr>
              <w:t>正门</w:t>
            </w:r>
            <w:r>
              <w:rPr>
                <w:rFonts w:hint="eastAsia" w:ascii="宋体" w:hAnsi="宋体" w:eastAsia="宋体" w:cs="宋体"/>
                <w:color w:val="C00000"/>
                <w:sz w:val="24"/>
                <w:szCs w:val="24"/>
                <w:lang w:eastAsia="zh-CN"/>
              </w:rPr>
              <w:t>（</w:t>
            </w:r>
            <w:r>
              <w:rPr>
                <w:rFonts w:hint="eastAsia" w:ascii="宋体" w:hAnsi="宋体" w:eastAsia="宋体" w:cs="宋体"/>
                <w:color w:val="C00000"/>
                <w:sz w:val="24"/>
                <w:szCs w:val="24"/>
                <w:lang w:val="en-US" w:eastAsia="zh-CN"/>
              </w:rPr>
              <w:t>含巡逻</w:t>
            </w:r>
            <w:r>
              <w:rPr>
                <w:rFonts w:hint="eastAsia" w:ascii="宋体" w:hAnsi="宋体" w:eastAsia="宋体" w:cs="宋体"/>
                <w:color w:val="C00000"/>
                <w:sz w:val="24"/>
                <w:szCs w:val="24"/>
                <w:lang w:eastAsia="zh-CN"/>
              </w:rPr>
              <w:t>）</w:t>
            </w:r>
          </w:p>
        </w:tc>
        <w:tc>
          <w:tcPr>
            <w:tcW w:w="1129" w:type="dxa"/>
            <w:vAlign w:val="center"/>
          </w:tcPr>
          <w:p w14:paraId="1D2F7887">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2</w:t>
            </w:r>
          </w:p>
        </w:tc>
        <w:tc>
          <w:tcPr>
            <w:tcW w:w="2061" w:type="dxa"/>
            <w:vAlign w:val="center"/>
          </w:tcPr>
          <w:p w14:paraId="4E3636B7">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6</w:t>
            </w:r>
          </w:p>
        </w:tc>
        <w:tc>
          <w:tcPr>
            <w:tcW w:w="1186" w:type="dxa"/>
            <w:vMerge w:val="continue"/>
            <w:vAlign w:val="center"/>
          </w:tcPr>
          <w:p w14:paraId="6295232B">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color w:val="auto"/>
                <w:sz w:val="24"/>
                <w:szCs w:val="24"/>
                <w:vertAlign w:val="baseline"/>
              </w:rPr>
            </w:pPr>
          </w:p>
        </w:tc>
      </w:tr>
      <w:tr w14:paraId="2C00B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vAlign w:val="center"/>
          </w:tcPr>
          <w:p w14:paraId="56A68804">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color w:val="auto"/>
                <w:sz w:val="24"/>
                <w:szCs w:val="24"/>
                <w:vertAlign w:val="baseline"/>
              </w:rPr>
            </w:pPr>
          </w:p>
        </w:tc>
        <w:tc>
          <w:tcPr>
            <w:tcW w:w="847" w:type="dxa"/>
            <w:vAlign w:val="center"/>
          </w:tcPr>
          <w:p w14:paraId="693EF640">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C00000"/>
                <w:sz w:val="24"/>
                <w:szCs w:val="24"/>
                <w:vertAlign w:val="baseline"/>
                <w:lang w:val="en-US" w:eastAsia="zh-CN"/>
              </w:rPr>
            </w:pPr>
            <w:r>
              <w:rPr>
                <w:rFonts w:hint="eastAsia" w:eastAsia="宋体"/>
                <w:color w:val="C00000"/>
                <w:sz w:val="24"/>
                <w:szCs w:val="24"/>
                <w:vertAlign w:val="baseline"/>
                <w:lang w:val="en-US" w:eastAsia="zh-CN"/>
              </w:rPr>
              <w:t>18</w:t>
            </w:r>
          </w:p>
        </w:tc>
        <w:tc>
          <w:tcPr>
            <w:tcW w:w="3248" w:type="dxa"/>
            <w:vAlign w:val="center"/>
          </w:tcPr>
          <w:p w14:paraId="77940670">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北苑东南门</w:t>
            </w:r>
          </w:p>
        </w:tc>
        <w:tc>
          <w:tcPr>
            <w:tcW w:w="1129" w:type="dxa"/>
            <w:vAlign w:val="center"/>
          </w:tcPr>
          <w:p w14:paraId="1E0E1C85">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1</w:t>
            </w:r>
          </w:p>
        </w:tc>
        <w:tc>
          <w:tcPr>
            <w:tcW w:w="2061" w:type="dxa"/>
            <w:vAlign w:val="center"/>
          </w:tcPr>
          <w:p w14:paraId="0214475F">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3</w:t>
            </w:r>
          </w:p>
        </w:tc>
        <w:tc>
          <w:tcPr>
            <w:tcW w:w="1186" w:type="dxa"/>
            <w:vMerge w:val="continue"/>
            <w:vAlign w:val="center"/>
          </w:tcPr>
          <w:p w14:paraId="2E0A979E">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color w:val="auto"/>
                <w:sz w:val="24"/>
                <w:szCs w:val="24"/>
                <w:vertAlign w:val="baseline"/>
              </w:rPr>
            </w:pPr>
          </w:p>
        </w:tc>
      </w:tr>
      <w:tr w14:paraId="205AA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vAlign w:val="center"/>
          </w:tcPr>
          <w:p w14:paraId="52DB28C0">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color w:val="auto"/>
                <w:sz w:val="24"/>
                <w:szCs w:val="24"/>
                <w:vertAlign w:val="baseline"/>
              </w:rPr>
            </w:pPr>
          </w:p>
        </w:tc>
        <w:tc>
          <w:tcPr>
            <w:tcW w:w="847" w:type="dxa"/>
            <w:vAlign w:val="center"/>
          </w:tcPr>
          <w:p w14:paraId="7C29438B">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C00000"/>
                <w:sz w:val="24"/>
                <w:szCs w:val="24"/>
                <w:vertAlign w:val="baseline"/>
                <w:lang w:val="en-US" w:eastAsia="zh-CN"/>
              </w:rPr>
            </w:pPr>
            <w:r>
              <w:rPr>
                <w:rFonts w:hint="eastAsia" w:eastAsia="宋体"/>
                <w:color w:val="C00000"/>
                <w:sz w:val="24"/>
                <w:szCs w:val="24"/>
                <w:vertAlign w:val="baseline"/>
                <w:lang w:val="en-US" w:eastAsia="zh-CN"/>
              </w:rPr>
              <w:t>19</w:t>
            </w:r>
          </w:p>
        </w:tc>
        <w:tc>
          <w:tcPr>
            <w:tcW w:w="3248" w:type="dxa"/>
            <w:vAlign w:val="center"/>
          </w:tcPr>
          <w:p w14:paraId="0EF402A6">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北苑西北门</w:t>
            </w:r>
          </w:p>
        </w:tc>
        <w:tc>
          <w:tcPr>
            <w:tcW w:w="1129" w:type="dxa"/>
            <w:vAlign w:val="center"/>
          </w:tcPr>
          <w:p w14:paraId="37F3E3F7">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1</w:t>
            </w:r>
          </w:p>
        </w:tc>
        <w:tc>
          <w:tcPr>
            <w:tcW w:w="2061" w:type="dxa"/>
            <w:vAlign w:val="center"/>
          </w:tcPr>
          <w:p w14:paraId="1B630C3A">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3</w:t>
            </w:r>
          </w:p>
        </w:tc>
        <w:tc>
          <w:tcPr>
            <w:tcW w:w="1186" w:type="dxa"/>
            <w:vMerge w:val="continue"/>
            <w:vAlign w:val="center"/>
          </w:tcPr>
          <w:p w14:paraId="2BC2915A">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color w:val="auto"/>
                <w:sz w:val="24"/>
                <w:szCs w:val="24"/>
                <w:vertAlign w:val="baseline"/>
              </w:rPr>
            </w:pPr>
          </w:p>
        </w:tc>
      </w:tr>
      <w:tr w14:paraId="3E538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Merge w:val="continue"/>
            <w:vAlign w:val="center"/>
          </w:tcPr>
          <w:p w14:paraId="1E7EAE72">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color w:val="auto"/>
                <w:sz w:val="24"/>
                <w:szCs w:val="24"/>
                <w:vertAlign w:val="baseline"/>
              </w:rPr>
            </w:pPr>
          </w:p>
        </w:tc>
        <w:tc>
          <w:tcPr>
            <w:tcW w:w="847" w:type="dxa"/>
            <w:vAlign w:val="center"/>
          </w:tcPr>
          <w:p w14:paraId="7418B535">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C00000"/>
                <w:sz w:val="24"/>
                <w:szCs w:val="24"/>
                <w:vertAlign w:val="baseline"/>
                <w:lang w:val="en-US" w:eastAsia="zh-CN"/>
              </w:rPr>
            </w:pPr>
            <w:r>
              <w:rPr>
                <w:rFonts w:hint="eastAsia" w:eastAsia="宋体"/>
                <w:color w:val="C00000"/>
                <w:sz w:val="24"/>
                <w:szCs w:val="24"/>
                <w:vertAlign w:val="baseline"/>
                <w:lang w:val="en-US" w:eastAsia="zh-CN"/>
              </w:rPr>
              <w:t>20</w:t>
            </w:r>
          </w:p>
        </w:tc>
        <w:tc>
          <w:tcPr>
            <w:tcW w:w="3248" w:type="dxa"/>
            <w:vAlign w:val="center"/>
          </w:tcPr>
          <w:p w14:paraId="5927DE34">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北苑巡逻岗</w:t>
            </w:r>
          </w:p>
        </w:tc>
        <w:tc>
          <w:tcPr>
            <w:tcW w:w="1129" w:type="dxa"/>
            <w:vAlign w:val="center"/>
          </w:tcPr>
          <w:p w14:paraId="1B127658">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1</w:t>
            </w:r>
          </w:p>
        </w:tc>
        <w:tc>
          <w:tcPr>
            <w:tcW w:w="2061" w:type="dxa"/>
            <w:vAlign w:val="center"/>
          </w:tcPr>
          <w:p w14:paraId="5DF30A40">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C00000"/>
                <w:sz w:val="24"/>
                <w:szCs w:val="24"/>
                <w:vertAlign w:val="baseline"/>
              </w:rPr>
            </w:pPr>
            <w:r>
              <w:rPr>
                <w:rFonts w:hint="eastAsia" w:ascii="宋体" w:hAnsi="宋体" w:eastAsia="宋体" w:cs="宋体"/>
                <w:color w:val="C00000"/>
                <w:sz w:val="24"/>
                <w:szCs w:val="24"/>
                <w:lang w:val="en-US" w:eastAsia="zh-CN"/>
              </w:rPr>
              <w:t>1</w:t>
            </w:r>
          </w:p>
        </w:tc>
        <w:tc>
          <w:tcPr>
            <w:tcW w:w="1186" w:type="dxa"/>
            <w:vMerge w:val="continue"/>
            <w:vAlign w:val="center"/>
          </w:tcPr>
          <w:p w14:paraId="181B418A">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color w:val="auto"/>
                <w:sz w:val="24"/>
                <w:szCs w:val="24"/>
                <w:vertAlign w:val="baseline"/>
              </w:rPr>
            </w:pPr>
          </w:p>
        </w:tc>
      </w:tr>
      <w:tr w14:paraId="06E7E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36" w:type="dxa"/>
            <w:vAlign w:val="center"/>
          </w:tcPr>
          <w:p w14:paraId="5886EB30">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color w:val="auto"/>
                <w:sz w:val="24"/>
                <w:szCs w:val="24"/>
                <w:vertAlign w:val="baseline"/>
              </w:rPr>
            </w:pPr>
            <w:r>
              <w:rPr>
                <w:rFonts w:hint="eastAsia" w:ascii="宋体" w:hAnsi="宋体" w:eastAsia="宋体" w:cs="宋体"/>
                <w:color w:val="auto"/>
                <w:sz w:val="24"/>
                <w:szCs w:val="24"/>
                <w:lang w:val="en-US" w:eastAsia="zh-CN"/>
              </w:rPr>
              <w:t>海珠校区</w:t>
            </w:r>
          </w:p>
        </w:tc>
        <w:tc>
          <w:tcPr>
            <w:tcW w:w="847" w:type="dxa"/>
            <w:vAlign w:val="center"/>
          </w:tcPr>
          <w:p w14:paraId="0012C7F9">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auto"/>
                <w:sz w:val="24"/>
                <w:szCs w:val="24"/>
                <w:vertAlign w:val="baseline"/>
                <w:lang w:val="en-US" w:eastAsia="zh-CN"/>
              </w:rPr>
            </w:pPr>
            <w:r>
              <w:rPr>
                <w:rFonts w:hint="eastAsia" w:eastAsia="宋体"/>
                <w:color w:val="auto"/>
                <w:sz w:val="24"/>
                <w:szCs w:val="24"/>
                <w:vertAlign w:val="baseline"/>
                <w:lang w:val="en-US" w:eastAsia="zh-CN"/>
              </w:rPr>
              <w:t>21</w:t>
            </w:r>
          </w:p>
        </w:tc>
        <w:tc>
          <w:tcPr>
            <w:tcW w:w="3248" w:type="dxa"/>
            <w:vAlign w:val="center"/>
          </w:tcPr>
          <w:p w14:paraId="427E51F7">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rPr>
              <w:t>正门</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含巡逻岗</w:t>
            </w:r>
            <w:r>
              <w:rPr>
                <w:rFonts w:hint="eastAsia" w:ascii="宋体" w:hAnsi="宋体" w:eastAsia="宋体" w:cs="宋体"/>
                <w:color w:val="auto"/>
                <w:sz w:val="24"/>
                <w:szCs w:val="24"/>
                <w:lang w:eastAsia="zh-CN"/>
              </w:rPr>
              <w:t>）</w:t>
            </w:r>
          </w:p>
        </w:tc>
        <w:tc>
          <w:tcPr>
            <w:tcW w:w="1129" w:type="dxa"/>
            <w:vAlign w:val="center"/>
          </w:tcPr>
          <w:p w14:paraId="79AF4F23">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lang w:val="en-US" w:eastAsia="zh-CN"/>
              </w:rPr>
              <w:t>2</w:t>
            </w:r>
          </w:p>
        </w:tc>
        <w:tc>
          <w:tcPr>
            <w:tcW w:w="2061" w:type="dxa"/>
            <w:vAlign w:val="center"/>
          </w:tcPr>
          <w:p w14:paraId="74BF8C66">
            <w:pPr>
              <w:keepNext w:val="0"/>
              <w:keepLines w:val="0"/>
              <w:pageBreakBefore w:val="0"/>
              <w:widowControl w:val="0"/>
              <w:kinsoku/>
              <w:wordWrap/>
              <w:overflowPunct/>
              <w:topLinePunct w:val="0"/>
              <w:bidi w:val="0"/>
              <w:adjustRightInd/>
              <w:snapToGrid/>
              <w:spacing w:line="400" w:lineRule="exact"/>
              <w:ind w:left="0" w:leftChars="0" w:right="0" w:rightChars="0"/>
              <w:jc w:val="center"/>
              <w:textAlignment w:val="auto"/>
              <w:rPr>
                <w:color w:val="auto"/>
                <w:sz w:val="24"/>
                <w:szCs w:val="24"/>
                <w:vertAlign w:val="baseline"/>
              </w:rPr>
            </w:pPr>
            <w:r>
              <w:rPr>
                <w:rFonts w:hint="eastAsia" w:ascii="宋体" w:hAnsi="宋体" w:eastAsia="宋体" w:cs="宋体"/>
                <w:color w:val="auto"/>
                <w:sz w:val="24"/>
                <w:szCs w:val="24"/>
                <w:lang w:val="en-US" w:eastAsia="zh-CN"/>
              </w:rPr>
              <w:t>6</w:t>
            </w:r>
          </w:p>
        </w:tc>
        <w:tc>
          <w:tcPr>
            <w:tcW w:w="1186" w:type="dxa"/>
            <w:vAlign w:val="center"/>
          </w:tcPr>
          <w:p w14:paraId="08BCD947">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eastAsia="宋体"/>
                <w:color w:val="auto"/>
                <w:sz w:val="24"/>
                <w:szCs w:val="24"/>
                <w:vertAlign w:val="baseline"/>
                <w:lang w:val="en-US" w:eastAsia="zh-CN"/>
              </w:rPr>
            </w:pPr>
            <w:r>
              <w:rPr>
                <w:rFonts w:hint="eastAsia"/>
                <w:color w:val="auto"/>
                <w:sz w:val="24"/>
                <w:szCs w:val="24"/>
                <w:vertAlign w:val="baseline"/>
                <w:lang w:val="en-US" w:eastAsia="zh-CN"/>
              </w:rPr>
              <w:t>6</w:t>
            </w:r>
          </w:p>
        </w:tc>
      </w:tr>
      <w:tr w14:paraId="70537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1736" w:type="dxa"/>
            <w:vAlign w:val="center"/>
          </w:tcPr>
          <w:p w14:paraId="0049D503">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eastAsia" w:eastAsia="宋体"/>
                <w:color w:val="auto"/>
                <w:sz w:val="24"/>
                <w:szCs w:val="24"/>
                <w:vertAlign w:val="baseline"/>
                <w:lang w:val="en-US" w:eastAsia="zh-CN"/>
              </w:rPr>
            </w:pPr>
            <w:r>
              <w:rPr>
                <w:rFonts w:hint="eastAsia"/>
                <w:color w:val="auto"/>
                <w:sz w:val="24"/>
                <w:szCs w:val="24"/>
                <w:vertAlign w:val="baseline"/>
                <w:lang w:val="en-US" w:eastAsia="zh-CN"/>
              </w:rPr>
              <w:t>合  计</w:t>
            </w:r>
          </w:p>
        </w:tc>
        <w:tc>
          <w:tcPr>
            <w:tcW w:w="847" w:type="dxa"/>
            <w:vAlign w:val="center"/>
          </w:tcPr>
          <w:p w14:paraId="3C606521">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auto"/>
                <w:sz w:val="24"/>
                <w:szCs w:val="24"/>
                <w:vertAlign w:val="baseline"/>
                <w:lang w:val="en-US" w:eastAsia="zh-CN"/>
              </w:rPr>
            </w:pPr>
          </w:p>
        </w:tc>
        <w:tc>
          <w:tcPr>
            <w:tcW w:w="3248" w:type="dxa"/>
            <w:vAlign w:val="center"/>
          </w:tcPr>
          <w:p w14:paraId="54E5993B">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color w:val="auto"/>
                <w:sz w:val="24"/>
                <w:szCs w:val="24"/>
                <w:vertAlign w:val="baseline"/>
              </w:rPr>
            </w:pPr>
          </w:p>
        </w:tc>
        <w:tc>
          <w:tcPr>
            <w:tcW w:w="1129" w:type="dxa"/>
            <w:vAlign w:val="center"/>
          </w:tcPr>
          <w:p w14:paraId="4B15705B">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color w:val="auto"/>
                <w:sz w:val="24"/>
                <w:szCs w:val="24"/>
                <w:vertAlign w:val="baseline"/>
              </w:rPr>
            </w:pPr>
          </w:p>
        </w:tc>
        <w:tc>
          <w:tcPr>
            <w:tcW w:w="2061" w:type="dxa"/>
            <w:vAlign w:val="center"/>
          </w:tcPr>
          <w:p w14:paraId="1F338467">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rFonts w:hint="default" w:eastAsia="宋体"/>
                <w:color w:val="auto"/>
                <w:sz w:val="24"/>
                <w:szCs w:val="24"/>
                <w:vertAlign w:val="baseline"/>
                <w:lang w:val="en-US" w:eastAsia="zh-CN"/>
              </w:rPr>
            </w:pPr>
            <w:r>
              <w:rPr>
                <w:rFonts w:hint="eastAsia"/>
                <w:color w:val="auto"/>
                <w:sz w:val="24"/>
                <w:szCs w:val="24"/>
                <w:vertAlign w:val="baseline"/>
                <w:lang w:val="en-US" w:eastAsia="zh-CN"/>
              </w:rPr>
              <w:t>64</w:t>
            </w:r>
          </w:p>
        </w:tc>
        <w:tc>
          <w:tcPr>
            <w:tcW w:w="1186" w:type="dxa"/>
            <w:vAlign w:val="center"/>
          </w:tcPr>
          <w:p w14:paraId="4AB71B6D">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color w:val="auto"/>
                <w:sz w:val="24"/>
                <w:szCs w:val="24"/>
                <w:vertAlign w:val="baseline"/>
              </w:rPr>
            </w:pPr>
          </w:p>
        </w:tc>
      </w:tr>
    </w:tbl>
    <w:p w14:paraId="0F1D8B27">
      <w:pPr>
        <w:keepNext w:val="0"/>
        <w:keepLines w:val="0"/>
        <w:pageBreakBefore w:val="0"/>
        <w:widowControl w:val="0"/>
        <w:kinsoku/>
        <w:wordWrap/>
        <w:overflowPunct/>
        <w:topLinePunct w:val="0"/>
        <w:autoSpaceDE w:val="0"/>
        <w:autoSpaceDN w:val="0"/>
        <w:bidi w:val="0"/>
        <w:adjustRightInd/>
        <w:snapToGrid/>
        <w:spacing w:line="400" w:lineRule="exact"/>
        <w:textAlignment w:val="auto"/>
        <w:rPr>
          <w:rFonts w:hint="default" w:eastAsia="宋体"/>
          <w:color w:val="auto"/>
          <w:sz w:val="24"/>
          <w:szCs w:val="24"/>
          <w:lang w:val="en-US" w:eastAsia="zh-CN"/>
        </w:rPr>
      </w:pPr>
    </w:p>
    <w:p w14:paraId="2DE12DA8">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p>
    <w:p w14:paraId="6905B78D">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二、总体要求</w:t>
      </w:r>
    </w:p>
    <w:p w14:paraId="4942ECAC">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（一）中标人需执行的要求</w:t>
      </w:r>
    </w:p>
    <w:p w14:paraId="38C692E8">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w:t>
      </w:r>
      <w:r>
        <w:rPr>
          <w:color w:val="auto"/>
          <w:sz w:val="24"/>
          <w:szCs w:val="24"/>
        </w:rPr>
        <w:t>中标后应针对本项目建立安保服务方案（含详细的人员组织实施方案及针对性安全风险评估方案），以及与采购人工作对接机制、管理组织架构、人员派驻、人员管理等内容的规章制度。</w:t>
      </w:r>
    </w:p>
    <w:p w14:paraId="02101630">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2.</w:t>
      </w:r>
      <w:r>
        <w:rPr>
          <w:color w:val="auto"/>
          <w:sz w:val="24"/>
          <w:szCs w:val="24"/>
        </w:rPr>
        <w:t>中标人与保安员签订用工合同时，建议使用广东省人力资源和社会保障厅印制的广东省职工劳动合同版本。</w:t>
      </w:r>
    </w:p>
    <w:p w14:paraId="58605423">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3.</w:t>
      </w:r>
      <w:r>
        <w:rPr>
          <w:color w:val="auto"/>
          <w:sz w:val="24"/>
          <w:szCs w:val="24"/>
        </w:rPr>
        <w:t>中标人在日常管理中要建立人员轮换、请（休）假等登记制度，采购人有权查阅记录。如因保安员的休请假、撤换或辞退造成保安人数的空缺，中标人应在 1 日内予以补充。</w:t>
      </w:r>
    </w:p>
    <w:p w14:paraId="161A952E">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4.</w:t>
      </w:r>
      <w:r>
        <w:rPr>
          <w:color w:val="auto"/>
          <w:sz w:val="24"/>
          <w:szCs w:val="24"/>
        </w:rPr>
        <w:t>中标人应为保安员配备符合采购人要求的保安员服装及保安服务标志，保安器械等装备。</w:t>
      </w:r>
    </w:p>
    <w:p w14:paraId="045DA79A">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color w:val="auto"/>
          <w:sz w:val="24"/>
          <w:szCs w:val="24"/>
        </w:rPr>
        <w:t>★</w:t>
      </w:r>
      <w:r>
        <w:rPr>
          <w:rFonts w:hint="eastAsia"/>
          <w:color w:val="auto"/>
          <w:sz w:val="24"/>
          <w:szCs w:val="24"/>
          <w:lang w:val="en-US" w:eastAsia="zh-CN"/>
        </w:rPr>
        <w:t>5</w:t>
      </w:r>
      <w:r>
        <w:rPr>
          <w:color w:val="auto"/>
          <w:sz w:val="24"/>
          <w:szCs w:val="24"/>
        </w:rPr>
        <w:t>.中标人应为派驻的保安员购买雇主责任险（含附加雇员第三者责任保险或附加第三者责任保险）。</w:t>
      </w:r>
    </w:p>
    <w:p w14:paraId="7C6B7C68">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color w:val="auto"/>
          <w:sz w:val="24"/>
          <w:szCs w:val="24"/>
        </w:rPr>
        <w:t>★</w:t>
      </w:r>
      <w:r>
        <w:rPr>
          <w:rFonts w:hint="eastAsia"/>
          <w:color w:val="auto"/>
          <w:sz w:val="24"/>
          <w:szCs w:val="24"/>
          <w:lang w:val="en-US" w:eastAsia="zh-CN"/>
        </w:rPr>
        <w:t>6</w:t>
      </w:r>
      <w:r>
        <w:rPr>
          <w:color w:val="auto"/>
          <w:sz w:val="24"/>
          <w:szCs w:val="24"/>
        </w:rPr>
        <w:t>.中标人须为本项目购买总额度不少于人民币</w:t>
      </w:r>
      <w:r>
        <w:rPr>
          <w:rFonts w:hint="eastAsia"/>
          <w:color w:val="auto"/>
          <w:sz w:val="24"/>
          <w:szCs w:val="24"/>
          <w:lang w:val="en-US" w:eastAsia="zh-CN"/>
        </w:rPr>
        <w:t>1</w:t>
      </w:r>
      <w:r>
        <w:rPr>
          <w:color w:val="auto"/>
          <w:sz w:val="24"/>
          <w:szCs w:val="24"/>
        </w:rPr>
        <w:t>00万元的公众责任险及为派驻保安员购买团体人身意外伤害保险（每人每年保额不低于人民币</w:t>
      </w:r>
      <w:r>
        <w:rPr>
          <w:rFonts w:hint="eastAsia"/>
          <w:color w:val="auto"/>
          <w:sz w:val="24"/>
          <w:szCs w:val="24"/>
          <w:highlight w:val="none"/>
          <w:lang w:val="en-US" w:eastAsia="zh-CN"/>
        </w:rPr>
        <w:t>30</w:t>
      </w:r>
      <w:r>
        <w:rPr>
          <w:color w:val="auto"/>
          <w:sz w:val="24"/>
          <w:szCs w:val="24"/>
          <w:highlight w:val="none"/>
        </w:rPr>
        <w:t>万元</w:t>
      </w:r>
      <w:r>
        <w:rPr>
          <w:color w:val="auto"/>
          <w:sz w:val="24"/>
          <w:szCs w:val="24"/>
        </w:rPr>
        <w:t>），并在接受采购人年度考核时提供相关保险缴纳凭证。</w:t>
      </w:r>
    </w:p>
    <w:p w14:paraId="0152BC51">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（二）采购人权利要求</w:t>
      </w:r>
    </w:p>
    <w:p w14:paraId="211739FC">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w:t>
      </w:r>
      <w:r>
        <w:rPr>
          <w:color w:val="auto"/>
          <w:sz w:val="24"/>
          <w:szCs w:val="24"/>
        </w:rPr>
        <w:t>采购人对中标人为本项目提供的安保服务、安保人员有指挥、监督、检查、考核和处罚权。</w:t>
      </w:r>
    </w:p>
    <w:p w14:paraId="7D9782EB">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2.</w:t>
      </w:r>
      <w:r>
        <w:rPr>
          <w:color w:val="auto"/>
          <w:sz w:val="24"/>
          <w:szCs w:val="24"/>
        </w:rPr>
        <w:t>中标人派出的项目主管、保安队长以及保安员在采购人的领导下开展工作，采购人对中标人对本项目的管理工作有直接指挥权，有权提出意见和建议。</w:t>
      </w:r>
    </w:p>
    <w:p w14:paraId="034B27E4">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3.</w:t>
      </w:r>
      <w:r>
        <w:rPr>
          <w:color w:val="auto"/>
          <w:sz w:val="24"/>
          <w:szCs w:val="24"/>
        </w:rPr>
        <w:t>采购人对中标人派出人员的录用与管理有直接参与权和否决权，采购人如认为有必要，可查阅中标人本项目的财务运作状况。</w:t>
      </w:r>
    </w:p>
    <w:p w14:paraId="6AA397E4">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4.</w:t>
      </w:r>
      <w:r>
        <w:rPr>
          <w:color w:val="auto"/>
          <w:sz w:val="24"/>
          <w:szCs w:val="24"/>
        </w:rPr>
        <w:t>采购人有权提出更换不符合要求或损害采购人利益的保安员。采购人提出更换要求时，中标人应在 3 个工作日内予以更换；如中标人有充分理由提出协商的，应在协商完成后 3 个工作日内予以更换。</w:t>
      </w:r>
    </w:p>
    <w:p w14:paraId="72333BBC">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5.</w:t>
      </w:r>
      <w:r>
        <w:rPr>
          <w:color w:val="auto"/>
          <w:sz w:val="24"/>
          <w:szCs w:val="24"/>
        </w:rPr>
        <w:t>采购人每月对中标人实行人员工作质量和人数双考核，达标后支付月服务费。</w:t>
      </w:r>
    </w:p>
    <w:p w14:paraId="5F6BE4EE">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（三）其他要求</w:t>
      </w:r>
    </w:p>
    <w:p w14:paraId="5FB14050">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w:t>
      </w:r>
      <w:r>
        <w:rPr>
          <w:color w:val="auto"/>
          <w:sz w:val="24"/>
          <w:szCs w:val="24"/>
        </w:rPr>
        <w:t>中标人在服务期限内，其为采购人服务的所有人员工资、酬金、社保等各项费用及人身安全等均由中标人负责，如发生纠纷或人身安全事故，所有责任由中标人承担。中标人应根据《中华人民共和国劳动法》等相关法律法规保障员工的合法权益（如购买社会保险、住房公积金、劳动保障等），按时足额发放薪酬，并自行解决与其员工之间的纠纷。</w:t>
      </w:r>
    </w:p>
    <w:p w14:paraId="32905555">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2.</w:t>
      </w:r>
      <w:r>
        <w:rPr>
          <w:color w:val="auto"/>
          <w:sz w:val="24"/>
          <w:szCs w:val="24"/>
        </w:rPr>
        <w:t xml:space="preserve">应急力量储备要求。当发生重大紧急、突发事件等特殊情况时，中标人应具备在30分钟内组织除本项目以外的 </w:t>
      </w:r>
      <w:r>
        <w:rPr>
          <w:rFonts w:hint="eastAsia"/>
          <w:color w:val="auto"/>
          <w:sz w:val="24"/>
          <w:szCs w:val="24"/>
          <w:lang w:val="en-US" w:eastAsia="zh-CN"/>
        </w:rPr>
        <w:t>30</w:t>
      </w:r>
      <w:r>
        <w:rPr>
          <w:color w:val="auto"/>
          <w:sz w:val="24"/>
          <w:szCs w:val="24"/>
        </w:rPr>
        <w:t>名（含）以上保安员作为储备力量参与重大紧急、突发事件的应急处置的能力，由此产生费用均包含在投标报价中。投标人应在投标文件中明确组织上述人员的可行预案。</w:t>
      </w:r>
    </w:p>
    <w:p w14:paraId="0C66C6B1">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color w:val="auto"/>
          <w:sz w:val="24"/>
          <w:szCs w:val="24"/>
        </w:rPr>
        <w:t>★3.应急预案联动机制要求。投标人须与项目所在地区公安机关形成联动机制，在出现突发事件时，能够按照属地公安机关制定的工作预案进行响应。中标人应按照采购人要求建立不少于 5 组（每组 3 人）的最小应急单元。</w:t>
      </w:r>
    </w:p>
    <w:p w14:paraId="5FBB8321">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4.</w:t>
      </w:r>
      <w:r>
        <w:rPr>
          <w:color w:val="auto"/>
          <w:sz w:val="24"/>
          <w:szCs w:val="24"/>
        </w:rPr>
        <w:t>投标人应建立系统化、规范化的质量管理体系并通过相关认证，确保安保服务满足采购人的需求和期望，不断改进管理过程的不足，确保安保服务令采购人、师生满意，不损害采购人的高等学府形象与精神风貌。</w:t>
      </w:r>
    </w:p>
    <w:p w14:paraId="10AAFEA2">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5.</w:t>
      </w:r>
      <w:r>
        <w:rPr>
          <w:color w:val="auto"/>
          <w:sz w:val="24"/>
          <w:szCs w:val="24"/>
        </w:rPr>
        <w:t>在本项目安保服务实施过程中，投标人应时刻关注派驻保安员的健康和安全，有效预防和控制职业病与工伤事故的发生，投标人应建立职业健康安全管理体系并通过相关认证，以保证本项目的服务质量。</w:t>
      </w:r>
    </w:p>
    <w:p w14:paraId="62B28C2A">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6.</w:t>
      </w:r>
      <w:r>
        <w:rPr>
          <w:color w:val="auto"/>
          <w:sz w:val="24"/>
          <w:szCs w:val="24"/>
        </w:rPr>
        <w:t>投标人应合理分配和使用相关设施设备，妥善处理废旧、失效的安全防范器材、保安制服等，建立环境管理体系并通过相关认证，确保安保服务符合相关环保法规和标准。</w:t>
      </w:r>
    </w:p>
    <w:p w14:paraId="4E972961">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7.</w:t>
      </w:r>
      <w:r>
        <w:rPr>
          <w:color w:val="auto"/>
          <w:sz w:val="24"/>
          <w:szCs w:val="24"/>
        </w:rPr>
        <w:t>投标人应加强企业文化建设，对派驻保安员定期进行政治与思想教育，培养高度责任感、良好服务意识和敏感性，提升人员心理素质，确保保安员可及时有效应对校园意识形态风险，坚定维护采购人校园的政治安全。</w:t>
      </w:r>
    </w:p>
    <w:p w14:paraId="7577F2E4">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8.</w:t>
      </w:r>
      <w:r>
        <w:rPr>
          <w:color w:val="auto"/>
          <w:sz w:val="24"/>
          <w:szCs w:val="24"/>
        </w:rPr>
        <w:t>为做好采购人校园安全稳定工作，投标人应强化本项目服务队伍建设工作，强化本项目服务队伍建设工作，设置合理的薪酬制度，营造良好的工作环境，保证服务队伍的相对稳定性，确保本项目顺利实施。</w:t>
      </w:r>
    </w:p>
    <w:p w14:paraId="04E48FED">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9.</w:t>
      </w:r>
      <w:r>
        <w:rPr>
          <w:color w:val="auto"/>
          <w:sz w:val="24"/>
          <w:szCs w:val="24"/>
        </w:rPr>
        <w:t>投标人应根据国家有关法律、法规、保安服务标准和有关质量管理要求，结合采购人安全需求特点，建立健全岗位责任制度、保安员管理制度、勤务制度、行为规范制度等安保服务管理制度，依法保障派驻保安员在社会保险、劳动用工、劳动保护、工资服务、教育培训等方面的合法权益，做到文明、合法开展本项目安保服务工作，不损坏社会、校园公共利益或侵犯他人合法权益。</w:t>
      </w:r>
    </w:p>
    <w:p w14:paraId="3E7FB7F2">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三、安保服务的范围、内容和要求</w:t>
      </w:r>
    </w:p>
    <w:p w14:paraId="2AEEAD4C">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rPr>
        <w:t>本项目安保服务范围涵盖学院天河校区（含北苑、南苑）及海珠校区</w:t>
      </w:r>
      <w:r>
        <w:rPr>
          <w:color w:val="auto"/>
          <w:sz w:val="24"/>
          <w:szCs w:val="24"/>
        </w:rPr>
        <w:t>的安全保卫服务，包括但不限于治安安全、消防安全、交通管理、门卫管理、校园综合治理、安防消防设施设备管理及技术防范、校园突发事件应急处理、校事活动及校园大型群众性活动保障、临时交办的安保相关任务等工作。具体如下：</w:t>
      </w:r>
    </w:p>
    <w:p w14:paraId="376C652C">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（一）治安安全方面</w:t>
      </w:r>
    </w:p>
    <w:p w14:paraId="0D90A922">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w:t>
      </w:r>
      <w:r>
        <w:rPr>
          <w:color w:val="auto"/>
          <w:sz w:val="24"/>
          <w:szCs w:val="24"/>
        </w:rPr>
        <w:t>编制安保工作计划和内部制度，并制定详细的安全保卫服务工作实施方案和应急预案方案，报采购人保卫部门审定后实施。</w:t>
      </w:r>
    </w:p>
    <w:p w14:paraId="67B88DD9">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2.</w:t>
      </w:r>
      <w:r>
        <w:rPr>
          <w:color w:val="auto"/>
          <w:sz w:val="24"/>
          <w:szCs w:val="24"/>
        </w:rPr>
        <w:t>承担 24 小时巡逻、值班任务。根据校园安全管理需要设置巡更点，至少每一小时校园巡逻一周，重点部位每 30 分钟巡逻一次，保安人员各岗位须按时签到，按时到岗。遏制发生抢劫、抢夺、破门、破锁或入室等带有暴力、恶性或有侵害人身安全刑事案件。</w:t>
      </w:r>
    </w:p>
    <w:p w14:paraId="00481471">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3.</w:t>
      </w:r>
      <w:r>
        <w:rPr>
          <w:color w:val="auto"/>
          <w:sz w:val="24"/>
          <w:szCs w:val="24"/>
        </w:rPr>
        <w:t>制止打架斗殴、酗酒闹事等校园治安问题，防止事态恶化，维护校园良好的治安秩序。</w:t>
      </w:r>
    </w:p>
    <w:p w14:paraId="4C60E78E">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4.</w:t>
      </w:r>
      <w:r>
        <w:rPr>
          <w:color w:val="auto"/>
          <w:sz w:val="24"/>
          <w:szCs w:val="24"/>
        </w:rPr>
        <w:t>做好接处警记录，保护案件现场，协助公安、保卫部门查处案件；对师生求助的危难情况提供帮助。</w:t>
      </w:r>
    </w:p>
    <w:p w14:paraId="316EF02B">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5.</w:t>
      </w:r>
      <w:r>
        <w:rPr>
          <w:color w:val="auto"/>
          <w:sz w:val="24"/>
          <w:szCs w:val="24"/>
        </w:rPr>
        <w:t>积极维护采购人财产和师生员工人身财产安全，防范治安、刑事案件发生。</w:t>
      </w:r>
    </w:p>
    <w:p w14:paraId="627BD79D">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6.</w:t>
      </w:r>
      <w:r>
        <w:rPr>
          <w:color w:val="auto"/>
          <w:sz w:val="24"/>
          <w:szCs w:val="24"/>
        </w:rPr>
        <w:t>严格执行“四防”制度（防火、防盗、防破坏、防灾害事故），发现不安全因素应及时排除，不能马上排除的应及时向采购人保卫部门报告，并提出整改方案。</w:t>
      </w:r>
    </w:p>
    <w:p w14:paraId="0749A37B">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7.</w:t>
      </w:r>
      <w:r>
        <w:rPr>
          <w:color w:val="auto"/>
          <w:sz w:val="24"/>
          <w:szCs w:val="24"/>
        </w:rPr>
        <w:t>发生突发事件时，各岗位必须做到联动，并在 3 分钟之内到达现场处置。</w:t>
      </w:r>
    </w:p>
    <w:p w14:paraId="0FC6E9CE">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8.</w:t>
      </w:r>
      <w:r>
        <w:rPr>
          <w:color w:val="auto"/>
          <w:sz w:val="24"/>
          <w:szCs w:val="24"/>
        </w:rPr>
        <w:t>发生重大案件、突发性事件随时向采购人保卫部门报告。协助采购人保卫部门及公安机关保护各种现场（包括治安、刑事案件现场），提供可靠资料。</w:t>
      </w:r>
    </w:p>
    <w:p w14:paraId="103B9784">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9.</w:t>
      </w:r>
      <w:r>
        <w:rPr>
          <w:color w:val="auto"/>
          <w:sz w:val="24"/>
          <w:szCs w:val="24"/>
        </w:rPr>
        <w:t>防盗报警系统、视频监控中心实行 24 小时值班和监控，并做好值班记录。接到报警信号或发现可疑人员时，及时采取相应措施处置警情。</w:t>
      </w:r>
    </w:p>
    <w:p w14:paraId="04E9A8A6">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10.</w:t>
      </w:r>
      <w:r>
        <w:rPr>
          <w:color w:val="auto"/>
          <w:sz w:val="24"/>
          <w:szCs w:val="24"/>
        </w:rPr>
        <w:t>日常巡查校园防盗报警系统、视频监控系统，保证系统相关设备（摄像枪、无线监控探头、控制系统、报警系统）正常运行具备良好的条件，发现系统相关设备（摄像枪、控制系统、报警系统等）故障要及时报告并跟进故障排除情况，并形成书面报告提交保卫</w:t>
      </w:r>
      <w:r>
        <w:rPr>
          <w:rFonts w:hint="eastAsia"/>
          <w:color w:val="auto"/>
          <w:sz w:val="24"/>
          <w:szCs w:val="24"/>
          <w:lang w:val="en-US" w:eastAsia="zh-CN"/>
        </w:rPr>
        <w:t>部门</w:t>
      </w:r>
      <w:r>
        <w:rPr>
          <w:color w:val="auto"/>
          <w:sz w:val="24"/>
          <w:szCs w:val="24"/>
        </w:rPr>
        <w:t>。</w:t>
      </w:r>
    </w:p>
    <w:p w14:paraId="62BAA279">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11.</w:t>
      </w:r>
      <w:r>
        <w:rPr>
          <w:color w:val="auto"/>
          <w:sz w:val="24"/>
          <w:szCs w:val="24"/>
        </w:rPr>
        <w:t>建立防暴反恐应急预案，在保卫</w:t>
      </w:r>
      <w:r>
        <w:rPr>
          <w:rFonts w:hint="eastAsia"/>
          <w:color w:val="auto"/>
          <w:sz w:val="24"/>
          <w:szCs w:val="24"/>
          <w:lang w:val="en-US" w:eastAsia="zh-CN"/>
        </w:rPr>
        <w:t>部门</w:t>
      </w:r>
      <w:r>
        <w:rPr>
          <w:color w:val="auto"/>
          <w:sz w:val="24"/>
          <w:szCs w:val="24"/>
        </w:rPr>
        <w:t>统一指挥下，每学期组织保安员开展两次以上校园防暴反恐应急演练。</w:t>
      </w:r>
    </w:p>
    <w:p w14:paraId="53FED141">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12.</w:t>
      </w:r>
      <w:r>
        <w:rPr>
          <w:color w:val="auto"/>
          <w:sz w:val="24"/>
          <w:szCs w:val="24"/>
        </w:rPr>
        <w:t>每月校园治安情况以书面形式递交采购人保卫部门，内容至少包括当月发现的问题、对问题的处理及结果、预防措施、上个月遗漏未处理情况等。</w:t>
      </w:r>
    </w:p>
    <w:p w14:paraId="2FCFCA88">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（二）消防安全方面</w:t>
      </w:r>
    </w:p>
    <w:p w14:paraId="232C0F2D">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color w:val="auto"/>
          <w:sz w:val="24"/>
          <w:szCs w:val="24"/>
        </w:rPr>
        <w:t>★1.消防监控中心要求落实全天 24 小时双人双岗值班与消防巡查制度，并做好值班记录。</w:t>
      </w:r>
    </w:p>
    <w:p w14:paraId="65E2FBF9">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2.</w:t>
      </w:r>
      <w:r>
        <w:rPr>
          <w:color w:val="auto"/>
          <w:sz w:val="24"/>
          <w:szCs w:val="24"/>
        </w:rPr>
        <w:t>根据《中华人民共和国消防法》规定，中标人提供的消防监控中心保安员持有消防设施操作员职业资格证书（中级/四级或以上）或建（构）筑物消防员职业资格证书，并熟练掌握各种消防设备的使用方法。中标人签订合同时须向采购人提供上述人员证书原件以备采购人进行核查，并提供上述人员证书复印件备案。</w:t>
      </w:r>
    </w:p>
    <w:p w14:paraId="2394703C">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3.</w:t>
      </w:r>
      <w:r>
        <w:rPr>
          <w:color w:val="auto"/>
          <w:sz w:val="24"/>
          <w:szCs w:val="24"/>
        </w:rPr>
        <w:t>做好校区（园）室外公共区域、地下车库的日常巡查，并做好记录，健全档案资料、分类成册、建立完善工作台帐；配合做好对所有建筑物、设施及（有形物体）的消防管理，消防系统的日常管理、维护、巡查。</w:t>
      </w:r>
    </w:p>
    <w:p w14:paraId="3EC300D1">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4.</w:t>
      </w:r>
      <w:r>
        <w:rPr>
          <w:color w:val="auto"/>
          <w:sz w:val="24"/>
          <w:szCs w:val="24"/>
        </w:rPr>
        <w:t>按照采购人保卫部门要求，每月、每季度配合检查校园内的各种消防设施设备， 确保消防报警联动功能正常，中心电话正常与各分机联系，消防紧急广播系统正常。</w:t>
      </w:r>
    </w:p>
    <w:p w14:paraId="38BC8012">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5.</w:t>
      </w:r>
      <w:r>
        <w:rPr>
          <w:color w:val="auto"/>
          <w:sz w:val="24"/>
          <w:szCs w:val="24"/>
        </w:rPr>
        <w:t>每月定期对校园内各出租商铺、教师学生公寓、实验室、教学课室、办公实验楼、电梯机房、强弱电井、高低压配电房以及设施设备等的安全用电、消防安全管理等进行检查，并记录检查情况，对存在的问题提出整改意见并跟进整改情况，建立消防安全隐患排查台账以及隐患整改落实情况台账，并报采购人保卫</w:t>
      </w:r>
      <w:r>
        <w:rPr>
          <w:rFonts w:hint="eastAsia"/>
          <w:color w:val="auto"/>
          <w:sz w:val="24"/>
          <w:szCs w:val="24"/>
          <w:lang w:val="en-US" w:eastAsia="zh-CN"/>
        </w:rPr>
        <w:t>部门</w:t>
      </w:r>
      <w:r>
        <w:rPr>
          <w:color w:val="auto"/>
          <w:sz w:val="24"/>
          <w:szCs w:val="24"/>
        </w:rPr>
        <w:t>。</w:t>
      </w:r>
    </w:p>
    <w:p w14:paraId="163D0EE7">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rFonts w:hint="eastAsia"/>
          <w:color w:val="auto"/>
          <w:sz w:val="24"/>
          <w:szCs w:val="24"/>
        </w:rPr>
      </w:pPr>
      <w:r>
        <w:rPr>
          <w:rFonts w:hint="eastAsia"/>
          <w:color w:val="auto"/>
          <w:sz w:val="24"/>
          <w:szCs w:val="24"/>
        </w:rPr>
        <w:t>6. 落实消防管理责任制，统筹微型消防站与志愿消防队建设。 中标人须将校园现有的微型消防站纳入安保队伍的日常管理体系，严格落实微型消防站24小时值守制度。队员由安保人员择优兼任，确保发生火情时能够严格执行“1分钟确认、3分钟到场处置”的应急响应要求。同时，常态化开展消防培训、防火巡查及应急演练工作。</w:t>
      </w:r>
    </w:p>
    <w:p w14:paraId="51667019">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7.</w:t>
      </w:r>
      <w:r>
        <w:rPr>
          <w:color w:val="auto"/>
          <w:sz w:val="24"/>
          <w:szCs w:val="24"/>
        </w:rPr>
        <w:t>建立消防安全教育培训工作机制，每季度组织志愿消防队进行消防法规、消防知识和消防技能的培训，每月组织一次班组演练，每季度组织一次队部演练，每学期开展两次以上的校园消防安全宣传和应急疏散演练工作。在保卫</w:t>
      </w:r>
      <w:r>
        <w:rPr>
          <w:rFonts w:hint="eastAsia"/>
          <w:color w:val="auto"/>
          <w:sz w:val="24"/>
          <w:szCs w:val="24"/>
          <w:lang w:val="en-US" w:eastAsia="zh-CN"/>
        </w:rPr>
        <w:t>部门</w:t>
      </w:r>
      <w:r>
        <w:rPr>
          <w:color w:val="auto"/>
          <w:sz w:val="24"/>
          <w:szCs w:val="24"/>
        </w:rPr>
        <w:t>统一指挥下，协同学校志愿消防队每学期开展两次以上校园消防安全宣传和应急疏散演练工作。</w:t>
      </w:r>
    </w:p>
    <w:p w14:paraId="685D5DEC">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8.</w:t>
      </w:r>
      <w:r>
        <w:rPr>
          <w:color w:val="auto"/>
          <w:sz w:val="24"/>
          <w:szCs w:val="24"/>
        </w:rPr>
        <w:t>加强火灾警情防控工作，遇有火情火警须立即报告，并及时启动火灾火警应急预案。</w:t>
      </w:r>
    </w:p>
    <w:p w14:paraId="0DC02284">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9.</w:t>
      </w:r>
      <w:r>
        <w:rPr>
          <w:color w:val="auto"/>
          <w:sz w:val="24"/>
          <w:szCs w:val="24"/>
        </w:rPr>
        <w:t>遇有火警、火灾应积极参加扑救工作，配合消防部门做好调查处置工作。</w:t>
      </w:r>
    </w:p>
    <w:p w14:paraId="4467246F">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10.</w:t>
      </w:r>
      <w:r>
        <w:rPr>
          <w:color w:val="auto"/>
          <w:sz w:val="24"/>
          <w:szCs w:val="24"/>
        </w:rPr>
        <w:t>积极协助采购人保卫部门做好消防安全教育宣传和培训工作。</w:t>
      </w:r>
    </w:p>
    <w:p w14:paraId="183A36B4">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11.</w:t>
      </w:r>
      <w:r>
        <w:rPr>
          <w:color w:val="auto"/>
          <w:sz w:val="24"/>
          <w:szCs w:val="24"/>
        </w:rPr>
        <w:t>建立森林防火队伍，加强对校园山体及山边森林防火巡查，防范山体消防火情火警的发生。</w:t>
      </w:r>
    </w:p>
    <w:p w14:paraId="36435749">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12.</w:t>
      </w:r>
      <w:r>
        <w:rPr>
          <w:color w:val="auto"/>
          <w:sz w:val="24"/>
          <w:szCs w:val="24"/>
        </w:rPr>
        <w:t>凡因保安服务缺位所致的所有消防设施设备丢失、损坏，无论价值多少均由中标人负责补置。</w:t>
      </w:r>
    </w:p>
    <w:p w14:paraId="43419D4D">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（三）交通管理方面</w:t>
      </w:r>
    </w:p>
    <w:p w14:paraId="0B1C01F0">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w:t>
      </w:r>
      <w:r>
        <w:rPr>
          <w:color w:val="auto"/>
          <w:sz w:val="24"/>
          <w:szCs w:val="24"/>
        </w:rPr>
        <w:t>严格执行采购人交通管理规定，指引车辆按照校园交通标志、标线行驶和在指定区域规范有序停放。</w:t>
      </w:r>
    </w:p>
    <w:p w14:paraId="681979A8">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2.</w:t>
      </w:r>
      <w:r>
        <w:rPr>
          <w:color w:val="auto"/>
          <w:sz w:val="24"/>
          <w:szCs w:val="24"/>
        </w:rPr>
        <w:t>负责校园的交通指挥，机动车在校园内行驶时，须减速慢行，不得超速行驶，主动避让行人，禁止鸣笛。</w:t>
      </w:r>
    </w:p>
    <w:p w14:paraId="5D1ECA47">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3.</w:t>
      </w:r>
      <w:r>
        <w:rPr>
          <w:color w:val="auto"/>
          <w:sz w:val="24"/>
          <w:szCs w:val="24"/>
        </w:rPr>
        <w:t>做好重要活动期间的交通指挥和疏导工作。</w:t>
      </w:r>
    </w:p>
    <w:p w14:paraId="5A9B79ED">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4.</w:t>
      </w:r>
      <w:r>
        <w:rPr>
          <w:color w:val="auto"/>
          <w:sz w:val="24"/>
          <w:szCs w:val="24"/>
        </w:rPr>
        <w:t>保护交通事故现场，及时报告保卫部门并协助交警部门处理交通事故。</w:t>
      </w:r>
    </w:p>
    <w:p w14:paraId="38579C3C">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5.</w:t>
      </w:r>
      <w:r>
        <w:rPr>
          <w:color w:val="auto"/>
          <w:sz w:val="24"/>
          <w:szCs w:val="24"/>
        </w:rPr>
        <w:t>加强对“双禁”车辆的管理，严禁无牌、无证摩托车和电动自行车在校园内行驶和停放。</w:t>
      </w:r>
    </w:p>
    <w:p w14:paraId="1BD648A4">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6.</w:t>
      </w:r>
      <w:r>
        <w:rPr>
          <w:color w:val="auto"/>
          <w:sz w:val="24"/>
          <w:szCs w:val="24"/>
        </w:rPr>
        <w:t>严格执行采购人车辆通行证管理制度，控制无校园通行证或未通过预约的校外车辆进入校园，落实车辆出入校园登记、检查制度。</w:t>
      </w:r>
    </w:p>
    <w:p w14:paraId="0A109768">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7.</w:t>
      </w:r>
      <w:r>
        <w:rPr>
          <w:color w:val="auto"/>
          <w:sz w:val="24"/>
          <w:szCs w:val="24"/>
        </w:rPr>
        <w:t>维护好校园内各自行车停放点的交通秩序，自行车摆放整齐。</w:t>
      </w:r>
    </w:p>
    <w:p w14:paraId="05CDDE72">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8.</w:t>
      </w:r>
      <w:r>
        <w:rPr>
          <w:color w:val="auto"/>
          <w:sz w:val="24"/>
          <w:szCs w:val="24"/>
        </w:rPr>
        <w:t>管理好校园内设立的交通设施，未经保卫部门批准，任何单位或个人不得移动或损坏交通设施。</w:t>
      </w:r>
    </w:p>
    <w:p w14:paraId="5AA874DA">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9.</w:t>
      </w:r>
      <w:r>
        <w:rPr>
          <w:color w:val="auto"/>
          <w:sz w:val="24"/>
          <w:szCs w:val="24"/>
        </w:rPr>
        <w:t>管理好采购人校园内道路交通，任何单位不得占用。因工程建设需要，需占用、挖掘道路时，须确认施工单位是否事先取得学校相关部门的施工许可证。督促提醒施工单位要设置施工安全警示标志牌；竣工后，检查施工单位是否及时修复路面、交通设施和清除施工垃圾。</w:t>
      </w:r>
    </w:p>
    <w:p w14:paraId="1F014051">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（四）门卫管理方面</w:t>
      </w:r>
    </w:p>
    <w:p w14:paraId="4AB9B879">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w:t>
      </w:r>
      <w:r>
        <w:rPr>
          <w:color w:val="auto"/>
          <w:sz w:val="24"/>
          <w:szCs w:val="24"/>
        </w:rPr>
        <w:t>采购人门卫实行 24 小时值班制度，值班保安人数根据实际情况由采购人保卫部门决定。</w:t>
      </w:r>
    </w:p>
    <w:p w14:paraId="67B063F2">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2.</w:t>
      </w:r>
      <w:r>
        <w:rPr>
          <w:color w:val="auto"/>
          <w:sz w:val="24"/>
          <w:szCs w:val="24"/>
        </w:rPr>
        <w:t>门卫值班人员要维护好校门出入秩序，保障师生安全。在岗人员要遵纪守法、坚守岗位、严格把关、文明执勤，将采购人门岗建成采购人良好形象的窗口。</w:t>
      </w:r>
    </w:p>
    <w:p w14:paraId="64432C0D">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3.</w:t>
      </w:r>
      <w:r>
        <w:rPr>
          <w:color w:val="auto"/>
          <w:sz w:val="24"/>
          <w:szCs w:val="24"/>
        </w:rPr>
        <w:t>实行来访人员、车辆登记制度，严格控制未经允许的外来人员、车辆进入校园， 来访人员、车辆需认真核实，并要求出示有效证件做好登记后方可进入，严防作案嫌疑人员滋扰和破坏。</w:t>
      </w:r>
    </w:p>
    <w:p w14:paraId="2552484B">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4.</w:t>
      </w:r>
      <w:r>
        <w:rPr>
          <w:color w:val="auto"/>
          <w:sz w:val="24"/>
          <w:szCs w:val="24"/>
        </w:rPr>
        <w:t>做好物品进出校园的登记工作，出校大件物品需凭相关部门有效证明，经核对无误后方可放行。</w:t>
      </w:r>
    </w:p>
    <w:p w14:paraId="665A05A1">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（五）校园综合治理方面</w:t>
      </w:r>
    </w:p>
    <w:p w14:paraId="1B8080D1">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w:t>
      </w:r>
      <w:r>
        <w:rPr>
          <w:color w:val="auto"/>
          <w:sz w:val="24"/>
          <w:szCs w:val="24"/>
        </w:rPr>
        <w:t>按保卫部门要求开展校园巡查，及时发现、报告、处理安全隐患。</w:t>
      </w:r>
    </w:p>
    <w:p w14:paraId="2D89922E">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2.</w:t>
      </w:r>
      <w:r>
        <w:rPr>
          <w:color w:val="auto"/>
          <w:sz w:val="24"/>
          <w:szCs w:val="24"/>
        </w:rPr>
        <w:t>负责守护校土校产安全，整治校园“六乱”，整治违章搭建（严禁新增违建）校园秩序（及环境卫生），督促校园商铺“门前三包”，负责商铺、快递服务点、文印中心等的安全巡查、督察、应急处理并报告。</w:t>
      </w:r>
    </w:p>
    <w:p w14:paraId="77E9A992">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3.</w:t>
      </w:r>
      <w:r>
        <w:rPr>
          <w:color w:val="auto"/>
          <w:sz w:val="24"/>
          <w:szCs w:val="24"/>
        </w:rPr>
        <w:t>负责基建及维修工程安全文明施工、校园基础设施安全运行等巡查、处理并报告。</w:t>
      </w:r>
    </w:p>
    <w:p w14:paraId="0F11173A">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4.</w:t>
      </w:r>
      <w:r>
        <w:rPr>
          <w:color w:val="auto"/>
          <w:sz w:val="24"/>
          <w:szCs w:val="24"/>
        </w:rPr>
        <w:t>及时制止攀树摘果、践踏草坪，以及在湖泊捉鱼、戏水以及其他不文明行为。</w:t>
      </w:r>
    </w:p>
    <w:p w14:paraId="44A34EBB">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5.</w:t>
      </w:r>
      <w:r>
        <w:rPr>
          <w:color w:val="auto"/>
          <w:sz w:val="24"/>
          <w:szCs w:val="24"/>
        </w:rPr>
        <w:t>发现宗教活动、未经批准的其他活动和集会等，立即报告保卫部门，快速妥善处置，负责取证、收缴违法违规宣传品。</w:t>
      </w:r>
    </w:p>
    <w:p w14:paraId="1F6CF6E9">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6.</w:t>
      </w:r>
      <w:r>
        <w:rPr>
          <w:color w:val="auto"/>
          <w:sz w:val="24"/>
          <w:szCs w:val="24"/>
        </w:rPr>
        <w:t>协助做好校园稳定、防范突发事件等方面的专项工作。出现事端或突发事件应在3 分钟内到达现场处理，并及时报告保卫部门。</w:t>
      </w:r>
    </w:p>
    <w:p w14:paraId="549E54AE">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7.</w:t>
      </w:r>
      <w:r>
        <w:rPr>
          <w:color w:val="auto"/>
          <w:sz w:val="24"/>
          <w:szCs w:val="24"/>
        </w:rPr>
        <w:t>涉及师生员工的案件或事件须及时</w:t>
      </w:r>
      <w:r>
        <w:rPr>
          <w:rFonts w:hint="eastAsia"/>
          <w:color w:val="auto"/>
          <w:sz w:val="24"/>
          <w:szCs w:val="24"/>
          <w:lang w:val="en-US" w:eastAsia="zh-CN"/>
        </w:rPr>
        <w:t>作好登记并</w:t>
      </w:r>
      <w:r>
        <w:rPr>
          <w:color w:val="auto"/>
          <w:sz w:val="24"/>
          <w:szCs w:val="24"/>
        </w:rPr>
        <w:t>报告保卫部门。</w:t>
      </w:r>
    </w:p>
    <w:p w14:paraId="637F720C">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8.</w:t>
      </w:r>
      <w:r>
        <w:rPr>
          <w:color w:val="auto"/>
          <w:sz w:val="24"/>
          <w:szCs w:val="24"/>
        </w:rPr>
        <w:t>未经采购人保卫部门同意，不得擅自处理校园内的废旧物品。</w:t>
      </w:r>
    </w:p>
    <w:p w14:paraId="0F22DCE0">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9.</w:t>
      </w:r>
      <w:r>
        <w:rPr>
          <w:color w:val="auto"/>
          <w:sz w:val="24"/>
          <w:szCs w:val="24"/>
        </w:rPr>
        <w:t>协助做好校园公共区域临时场地使用管理，发现未经申报审批的临时活动、横幅悬挂、广告张贴等应及时制止并报告采购人保卫部门。</w:t>
      </w:r>
    </w:p>
    <w:p w14:paraId="5B4D0F8C">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10.</w:t>
      </w:r>
      <w:r>
        <w:rPr>
          <w:color w:val="auto"/>
          <w:sz w:val="24"/>
          <w:szCs w:val="24"/>
        </w:rPr>
        <w:t>接受公安机关、政府有关管理部门的业务检查、监督和指导。按受保卫</w:t>
      </w:r>
      <w:r>
        <w:rPr>
          <w:rFonts w:hint="eastAsia"/>
          <w:color w:val="auto"/>
          <w:sz w:val="24"/>
          <w:szCs w:val="24"/>
          <w:lang w:val="en-US" w:eastAsia="zh-CN"/>
        </w:rPr>
        <w:t>部门</w:t>
      </w:r>
      <w:r>
        <w:rPr>
          <w:color w:val="auto"/>
          <w:sz w:val="24"/>
          <w:szCs w:val="24"/>
        </w:rPr>
        <w:t>的业务指导和监督，每周、月、年定期向保卫</w:t>
      </w:r>
      <w:r>
        <w:rPr>
          <w:rFonts w:hint="eastAsia"/>
          <w:color w:val="auto"/>
          <w:sz w:val="24"/>
          <w:szCs w:val="24"/>
          <w:lang w:val="en-US" w:eastAsia="zh-CN"/>
        </w:rPr>
        <w:t>部门</w:t>
      </w:r>
      <w:r>
        <w:rPr>
          <w:color w:val="auto"/>
          <w:sz w:val="24"/>
          <w:szCs w:val="24"/>
        </w:rPr>
        <w:t>汇报综治情况。</w:t>
      </w:r>
    </w:p>
    <w:p w14:paraId="30FBABDB">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（六）安防消防设施设备管理及技术防范</w:t>
      </w:r>
    </w:p>
    <w:p w14:paraId="794FB819">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w:t>
      </w:r>
      <w:r>
        <w:rPr>
          <w:color w:val="auto"/>
          <w:sz w:val="24"/>
          <w:szCs w:val="24"/>
        </w:rPr>
        <w:t>协助安防消防设施设备的管理工作。要求设备设施档案资料齐全、分类成册、建立完善台帐，不得以任何方式向任何第三方泄露安保管理档案资料。</w:t>
      </w:r>
    </w:p>
    <w:p w14:paraId="1B45F419">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2.</w:t>
      </w:r>
      <w:r>
        <w:rPr>
          <w:color w:val="auto"/>
          <w:sz w:val="24"/>
          <w:szCs w:val="24"/>
        </w:rPr>
        <w:t>负责安防监控中心的监控管理及相关设备（含外围设备）的日常巡查，以保证整个校区的治安防范及各种设施、设备的正常使用。</w:t>
      </w:r>
    </w:p>
    <w:p w14:paraId="38773522">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3.</w:t>
      </w:r>
      <w:r>
        <w:rPr>
          <w:color w:val="auto"/>
          <w:sz w:val="24"/>
          <w:szCs w:val="24"/>
        </w:rPr>
        <w:t>巡查校园内的公共消防设施设备，包括：火灾自动报警系统（含联动柜）、火灾自动灭火系统、自动气体灭火系统、防排烟系统、消火栓系统、消防水泵及水池，疏散指示标志和应急照明、防火门、防火卷帘、消防应急广播及消防电话等。做到消防设施无漏、无堵、无丢失、无失控、无失灵现象，以保证消防设备设施始终处于良好备用状态。</w:t>
      </w:r>
    </w:p>
    <w:p w14:paraId="088FDE8A">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4.</w:t>
      </w:r>
      <w:r>
        <w:rPr>
          <w:color w:val="auto"/>
          <w:sz w:val="24"/>
          <w:szCs w:val="24"/>
        </w:rPr>
        <w:t>有效发挥技术防范的作用，提高校园安保智能化水平。</w:t>
      </w:r>
    </w:p>
    <w:p w14:paraId="00FFD4A4">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（七）校园突发事件应急处理</w:t>
      </w:r>
    </w:p>
    <w:p w14:paraId="01409BF5">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w:t>
      </w:r>
      <w:r>
        <w:rPr>
          <w:color w:val="auto"/>
          <w:sz w:val="24"/>
          <w:szCs w:val="24"/>
        </w:rPr>
        <w:t>中标人应对校园内各类（如群体、暴恐、个人极端、意外伤亡等）突发事件、安全事故预防、火灾（情）扑救等，建立预案和建立调度应急机动人员机制，随时准备提供紧急救助和处置；如遇突发治安、交通、火警等案事件，要做到快速反应，处理及时， 报告及时。</w:t>
      </w:r>
    </w:p>
    <w:p w14:paraId="02511755">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2.</w:t>
      </w:r>
      <w:r>
        <w:rPr>
          <w:color w:val="auto"/>
          <w:sz w:val="24"/>
          <w:szCs w:val="24"/>
        </w:rPr>
        <w:t>制定突发事件应急处置预案，开展演练，预案报采购人保卫部门备案。</w:t>
      </w:r>
    </w:p>
    <w:p w14:paraId="75FCD261">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3.</w:t>
      </w:r>
      <w:r>
        <w:rPr>
          <w:color w:val="auto"/>
          <w:sz w:val="24"/>
          <w:szCs w:val="24"/>
        </w:rPr>
        <w:t>突发事件发生时，中标人应在 3 分钟之内到达现场，接受采购人指挥，启动相应预案进行处理。</w:t>
      </w:r>
    </w:p>
    <w:p w14:paraId="0D65B3FB">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4.</w:t>
      </w:r>
      <w:r>
        <w:rPr>
          <w:color w:val="auto"/>
          <w:sz w:val="24"/>
          <w:szCs w:val="24"/>
        </w:rPr>
        <w:t>火灾（警）应急处理：按消防规范快速反应，妥善处置。</w:t>
      </w:r>
    </w:p>
    <w:p w14:paraId="09ED42CF">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5.</w:t>
      </w:r>
      <w:r>
        <w:rPr>
          <w:color w:val="auto"/>
          <w:sz w:val="24"/>
          <w:szCs w:val="24"/>
        </w:rPr>
        <w:t>发生暴恐、盗抢、行凶、自杀等突发事件时，应立即采取有效措施（如组织围捕、控制现场、启动联动预案等），在向公安部门报案的同时向采购人保卫部门报告。当公安机关介入调查、处理事件时，中标人应积极配合，协助处理。</w:t>
      </w:r>
    </w:p>
    <w:p w14:paraId="181B98A7">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6.</w:t>
      </w:r>
      <w:r>
        <w:rPr>
          <w:color w:val="auto"/>
          <w:sz w:val="24"/>
          <w:szCs w:val="24"/>
        </w:rPr>
        <w:t>发生自然灾害时，中标人应立即向采购人保卫部门报告，同时组织力量对人员、物资等进行救助，并加强现场安全保卫，防范破坏。</w:t>
      </w:r>
    </w:p>
    <w:p w14:paraId="0477B500">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7.</w:t>
      </w:r>
      <w:r>
        <w:rPr>
          <w:color w:val="auto"/>
          <w:sz w:val="24"/>
          <w:szCs w:val="24"/>
        </w:rPr>
        <w:t>保安人员在巡逻检查时，如发现可疑物品，应及时报告，并作好现场警戒，立即通知当值负责人到场处置。</w:t>
      </w:r>
    </w:p>
    <w:p w14:paraId="6E15217B">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（八）校事活动以及校园大型群众性活动保障</w:t>
      </w:r>
    </w:p>
    <w:p w14:paraId="1A417850">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color w:val="auto"/>
          <w:sz w:val="24"/>
          <w:szCs w:val="24"/>
        </w:rPr>
        <w:t>★</w:t>
      </w:r>
      <w:r>
        <w:rPr>
          <w:rFonts w:hint="eastAsia"/>
          <w:color w:val="auto"/>
          <w:sz w:val="24"/>
          <w:szCs w:val="24"/>
          <w:lang w:val="en-US" w:eastAsia="zh-CN"/>
        </w:rPr>
        <w:t>1.</w:t>
      </w:r>
      <w:r>
        <w:rPr>
          <w:color w:val="auto"/>
          <w:sz w:val="24"/>
          <w:szCs w:val="24"/>
        </w:rPr>
        <w:t>对采购人在校园内举行的各种大型学术论坛、会议、庆典、晚会等活动，根据采购人要求完成活动安保任务，做好安全保障工作；在采购人的开学季、毕业季、校运会、学生跨校区搬迁时，中标人应增派足够人员到校加强现场协调和安保，由此产生费用均包含在投标报价中。</w:t>
      </w:r>
    </w:p>
    <w:p w14:paraId="3D8B004B">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（九）完成临时交办安保任务</w:t>
      </w:r>
    </w:p>
    <w:p w14:paraId="63E71A51">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w:t>
      </w:r>
      <w:r>
        <w:rPr>
          <w:color w:val="auto"/>
          <w:sz w:val="24"/>
          <w:szCs w:val="24"/>
        </w:rPr>
        <w:t>承担采购人临时交办的其它属于保安服务范畴内的安保工作任务（不仅限于上述工作范围），以及接受采购人师生员工和其他服务对象的应急求助。</w:t>
      </w:r>
    </w:p>
    <w:p w14:paraId="0EB61F60">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2.</w:t>
      </w:r>
      <w:r>
        <w:rPr>
          <w:color w:val="auto"/>
          <w:sz w:val="24"/>
          <w:szCs w:val="24"/>
        </w:rPr>
        <w:t>具体安全保卫服务内容、质量标准要求、器材配备要求详见《</w:t>
      </w:r>
      <w:r>
        <w:rPr>
          <w:rFonts w:hint="eastAsia"/>
          <w:color w:val="auto"/>
          <w:sz w:val="24"/>
          <w:szCs w:val="24"/>
          <w:lang w:val="en-US" w:eastAsia="zh-CN"/>
        </w:rPr>
        <w:t>学院</w:t>
      </w:r>
      <w:r>
        <w:rPr>
          <w:color w:val="auto"/>
          <w:sz w:val="24"/>
          <w:szCs w:val="24"/>
        </w:rPr>
        <w:t>安保服务委托合同》及附件。</w:t>
      </w:r>
    </w:p>
    <w:p w14:paraId="2C6D34D1">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四、合同期限</w:t>
      </w:r>
    </w:p>
    <w:p w14:paraId="2E242B16">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（一）本项目的合同期限自 202</w:t>
      </w:r>
      <w:r>
        <w:rPr>
          <w:rFonts w:hint="eastAsia"/>
          <w:color w:val="auto"/>
          <w:sz w:val="24"/>
          <w:szCs w:val="24"/>
          <w:lang w:val="en-US" w:eastAsia="zh-CN"/>
        </w:rPr>
        <w:t>6</w:t>
      </w:r>
      <w:r>
        <w:rPr>
          <w:color w:val="auto"/>
          <w:sz w:val="24"/>
          <w:szCs w:val="24"/>
        </w:rPr>
        <w:t xml:space="preserve"> 年</w:t>
      </w:r>
      <w:r>
        <w:rPr>
          <w:rFonts w:hint="eastAsia"/>
          <w:color w:val="auto"/>
          <w:sz w:val="24"/>
          <w:szCs w:val="24"/>
          <w:lang w:val="en-US" w:eastAsia="zh-CN"/>
        </w:rPr>
        <w:t>9</w:t>
      </w:r>
      <w:r>
        <w:rPr>
          <w:color w:val="auto"/>
          <w:sz w:val="24"/>
          <w:szCs w:val="24"/>
        </w:rPr>
        <w:t xml:space="preserve">月 </w:t>
      </w:r>
      <w:r>
        <w:rPr>
          <w:rFonts w:hint="eastAsia"/>
          <w:color w:val="auto"/>
          <w:sz w:val="24"/>
          <w:szCs w:val="24"/>
          <w:lang w:val="en-US" w:eastAsia="zh-CN"/>
        </w:rPr>
        <w:t>30</w:t>
      </w:r>
      <w:r>
        <w:rPr>
          <w:color w:val="auto"/>
          <w:sz w:val="24"/>
          <w:szCs w:val="24"/>
        </w:rPr>
        <w:t xml:space="preserve"> 日至 </w:t>
      </w:r>
      <w:r>
        <w:rPr>
          <w:rFonts w:hint="eastAsia"/>
          <w:color w:val="auto"/>
          <w:sz w:val="24"/>
          <w:szCs w:val="24"/>
          <w:u w:val="single"/>
          <w:lang w:val="en-US" w:eastAsia="zh-CN"/>
        </w:rPr>
        <w:t xml:space="preserve">     </w:t>
      </w:r>
      <w:r>
        <w:rPr>
          <w:color w:val="auto"/>
          <w:sz w:val="24"/>
          <w:szCs w:val="24"/>
        </w:rPr>
        <w:t>年</w:t>
      </w:r>
      <w:r>
        <w:rPr>
          <w:rFonts w:hint="eastAsia"/>
          <w:color w:val="auto"/>
          <w:sz w:val="24"/>
          <w:szCs w:val="24"/>
          <w:u w:val="single"/>
          <w:lang w:val="en-US" w:eastAsia="zh-CN"/>
        </w:rPr>
        <w:t xml:space="preserve">     </w:t>
      </w:r>
      <w:r>
        <w:rPr>
          <w:color w:val="auto"/>
          <w:sz w:val="24"/>
          <w:szCs w:val="24"/>
        </w:rPr>
        <w:t>月</w:t>
      </w:r>
      <w:r>
        <w:rPr>
          <w:rFonts w:hint="eastAsia"/>
          <w:color w:val="auto"/>
          <w:sz w:val="24"/>
          <w:szCs w:val="24"/>
          <w:u w:val="single"/>
          <w:lang w:val="en-US" w:eastAsia="zh-CN"/>
        </w:rPr>
        <w:t xml:space="preserve">     </w:t>
      </w:r>
      <w:r>
        <w:rPr>
          <w:color w:val="auto"/>
          <w:sz w:val="24"/>
          <w:szCs w:val="24"/>
        </w:rPr>
        <w:t>日止。（以实际签订合同时间为准）</w:t>
      </w:r>
    </w:p>
    <w:p w14:paraId="022D42DC">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（二）在合同期内，采购人依据《</w:t>
      </w:r>
      <w:r>
        <w:rPr>
          <w:rFonts w:hint="eastAsia"/>
          <w:color w:val="auto"/>
          <w:sz w:val="24"/>
          <w:szCs w:val="24"/>
          <w:lang w:val="en-US" w:eastAsia="zh-CN"/>
        </w:rPr>
        <w:t>学院</w:t>
      </w:r>
      <w:r>
        <w:rPr>
          <w:color w:val="auto"/>
          <w:sz w:val="24"/>
          <w:szCs w:val="24"/>
        </w:rPr>
        <w:t>安保服务委托合同》及相关附件内容，对中标人进行考评，达到合同规定的服务目标，合同继续执行；否则，采购人有权终止合同。</w:t>
      </w:r>
    </w:p>
    <w:p w14:paraId="1A6449E8">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五、投标报价最高限价</w:t>
      </w:r>
    </w:p>
    <w:p w14:paraId="3B1545B1">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rFonts w:hint="eastAsia"/>
          <w:color w:val="auto"/>
          <w:sz w:val="24"/>
          <w:szCs w:val="24"/>
          <w:lang w:val="en-US" w:eastAsia="zh-CN"/>
        </w:rPr>
        <w:t>1.</w:t>
      </w:r>
      <w:r>
        <w:rPr>
          <w:color w:val="auto"/>
          <w:sz w:val="24"/>
          <w:szCs w:val="24"/>
        </w:rPr>
        <w:t>投标总报价最高限价为人民币</w:t>
      </w:r>
      <w:r>
        <w:rPr>
          <w:rFonts w:hint="eastAsia"/>
          <w:color w:val="auto"/>
          <w:sz w:val="24"/>
          <w:szCs w:val="24"/>
          <w:u w:val="single"/>
          <w:lang w:val="en-US" w:eastAsia="zh-CN"/>
        </w:rPr>
        <w:t xml:space="preserve">                                </w:t>
      </w:r>
      <w:r>
        <w:rPr>
          <w:color w:val="auto"/>
          <w:sz w:val="24"/>
          <w:szCs w:val="24"/>
        </w:rPr>
        <w:t>。投标人报价时需提供投标总报价、单价投标报价和平均每人每月投标报价。</w:t>
      </w:r>
    </w:p>
    <w:p w14:paraId="2E11B0D7">
      <w:pPr>
        <w:keepNext w:val="0"/>
        <w:keepLines w:val="0"/>
        <w:pageBreakBefore w:val="0"/>
        <w:widowControl w:val="0"/>
        <w:kinsoku/>
        <w:wordWrap/>
        <w:overflowPunct/>
        <w:topLinePunct w:val="0"/>
        <w:autoSpaceDE w:val="0"/>
        <w:autoSpaceDN w:val="0"/>
        <w:bidi w:val="0"/>
        <w:adjustRightInd/>
        <w:snapToGrid/>
        <w:spacing w:line="400" w:lineRule="exact"/>
        <w:ind w:firstLine="480" w:firstLineChars="200"/>
        <w:textAlignment w:val="auto"/>
        <w:rPr>
          <w:color w:val="auto"/>
          <w:sz w:val="24"/>
          <w:szCs w:val="24"/>
        </w:rPr>
      </w:pPr>
      <w:r>
        <w:rPr>
          <w:color w:val="auto"/>
          <w:sz w:val="24"/>
          <w:szCs w:val="24"/>
        </w:rPr>
        <w:t>注：单价投标报价=平均每人每月投标报价×</w:t>
      </w:r>
      <w:r>
        <w:rPr>
          <w:rFonts w:hint="eastAsia"/>
          <w:color w:val="auto"/>
          <w:sz w:val="24"/>
          <w:szCs w:val="24"/>
          <w:lang w:val="en-US" w:eastAsia="zh-CN"/>
        </w:rPr>
        <w:t>64</w:t>
      </w:r>
      <w:r>
        <w:rPr>
          <w:color w:val="auto"/>
          <w:sz w:val="24"/>
          <w:szCs w:val="24"/>
        </w:rPr>
        <w:t>人·月； 投标总报价=单价投标报价×</w:t>
      </w:r>
      <w:r>
        <w:rPr>
          <w:rFonts w:hint="eastAsia"/>
          <w:color w:val="auto"/>
          <w:sz w:val="24"/>
          <w:szCs w:val="24"/>
          <w:u w:val="single"/>
          <w:lang w:val="en-US" w:eastAsia="zh-CN"/>
        </w:rPr>
        <w:t xml:space="preserve">    </w:t>
      </w:r>
      <w:r>
        <w:rPr>
          <w:color w:val="auto"/>
          <w:sz w:val="24"/>
          <w:szCs w:val="24"/>
        </w:rPr>
        <w:t>个月。超过限价标准投标无效。</w:t>
      </w:r>
    </w:p>
    <w:p w14:paraId="2FFC8EA3">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六、管理及责任说明</w:t>
      </w:r>
    </w:p>
    <w:p w14:paraId="3B6A54FE">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（一）中标人派出的保安员内部或与他人发生纠纷时，由中标人管理人员负责调解处理； 遇与校内其他单位发生矛盾或纠纷时，由采购人保卫部门出面协调处理。调解或协调无效时，依据有关法律规定处理。</w:t>
      </w:r>
    </w:p>
    <w:p w14:paraId="77545B4C">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（二）采购人提供给中标人的所有办公设备、物资器材和房屋等，如因中标人及其人员工作（操作）失误或人为造成损坏的，由中标人负责赔偿。</w:t>
      </w:r>
    </w:p>
    <w:p w14:paraId="778011DC">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（三）因中标人派出人员疏于职守，工作失职造成采购人以及服务对象损失的，均由中标人负责赔偿。如因中标人责任，造成采购人以及服务对象重大经济损失或重大失误， 采购人有权终止合同，并追究中标人的经济责任。</w:t>
      </w:r>
    </w:p>
    <w:p w14:paraId="7A7763CE">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（四）发生中标人派出保安人员监守自盗或者内外勾结，为作案嫌疑人提供方便造成采购人或服务对象损失的，追究中标人的法律责任，并由中标人按实际情况赔偿损失。</w:t>
      </w:r>
    </w:p>
    <w:p w14:paraId="4945F82D">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五）采购人提供必要的工作用房，中标人应按采购人校内收费标准支付相应的费用。中标人自筹资金、自带设备、自行组织人员，按合同要求提供服务，自主经营、自负盈亏。所有设备（包括交通工具、通讯器材、防身器）、管理用房（办公室、仓库等）涉及的住宿费、水电费等由中标人承担。采购人提供校园安全保卫服务工作所需的相关设施、设备和技术资料等，并在合同期满时予以收回，中标人应妥善管理、使用。</w:t>
      </w:r>
    </w:p>
    <w:p w14:paraId="105CC1AD">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七、保安员管理要求</w:t>
      </w:r>
    </w:p>
    <w:p w14:paraId="5CC7781B">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（一）人员配置要求</w:t>
      </w:r>
    </w:p>
    <w:p w14:paraId="54DBE88E">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color w:val="auto"/>
          <w:sz w:val="24"/>
          <w:szCs w:val="24"/>
        </w:rPr>
        <w:t>1.配置人数不少于</w:t>
      </w:r>
      <w:r>
        <w:rPr>
          <w:rFonts w:hint="eastAsia"/>
          <w:color w:val="auto"/>
          <w:sz w:val="24"/>
          <w:szCs w:val="24"/>
          <w:lang w:val="en-US" w:eastAsia="zh-CN"/>
        </w:rPr>
        <w:t>64</w:t>
      </w:r>
      <w:r>
        <w:rPr>
          <w:color w:val="auto"/>
          <w:sz w:val="24"/>
          <w:szCs w:val="24"/>
        </w:rPr>
        <w:t xml:space="preserve">人，其中需包含 </w:t>
      </w:r>
      <w:r>
        <w:rPr>
          <w:rFonts w:hint="eastAsia"/>
          <w:color w:val="auto"/>
          <w:sz w:val="24"/>
          <w:szCs w:val="24"/>
          <w:lang w:val="en-US" w:eastAsia="zh-CN"/>
        </w:rPr>
        <w:t>6</w:t>
      </w:r>
      <w:r>
        <w:rPr>
          <w:color w:val="auto"/>
          <w:sz w:val="24"/>
          <w:szCs w:val="24"/>
        </w:rPr>
        <w:t>名持有消防设施操作员职业资格证书（中级/四级或以上）或建（构） 筑物消防员职业资格证书的消防监控中心保安员。</w:t>
      </w:r>
    </w:p>
    <w:p w14:paraId="6C2BD07C">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color w:val="auto"/>
          <w:sz w:val="24"/>
          <w:szCs w:val="24"/>
        </w:rPr>
        <w:t>2.为保障本项目的服务响应时效和质量，确保项目按时完成并达到采购人预期效果，投标人需为本项目配置 1 名具有保安员二级/技师（原保安师）或以上职业资格证书（技能等级证书）的项目主管，负责项目统筹沟通、把控项目质量、协调和管理项目团队成员。</w:t>
      </w:r>
    </w:p>
    <w:p w14:paraId="129CF9FC">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color w:val="auto"/>
          <w:sz w:val="24"/>
          <w:szCs w:val="24"/>
        </w:rPr>
        <w:t xml:space="preserve">3.为加强本项目的安全性和监管力度，投标人需为本项目配置 </w:t>
      </w:r>
      <w:r>
        <w:rPr>
          <w:rFonts w:hint="eastAsia"/>
          <w:color w:val="auto"/>
          <w:sz w:val="24"/>
          <w:szCs w:val="24"/>
          <w:lang w:val="en-US" w:eastAsia="zh-CN"/>
        </w:rPr>
        <w:t>1</w:t>
      </w:r>
      <w:r>
        <w:rPr>
          <w:color w:val="auto"/>
          <w:sz w:val="24"/>
          <w:szCs w:val="24"/>
        </w:rPr>
        <w:t>名同时持有有效的安防从业人员教育培训合格证书及建（构）筑物消防员职业资格证书（或消防设施操作员职业资格证书）的项目队长，负责本项目服务区域范围内的安全和秩序管理。</w:t>
      </w:r>
    </w:p>
    <w:p w14:paraId="4A6B88D5">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（二）保安员要求</w:t>
      </w:r>
    </w:p>
    <w:p w14:paraId="274783C3">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保安员基本要求</w:t>
      </w:r>
    </w:p>
    <w:p w14:paraId="41CF1D96">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w:t>
      </w:r>
      <w:r>
        <w:rPr>
          <w:color w:val="auto"/>
          <w:sz w:val="24"/>
          <w:szCs w:val="24"/>
        </w:rPr>
        <w:t>政治思想品德良好，遵纪守法，无违法犯罪记录。</w:t>
      </w:r>
    </w:p>
    <w:p w14:paraId="550E54F1">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2.</w:t>
      </w:r>
      <w:r>
        <w:rPr>
          <w:color w:val="auto"/>
          <w:sz w:val="24"/>
          <w:szCs w:val="24"/>
        </w:rPr>
        <w:t>热爱安保工作，具较强的工作责任心，具备与岗位职责相应的观察、发现、处置问题能力。</w:t>
      </w:r>
    </w:p>
    <w:p w14:paraId="100D5997">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3.</w:t>
      </w:r>
      <w:r>
        <w:rPr>
          <w:color w:val="auto"/>
          <w:sz w:val="24"/>
          <w:szCs w:val="24"/>
        </w:rPr>
        <w:t>纪律性强，确保绝对遵守采购人的工作规章制度与管理规定，服从采购人保卫部门的指挥。</w:t>
      </w:r>
    </w:p>
    <w:p w14:paraId="6E02D5EE">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4.</w:t>
      </w:r>
      <w:r>
        <w:rPr>
          <w:color w:val="auto"/>
          <w:sz w:val="24"/>
          <w:szCs w:val="24"/>
        </w:rPr>
        <w:t>男保安员身高一般应达到 165cm 或以上，女保安员身高一般应达到 155cm 或以上，年龄应在 18-45 岁之间。五官端正，双眼裸视 0.8 以上，无色盲，无纹身，无不良嗜好，身心健康，符合安保行业的体格要求。</w:t>
      </w:r>
    </w:p>
    <w:p w14:paraId="1AE9930B">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5.</w:t>
      </w:r>
      <w:r>
        <w:rPr>
          <w:color w:val="auto"/>
          <w:sz w:val="24"/>
          <w:szCs w:val="24"/>
        </w:rPr>
        <w:t>具有高中及以上学历，具备较好的普通话听说能力及一定的语言和文字表达能力。</w:t>
      </w:r>
    </w:p>
    <w:p w14:paraId="71A45BAF">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6.</w:t>
      </w:r>
      <w:r>
        <w:rPr>
          <w:color w:val="auto"/>
          <w:sz w:val="24"/>
          <w:szCs w:val="24"/>
        </w:rPr>
        <w:t>掌握基本法律知识，熟悉保安工作相关的政策规定，熟悉劳动法、劳动合同法相关政策规定，确保能依法依规遵守。</w:t>
      </w:r>
    </w:p>
    <w:p w14:paraId="6ACDC462">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7.</w:t>
      </w:r>
      <w:r>
        <w:rPr>
          <w:color w:val="auto"/>
          <w:sz w:val="24"/>
          <w:szCs w:val="24"/>
        </w:rPr>
        <w:t>掌握使用保安器械、通讯器材、技术防范设施设备、常见消防设施设备的基本技能，掌握一定的防卫和擒敌技能。</w:t>
      </w:r>
    </w:p>
    <w:p w14:paraId="12348DCF">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8.</w:t>
      </w:r>
      <w:r>
        <w:rPr>
          <w:color w:val="auto"/>
          <w:sz w:val="24"/>
          <w:szCs w:val="24"/>
        </w:rPr>
        <w:t>因项目实施过程中可能发生地震、水灾等不可抗力事件或火灾等意外事故， 投标人应储备具有应急救援员职业资格证书或注册安全工程师执业证书或注册消防工程师执业证书的保安员</w:t>
      </w:r>
      <w:r>
        <w:rPr>
          <w:rFonts w:hint="eastAsia"/>
          <w:color w:val="auto"/>
          <w:sz w:val="24"/>
          <w:szCs w:val="24"/>
          <w:lang w:eastAsia="zh-CN"/>
        </w:rPr>
        <w:t>，</w:t>
      </w:r>
      <w:r>
        <w:rPr>
          <w:color w:val="auto"/>
          <w:sz w:val="24"/>
          <w:szCs w:val="24"/>
        </w:rPr>
        <w:t>可有效协助采购人、政府有关部门开展救援工作。</w:t>
      </w:r>
    </w:p>
    <w:p w14:paraId="5BECD33F">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保安员不得有下列情形之一：</w:t>
      </w:r>
    </w:p>
    <w:p w14:paraId="1214AC5D">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w:t>
      </w:r>
      <w:r>
        <w:rPr>
          <w:color w:val="auto"/>
          <w:sz w:val="24"/>
          <w:szCs w:val="24"/>
        </w:rPr>
        <w:t>受过刑事处罚或者涉嫌违法犯罪尚未查清的。</w:t>
      </w:r>
    </w:p>
    <w:p w14:paraId="0BB07E0D">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2.</w:t>
      </w:r>
      <w:r>
        <w:rPr>
          <w:color w:val="auto"/>
          <w:sz w:val="24"/>
          <w:szCs w:val="24"/>
        </w:rPr>
        <w:t>编造、散布有损国家声誉，反对党的理论和路线方针政策，违反国家法律法规信息的。</w:t>
      </w:r>
    </w:p>
    <w:p w14:paraId="631BCD2D">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3.</w:t>
      </w:r>
      <w:r>
        <w:rPr>
          <w:color w:val="auto"/>
          <w:sz w:val="24"/>
          <w:szCs w:val="24"/>
        </w:rPr>
        <w:t>因吸食、注射毒品，卖淫、嫖娼，赌博或为赌博提供条件受到处罚的。</w:t>
      </w:r>
    </w:p>
    <w:p w14:paraId="2E666C93">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4.</w:t>
      </w:r>
      <w:r>
        <w:rPr>
          <w:color w:val="auto"/>
          <w:sz w:val="24"/>
          <w:szCs w:val="24"/>
        </w:rPr>
        <w:t>患有精神疾病或长期服用精神类药物的。</w:t>
      </w:r>
    </w:p>
    <w:p w14:paraId="375E85E8">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5.</w:t>
      </w:r>
      <w:r>
        <w:rPr>
          <w:color w:val="auto"/>
          <w:sz w:val="24"/>
          <w:szCs w:val="24"/>
        </w:rPr>
        <w:t>被行政拘留、司法拘留或收容教育的。</w:t>
      </w:r>
    </w:p>
    <w:p w14:paraId="2158D183">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6.</w:t>
      </w:r>
      <w:r>
        <w:rPr>
          <w:color w:val="auto"/>
          <w:sz w:val="24"/>
          <w:szCs w:val="24"/>
        </w:rPr>
        <w:t>被吊销保安员证未满 3 年的。</w:t>
      </w:r>
    </w:p>
    <w:p w14:paraId="3BE4603B">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7.</w:t>
      </w:r>
      <w:r>
        <w:rPr>
          <w:color w:val="auto"/>
          <w:sz w:val="24"/>
          <w:szCs w:val="24"/>
        </w:rPr>
        <w:t>被开除公职、开除军籍或者因违纪违规被辞退解聘的。</w:t>
      </w:r>
    </w:p>
    <w:p w14:paraId="08374706">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8.</w:t>
      </w:r>
      <w:r>
        <w:rPr>
          <w:color w:val="auto"/>
          <w:sz w:val="24"/>
          <w:szCs w:val="24"/>
        </w:rPr>
        <w:t>有较为严重个人不良信用记录的。</w:t>
      </w:r>
    </w:p>
    <w:p w14:paraId="7F4394D3">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9.</w:t>
      </w:r>
      <w:r>
        <w:rPr>
          <w:color w:val="auto"/>
          <w:sz w:val="24"/>
          <w:szCs w:val="24"/>
        </w:rPr>
        <w:t>其他不适宜从事保安工作的。</w:t>
      </w:r>
    </w:p>
    <w:p w14:paraId="73CD7FC7">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10.</w:t>
      </w:r>
      <w:r>
        <w:rPr>
          <w:color w:val="auto"/>
          <w:sz w:val="24"/>
          <w:szCs w:val="24"/>
        </w:rPr>
        <w:t>投标人委派的团队管理人员、保安员应具备较高的政治思想素质，能为采购人优先选择配备具有退役军人或中共党员身份的人员服务。对于采购人因党建活动需要（如开展专题党课等）时，投标人能积极配合，应能从日常参与服务团队人员挑选若干名中共党员参与活动，在强化国家安全意识、增强校园安全治理能力、贯彻总体国家安全观、推进校园安保体系现代化、防范化解重大安全风险等方面能提出可行性举措，以便树立采购人校园安保新形象。</w:t>
      </w:r>
    </w:p>
    <w:p w14:paraId="24721152">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其他要求</w:t>
      </w:r>
    </w:p>
    <w:p w14:paraId="6D57B624">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w:t>
      </w:r>
      <w:r>
        <w:rPr>
          <w:color w:val="auto"/>
          <w:sz w:val="24"/>
          <w:szCs w:val="24"/>
        </w:rPr>
        <w:t>投标人应保证其派驻的保安员已与中标人签订有效劳动合同，并购买人身意外伤害保险及规定的社会保险及其他保障，按照“六工一休”原则,每周工作时间 6 天，每人每天工作 8 小时，超出法定时间按加班执行。</w:t>
      </w:r>
    </w:p>
    <w:p w14:paraId="7FE4E824">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w:t>
      </w:r>
      <w:r>
        <w:rPr>
          <w:rFonts w:hint="eastAsia"/>
          <w:color w:val="auto"/>
          <w:sz w:val="24"/>
          <w:szCs w:val="24"/>
          <w:lang w:val="en-US" w:eastAsia="zh-CN"/>
        </w:rPr>
        <w:t>2.</w:t>
      </w:r>
      <w:r>
        <w:rPr>
          <w:color w:val="auto"/>
          <w:sz w:val="24"/>
          <w:szCs w:val="24"/>
        </w:rPr>
        <w:t>派驻保安员的工资、加班费、福利（社保等）不得低于广州市用工的法定标准，投标人在报价时应予充分测算，并承诺保安员月薪净收入不得低于广州市最低工资标准（不含加班费）；履约期间，因广州市最低工资标准提高时应相应增加保安员工资。</w:t>
      </w:r>
    </w:p>
    <w:p w14:paraId="443BA237">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3.</w:t>
      </w:r>
      <w:r>
        <w:rPr>
          <w:color w:val="auto"/>
          <w:sz w:val="24"/>
          <w:szCs w:val="24"/>
        </w:rPr>
        <w:t>保安员保安服务费，生活、水电费，交通租赁费用，对讲机使用费用等可预见或不可预见的一切费用应包含在投标报价中。</w:t>
      </w:r>
    </w:p>
    <w:p w14:paraId="28439AA4">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4.</w:t>
      </w:r>
      <w:r>
        <w:rPr>
          <w:color w:val="auto"/>
          <w:sz w:val="24"/>
          <w:szCs w:val="24"/>
        </w:rPr>
        <w:t>中标人应当根据保安服务岗位应定期对保安员进行法律、保安专业知识和技能培训。</w:t>
      </w:r>
    </w:p>
    <w:p w14:paraId="313AC94D">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5.</w:t>
      </w:r>
      <w:r>
        <w:rPr>
          <w:color w:val="auto"/>
          <w:sz w:val="24"/>
          <w:szCs w:val="24"/>
        </w:rPr>
        <w:t>保安人员须遵守采购人的有关规章制度，接受采购人管理、指挥与考核。</w:t>
      </w:r>
    </w:p>
    <w:p w14:paraId="627E312A">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6.</w:t>
      </w:r>
      <w:r>
        <w:rPr>
          <w:color w:val="auto"/>
          <w:sz w:val="24"/>
          <w:szCs w:val="24"/>
        </w:rPr>
        <w:t>中标人应当配合采购人定期对保安员进行考核，发现保安员不合格或者严重违反管理制度，应予以更换，更换队长及骨干需提前 30 天向采购人保卫部门申报，且不得因人员更换影响或干扰采购人的正常秩序。</w:t>
      </w:r>
    </w:p>
    <w:p w14:paraId="5B06C6F3">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7.</w:t>
      </w:r>
      <w:r>
        <w:rPr>
          <w:color w:val="auto"/>
          <w:sz w:val="24"/>
          <w:szCs w:val="24"/>
        </w:rPr>
        <w:t>中标人应建立对派出保安员的纠察机制，对执勤情况、服务质量、廉洁工作、精神风貌等进行检查，及时发现和纠正不良情形，相关情况每月报采购人保卫部门。</w:t>
      </w:r>
    </w:p>
    <w:p w14:paraId="0B63B5B4">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★八、主要装备要求</w:t>
      </w:r>
    </w:p>
    <w:p w14:paraId="6AFF65AE">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w:t>
      </w:r>
      <w:r>
        <w:rPr>
          <w:color w:val="auto"/>
          <w:sz w:val="24"/>
          <w:szCs w:val="24"/>
        </w:rPr>
        <w:t>投标人须为本项目配备</w:t>
      </w:r>
      <w:r>
        <w:rPr>
          <w:rFonts w:hint="eastAsia"/>
          <w:color w:val="auto"/>
          <w:sz w:val="24"/>
          <w:szCs w:val="24"/>
          <w:lang w:val="en-US" w:eastAsia="zh-CN"/>
        </w:rPr>
        <w:t>值班岗亭、</w:t>
      </w:r>
      <w:r>
        <w:rPr>
          <w:color w:val="auto"/>
          <w:sz w:val="24"/>
          <w:szCs w:val="24"/>
        </w:rPr>
        <w:t>个人应急防护装备、电动巡逻车、警用自行车、警用执法仪、安全防范器材、保安制服、值勤雨具雨鞋等主要装备，相关费用均包含在投标报价中， 采购人不再另行支付，具体要求如下：</w:t>
      </w:r>
    </w:p>
    <w:p w14:paraId="614DFC1E">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2.</w:t>
      </w:r>
      <w:r>
        <w:rPr>
          <w:color w:val="auto"/>
          <w:sz w:val="24"/>
          <w:szCs w:val="24"/>
        </w:rPr>
        <w:t xml:space="preserve">适应本项目安保服务需要的个人应急防护装备不少于 </w:t>
      </w:r>
      <w:r>
        <w:rPr>
          <w:rFonts w:hint="eastAsia"/>
          <w:color w:val="auto"/>
          <w:sz w:val="24"/>
          <w:szCs w:val="24"/>
          <w:lang w:val="en-US" w:eastAsia="zh-CN"/>
        </w:rPr>
        <w:t>30</w:t>
      </w:r>
      <w:r>
        <w:rPr>
          <w:color w:val="auto"/>
          <w:sz w:val="24"/>
          <w:szCs w:val="24"/>
        </w:rPr>
        <w:t xml:space="preserve"> 套，根据《反恐怖防范管理第 5 部分教育机构（广州市地方标准 DB4401T10.5—2019）》广州市反恐怖重点防范目标单位反恐装备建设参考标准要求，上岗执勤的安保人员必须携带齐整的个人应急防护装备（对讲机、强光手电、防护棍棒、自卫喷雾器、毛巾、口罩、防暴盾牌、钢叉、防暴头盔、防割（防刺）手套、防刺服等），个人应急防护装备原则上同一班的安保人员不得共同使用；</w:t>
      </w:r>
    </w:p>
    <w:p w14:paraId="3F063FEF">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rFonts w:hint="default" w:eastAsia="宋体"/>
          <w:color w:val="auto"/>
          <w:sz w:val="24"/>
          <w:szCs w:val="24"/>
          <w:lang w:val="en-US" w:eastAsia="zh-CN"/>
        </w:rPr>
      </w:pPr>
      <w:r>
        <w:rPr>
          <w:rFonts w:hint="eastAsia"/>
          <w:color w:val="auto"/>
          <w:sz w:val="24"/>
          <w:szCs w:val="24"/>
          <w:lang w:val="en-US" w:eastAsia="zh-CN"/>
        </w:rPr>
        <w:t>3.</w:t>
      </w:r>
      <w:r>
        <w:rPr>
          <w:rFonts w:hint="eastAsia"/>
          <w:color w:val="auto"/>
          <w:sz w:val="24"/>
          <w:szCs w:val="24"/>
        </w:rPr>
        <w:t>需配备四轮电动巡逻车不少于2台（车龄均不超过1年），同时配备二轮电动巡逻车6台。</w:t>
      </w:r>
    </w:p>
    <w:p w14:paraId="1868470F">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4.</w:t>
      </w:r>
      <w:r>
        <w:rPr>
          <w:color w:val="auto"/>
          <w:sz w:val="24"/>
          <w:szCs w:val="24"/>
        </w:rPr>
        <w:t xml:space="preserve">警用执法仪不少于 </w:t>
      </w:r>
      <w:r>
        <w:rPr>
          <w:rFonts w:hint="eastAsia"/>
          <w:color w:val="auto"/>
          <w:sz w:val="24"/>
          <w:szCs w:val="24"/>
          <w:lang w:val="en-US" w:eastAsia="zh-CN"/>
        </w:rPr>
        <w:t>30</w:t>
      </w:r>
      <w:r>
        <w:rPr>
          <w:color w:val="auto"/>
          <w:sz w:val="24"/>
          <w:szCs w:val="24"/>
        </w:rPr>
        <w:t xml:space="preserve"> 台；</w:t>
      </w:r>
    </w:p>
    <w:p w14:paraId="49FC5DAC">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5.</w:t>
      </w:r>
      <w:r>
        <w:rPr>
          <w:color w:val="auto"/>
          <w:sz w:val="24"/>
          <w:szCs w:val="24"/>
        </w:rPr>
        <w:t xml:space="preserve">值勤雨具及雨鞋不少于 </w:t>
      </w:r>
      <w:r>
        <w:rPr>
          <w:rFonts w:hint="eastAsia"/>
          <w:color w:val="auto"/>
          <w:sz w:val="24"/>
          <w:szCs w:val="24"/>
          <w:lang w:val="en-US" w:eastAsia="zh-CN"/>
        </w:rPr>
        <w:t>30</w:t>
      </w:r>
      <w:r>
        <w:rPr>
          <w:color w:val="auto"/>
          <w:sz w:val="24"/>
          <w:szCs w:val="24"/>
        </w:rPr>
        <w:t>套；</w:t>
      </w:r>
    </w:p>
    <w:p w14:paraId="4A4C60F1">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6.</w:t>
      </w:r>
      <w:r>
        <w:rPr>
          <w:color w:val="auto"/>
          <w:sz w:val="24"/>
          <w:szCs w:val="24"/>
        </w:rPr>
        <w:t>统一配发符合采购人要求的保安制服，包括春、夏、秋、冬装及反光衣、工作用皮鞋、装备腰带（含装备袋），共不少于 4 套/人·年。</w:t>
      </w:r>
    </w:p>
    <w:p w14:paraId="5BFFA53D">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九、服务质量及标准</w:t>
      </w:r>
    </w:p>
    <w:p w14:paraId="77697A50">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w:t>
      </w:r>
      <w:r>
        <w:rPr>
          <w:color w:val="auto"/>
          <w:sz w:val="24"/>
          <w:szCs w:val="24"/>
        </w:rPr>
        <w:t>依照行业标准，根据采购人管理规定与服务要求，制定切实可行的校园安全保卫服务整体方案和应急预案。要求做到工作方案执行有力，突发事件反应迅速，及时汇报， 预案处置得力。日常工作要有详细的执勤记录，原始台账保存完好以备采购人核查。管理和服务符合本项目招标文件规定的标准，派出人员能满足采购人安全管理要求。</w:t>
      </w:r>
    </w:p>
    <w:p w14:paraId="57EF1554">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2.</w:t>
      </w:r>
      <w:r>
        <w:rPr>
          <w:color w:val="auto"/>
          <w:sz w:val="24"/>
          <w:szCs w:val="24"/>
        </w:rPr>
        <w:t>配备政治、业务素质高，工作责任心强的专职管理人员，负责对保安人员的教育训练与管理，确保保安人员的教育训练与管理，确保保安人员具有较好的政治、业务素质。</w:t>
      </w:r>
    </w:p>
    <w:p w14:paraId="6C0B32DB">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3.</w:t>
      </w:r>
      <w:r>
        <w:rPr>
          <w:color w:val="auto"/>
          <w:sz w:val="24"/>
          <w:szCs w:val="24"/>
        </w:rPr>
        <w:t>保安人员实行三级培训制（公司、中队、班），每周组织不少于一次技能培训和政治、法律、专业知识学习。</w:t>
      </w:r>
    </w:p>
    <w:p w14:paraId="4C3F4603">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4.</w:t>
      </w:r>
      <w:r>
        <w:rPr>
          <w:color w:val="auto"/>
          <w:sz w:val="24"/>
          <w:szCs w:val="24"/>
        </w:rPr>
        <w:t>依法办事、文明执勤、严格管理，维护采购人正常的教学、科研和生活秩序，保障采购人财产和师生人身权益不受侵害。安保服务符合教育主管部门、公安机关、综治机构和采购人的考核要求。</w:t>
      </w:r>
    </w:p>
    <w:p w14:paraId="10B9EE00">
      <w:pPr>
        <w:keepNext w:val="0"/>
        <w:keepLines w:val="0"/>
        <w:pageBreakBefore w:val="0"/>
        <w:widowControl w:val="0"/>
        <w:numPr>
          <w:ilvl w:val="0"/>
          <w:numId w:val="0"/>
        </w:numPr>
        <w:kinsoku/>
        <w:wordWrap/>
        <w:overflowPunct/>
        <w:topLinePunct w:val="0"/>
        <w:autoSpaceDE w:val="0"/>
        <w:autoSpaceDN w:val="0"/>
        <w:bidi w:val="0"/>
        <w:adjustRightInd/>
        <w:snapToGrid/>
        <w:spacing w:line="400" w:lineRule="exact"/>
        <w:ind w:left="0" w:leftChars="0" w:right="0" w:rightChars="0" w:firstLine="240" w:firstLineChars="100"/>
        <w:textAlignment w:val="auto"/>
        <w:rPr>
          <w:color w:val="auto"/>
          <w:sz w:val="24"/>
          <w:szCs w:val="24"/>
        </w:rPr>
      </w:pPr>
      <w:r>
        <w:rPr>
          <w:rFonts w:hint="eastAsia" w:cs="宋体"/>
          <w:color w:val="auto"/>
          <w:sz w:val="24"/>
          <w:szCs w:val="24"/>
          <w:lang w:val="en-US" w:eastAsia="zh-CN" w:bidi="zh-CN"/>
        </w:rPr>
        <w:t>5</w:t>
      </w:r>
      <w:r>
        <w:rPr>
          <w:rFonts w:ascii="宋体" w:hAnsi="宋体" w:eastAsia="宋体" w:cs="宋体"/>
          <w:color w:val="auto"/>
          <w:sz w:val="24"/>
          <w:szCs w:val="24"/>
          <w:lang w:val="zh-CN" w:eastAsia="zh-CN" w:bidi="zh-CN"/>
        </w:rPr>
        <w:t>.</w:t>
      </w:r>
      <w:r>
        <w:rPr>
          <w:color w:val="auto"/>
          <w:sz w:val="24"/>
          <w:szCs w:val="24"/>
        </w:rPr>
        <w:t>按岗位设置实行 24 小时值班和巡逻（特殊岗位按规定时间值班和巡逻），保安人员的工作时间实行 8 小时三班运转制（或更优化机制），保证保安员的工作时间须符合劳动法相关规定，保持良好的工作状态和精神风貌。</w:t>
      </w:r>
    </w:p>
    <w:p w14:paraId="55343811">
      <w:pPr>
        <w:keepNext w:val="0"/>
        <w:keepLines w:val="0"/>
        <w:pageBreakBefore w:val="0"/>
        <w:widowControl w:val="0"/>
        <w:numPr>
          <w:ilvl w:val="0"/>
          <w:numId w:val="0"/>
        </w:numPr>
        <w:kinsoku/>
        <w:wordWrap/>
        <w:overflowPunct/>
        <w:topLinePunct w:val="0"/>
        <w:autoSpaceDE w:val="0"/>
        <w:autoSpaceDN w:val="0"/>
        <w:bidi w:val="0"/>
        <w:adjustRightInd/>
        <w:snapToGrid/>
        <w:spacing w:line="400" w:lineRule="exact"/>
        <w:ind w:left="0" w:leftChars="0" w:right="0" w:rightChars="0" w:firstLine="240" w:firstLineChars="100"/>
        <w:textAlignment w:val="auto"/>
        <w:rPr>
          <w:color w:val="auto"/>
          <w:sz w:val="24"/>
          <w:szCs w:val="24"/>
        </w:rPr>
      </w:pPr>
      <w:r>
        <w:rPr>
          <w:rFonts w:hint="eastAsia" w:cs="宋体"/>
          <w:color w:val="auto"/>
          <w:sz w:val="24"/>
          <w:szCs w:val="24"/>
          <w:lang w:val="en-US" w:eastAsia="zh-CN" w:bidi="zh-CN"/>
        </w:rPr>
        <w:t>6</w:t>
      </w:r>
      <w:r>
        <w:rPr>
          <w:rFonts w:ascii="宋体" w:hAnsi="宋体" w:eastAsia="宋体" w:cs="宋体"/>
          <w:color w:val="auto"/>
          <w:sz w:val="24"/>
          <w:szCs w:val="24"/>
          <w:lang w:val="zh-CN" w:eastAsia="zh-CN" w:bidi="zh-CN"/>
        </w:rPr>
        <w:t>.</w:t>
      </w:r>
      <w:r>
        <w:rPr>
          <w:color w:val="auto"/>
          <w:sz w:val="24"/>
          <w:szCs w:val="24"/>
        </w:rPr>
        <w:t>保安人员政治素质过硬，服务形象佳，业务能力精，具备应急处理能力和消防救灾技能，服从保卫部门的指挥和领导。</w:t>
      </w:r>
    </w:p>
    <w:p w14:paraId="21F6D926">
      <w:pPr>
        <w:keepNext w:val="0"/>
        <w:keepLines w:val="0"/>
        <w:pageBreakBefore w:val="0"/>
        <w:widowControl w:val="0"/>
        <w:numPr>
          <w:ilvl w:val="0"/>
          <w:numId w:val="0"/>
        </w:numPr>
        <w:kinsoku/>
        <w:wordWrap/>
        <w:overflowPunct/>
        <w:topLinePunct w:val="0"/>
        <w:autoSpaceDE w:val="0"/>
        <w:autoSpaceDN w:val="0"/>
        <w:bidi w:val="0"/>
        <w:adjustRightInd/>
        <w:snapToGrid/>
        <w:spacing w:line="400" w:lineRule="exact"/>
        <w:ind w:left="0" w:leftChars="0" w:right="0" w:rightChars="0" w:firstLine="240" w:firstLineChars="100"/>
        <w:textAlignment w:val="auto"/>
        <w:rPr>
          <w:color w:val="auto"/>
          <w:sz w:val="24"/>
          <w:szCs w:val="24"/>
        </w:rPr>
      </w:pPr>
      <w:r>
        <w:rPr>
          <w:rFonts w:hint="eastAsia"/>
          <w:color w:val="auto"/>
          <w:sz w:val="24"/>
          <w:szCs w:val="24"/>
          <w:lang w:val="en-US" w:eastAsia="zh-CN"/>
        </w:rPr>
        <w:t>7.</w:t>
      </w:r>
      <w:r>
        <w:rPr>
          <w:color w:val="auto"/>
          <w:sz w:val="24"/>
          <w:szCs w:val="24"/>
        </w:rPr>
        <w:t>建立健全岗位职责，确保在岗人员具有良好的工作状态和精神风貌，执勤能力和效果得到师生认可。</w:t>
      </w:r>
    </w:p>
    <w:p w14:paraId="55B608E7">
      <w:pPr>
        <w:keepNext w:val="0"/>
        <w:keepLines w:val="0"/>
        <w:pageBreakBefore w:val="0"/>
        <w:widowControl w:val="0"/>
        <w:numPr>
          <w:ilvl w:val="0"/>
          <w:numId w:val="0"/>
        </w:numPr>
        <w:kinsoku/>
        <w:wordWrap/>
        <w:overflowPunct/>
        <w:topLinePunct w:val="0"/>
        <w:autoSpaceDE w:val="0"/>
        <w:autoSpaceDN w:val="0"/>
        <w:bidi w:val="0"/>
        <w:adjustRightInd/>
        <w:snapToGrid/>
        <w:spacing w:line="400" w:lineRule="exact"/>
        <w:ind w:left="0" w:leftChars="0" w:right="0" w:rightChars="0" w:firstLine="240" w:firstLineChars="100"/>
        <w:textAlignment w:val="auto"/>
        <w:rPr>
          <w:color w:val="auto"/>
          <w:sz w:val="24"/>
          <w:szCs w:val="24"/>
        </w:rPr>
      </w:pPr>
      <w:r>
        <w:rPr>
          <w:rFonts w:hint="eastAsia"/>
          <w:color w:val="auto"/>
          <w:sz w:val="24"/>
          <w:szCs w:val="24"/>
          <w:lang w:val="en-US" w:eastAsia="zh-CN"/>
        </w:rPr>
        <w:t>8.</w:t>
      </w:r>
      <w:r>
        <w:rPr>
          <w:color w:val="auto"/>
          <w:sz w:val="24"/>
          <w:szCs w:val="24"/>
        </w:rPr>
        <w:t>在遇有校区大型活动要对岗位进行调整的，需事前得到保卫部门的批准；在遇到紧急突发事件须对岗位或人员安排进行调整的，事后须向保卫部门提交报告进行说明。</w:t>
      </w:r>
    </w:p>
    <w:p w14:paraId="2D5993E4">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9.</w:t>
      </w:r>
      <w:r>
        <w:rPr>
          <w:color w:val="auto"/>
          <w:sz w:val="24"/>
          <w:szCs w:val="24"/>
        </w:rPr>
        <w:t>采购人保卫部门享有对保安员的调动权、对保安队员调动（轮换）的审批权、对安全保卫服务质量的评议权以及对管理工作的决定权和对保安工作的监督权。</w:t>
      </w:r>
    </w:p>
    <w:p w14:paraId="4B2F39AF">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10.</w:t>
      </w:r>
      <w:r>
        <w:rPr>
          <w:color w:val="auto"/>
          <w:sz w:val="24"/>
          <w:szCs w:val="24"/>
        </w:rPr>
        <w:t>确保保安队员没有监守自盗行为以及其它违法、违规行为；队员应具备良好的工作素质和业务能力，统一着装，文明值勤；执勤队员不能有脱岗、串岗、打瞌睡、玩手机等与工作无关的行为。</w:t>
      </w:r>
    </w:p>
    <w:p w14:paraId="104C92E1">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11.</w:t>
      </w:r>
      <w:r>
        <w:rPr>
          <w:color w:val="auto"/>
          <w:sz w:val="24"/>
          <w:szCs w:val="24"/>
        </w:rPr>
        <w:t>树立爱岗敬业、护校的主人翁精神和文明礼貌风尚，坚持文明执勤，礼貌待人，处事公正、依法依规办事，遵纪守法，执行政策。无发生保安员干扰采购人正常秩序的情形，无责任事故，无因工作不当引发负面炒作。</w:t>
      </w:r>
    </w:p>
    <w:p w14:paraId="529EC834">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12.</w:t>
      </w:r>
      <w:r>
        <w:rPr>
          <w:color w:val="auto"/>
          <w:sz w:val="24"/>
          <w:szCs w:val="24"/>
        </w:rPr>
        <w:t>建立常规性报告机制，包括周报、月报、年度报等，均须以书面形式报告，做到主动及时，不得隐报、瞒报；特别情况、重点事件要求专事专报。并根据各时期的案发特点和规律，及时发布安全温馨提示。</w:t>
      </w:r>
    </w:p>
    <w:p w14:paraId="61DA01C1">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rFonts w:hint="eastAsia"/>
          <w:color w:val="auto"/>
          <w:sz w:val="24"/>
          <w:szCs w:val="24"/>
        </w:rPr>
      </w:pPr>
      <w:r>
        <w:rPr>
          <w:rFonts w:hint="eastAsia"/>
          <w:color w:val="auto"/>
          <w:sz w:val="24"/>
          <w:szCs w:val="24"/>
          <w:lang w:val="en-US" w:eastAsia="zh-CN"/>
        </w:rPr>
        <w:t>13.</w:t>
      </w:r>
      <w:r>
        <w:rPr>
          <w:color w:val="auto"/>
          <w:sz w:val="24"/>
          <w:szCs w:val="24"/>
        </w:rPr>
        <w:t>责任区域无重大的刑事案件、交通事故、火灾事故。恶性案件发生率为 0，一般性治安案件有效控制。案发现场得到控制并能及时报警和协助破案。保安员服务质量和工作态度获得采购人师生员工以及其他服务对象的认可，无影响恶劣的重大投诉，</w:t>
      </w:r>
      <w:r>
        <w:rPr>
          <w:rFonts w:hint="eastAsia"/>
          <w:color w:val="auto"/>
          <w:sz w:val="24"/>
          <w:szCs w:val="24"/>
        </w:rPr>
        <w:t>符合师生满意率</w:t>
      </w:r>
      <w:r>
        <w:rPr>
          <w:rFonts w:hint="eastAsia"/>
          <w:color w:val="auto"/>
          <w:sz w:val="24"/>
          <w:szCs w:val="24"/>
          <w:lang w:val="en-US" w:eastAsia="zh-CN"/>
        </w:rPr>
        <w:t>超过</w:t>
      </w:r>
      <w:r>
        <w:rPr>
          <w:rFonts w:hint="eastAsia"/>
          <w:color w:val="auto"/>
          <w:sz w:val="24"/>
          <w:szCs w:val="24"/>
        </w:rPr>
        <w:t>90%（含90%）。</w:t>
      </w:r>
    </w:p>
    <w:p w14:paraId="171398B8">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14.</w:t>
      </w:r>
      <w:r>
        <w:rPr>
          <w:color w:val="auto"/>
          <w:sz w:val="24"/>
          <w:szCs w:val="24"/>
        </w:rPr>
        <w:t>车辆停放有序，道路畅通，交通标志清楚，交通指挥及导引正确。</w:t>
      </w:r>
    </w:p>
    <w:p w14:paraId="2363DDDB">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16.</w:t>
      </w:r>
      <w:r>
        <w:rPr>
          <w:color w:val="auto"/>
          <w:sz w:val="24"/>
          <w:szCs w:val="24"/>
        </w:rPr>
        <w:t>维持校园秩序，有效制止不法行为和违章行为，保证违章执勤率在 0.5％或以下， 违章处理率为 100％。对公共设施的巡逻、防盗及时，没有因保安员疏于职责造成的案件，没有监守自盗的现象。</w:t>
      </w:r>
    </w:p>
    <w:p w14:paraId="6C5572CC">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15.</w:t>
      </w:r>
      <w:r>
        <w:rPr>
          <w:color w:val="auto"/>
          <w:sz w:val="24"/>
          <w:szCs w:val="24"/>
        </w:rPr>
        <w:t>应建立突发事件应急处理方案，反应快捷，保证事故现场秩序有条不紊。</w:t>
      </w:r>
    </w:p>
    <w:p w14:paraId="410555E6">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18.</w:t>
      </w:r>
      <w:r>
        <w:rPr>
          <w:color w:val="auto"/>
          <w:sz w:val="24"/>
          <w:szCs w:val="24"/>
        </w:rPr>
        <w:t>消防管理工作符合国家消防管理法律法规，符合并通过广州市消防救援支队对重点消防单位的检查验收，不存在重大的消防隐患。同时制订有效的应急措施。建立三级防火组织，任命三级防火责任人。</w:t>
      </w:r>
    </w:p>
    <w:p w14:paraId="0C5B65AD">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16.</w:t>
      </w:r>
      <w:r>
        <w:rPr>
          <w:color w:val="auto"/>
          <w:sz w:val="24"/>
          <w:szCs w:val="24"/>
        </w:rPr>
        <w:t>建立消防管理责任制，建立志愿消防队伍，每年定期进行消防法规、消防知识和消防技能培训，定期进行消防演练。技防、消防系统设备设施完好率 99%或以上，可随时启用，无火灾及其他安全隐患，安全通道畅通、标志明显。</w:t>
      </w:r>
    </w:p>
    <w:p w14:paraId="4579640F">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17.</w:t>
      </w:r>
      <w:r>
        <w:rPr>
          <w:color w:val="auto"/>
          <w:sz w:val="24"/>
          <w:szCs w:val="24"/>
        </w:rPr>
        <w:t>完成采购人保卫部门临时交办的安保服务任务，并承担由此产生的加班劳务费。</w:t>
      </w:r>
    </w:p>
    <w:p w14:paraId="004F3E9B">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十、</w:t>
      </w:r>
      <w:r>
        <w:rPr>
          <w:rFonts w:hint="eastAsia" w:asciiTheme="majorEastAsia" w:hAnsiTheme="majorEastAsia" w:eastAsiaTheme="majorEastAsia" w:cstheme="majorEastAsia"/>
          <w:i w:val="0"/>
          <w:iCs w:val="0"/>
          <w:caps w:val="0"/>
          <w:color w:val="auto"/>
          <w:spacing w:val="4"/>
          <w:sz w:val="24"/>
          <w:szCs w:val="24"/>
          <w:shd w:val="clear" w:fill="FFFFFF"/>
        </w:rPr>
        <w:t>考核、验收与退出机制</w:t>
      </w:r>
    </w:p>
    <w:p w14:paraId="5548830C">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color w:val="auto"/>
          <w:sz w:val="24"/>
          <w:szCs w:val="24"/>
        </w:rPr>
      </w:pPr>
      <w:r>
        <w:rPr>
          <w:rFonts w:ascii="Times New Roman" w:hAnsi="Times New Roman" w:eastAsia="宋体" w:cs="Times New Roman"/>
          <w:color w:val="auto"/>
          <w:kern w:val="2"/>
          <w:sz w:val="24"/>
          <w:szCs w:val="24"/>
          <w:lang w:val="en-US" w:eastAsia="zh-CN" w:bidi="ar-SA"/>
        </w:rPr>
        <w:t>1.</w:t>
      </w:r>
      <w:r>
        <w:rPr>
          <w:color w:val="auto"/>
          <w:sz w:val="24"/>
          <w:szCs w:val="24"/>
        </w:rPr>
        <w:t>考核机制与费用挂钩</w:t>
      </w:r>
    </w:p>
    <w:p w14:paraId="3DE8D3A9">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实行“月度+年度+满意度”多维考核，结果直接挂钩服务费支付：</w:t>
      </w:r>
      <w:r>
        <w:rPr>
          <w:color w:val="auto"/>
          <w:sz w:val="24"/>
          <w:szCs w:val="24"/>
        </w:rPr>
        <w:br w:type="textWrapping"/>
      </w:r>
      <w:r>
        <w:rPr>
          <w:color w:val="auto"/>
          <w:sz w:val="24"/>
          <w:szCs w:val="24"/>
        </w:rPr>
        <w:t>（1）月度考评（权重40%）：重点考核在岗人数、响应速度及校园秩序。得分≥90分全额支付；80-89分支付95%；70-79分支付90%；低于70分视为严重不合格，当月服务费不予支付，并扣除5%履约保证金。</w:t>
      </w:r>
      <w:r>
        <w:rPr>
          <w:color w:val="auto"/>
          <w:sz w:val="24"/>
          <w:szCs w:val="24"/>
        </w:rPr>
        <w:br w:type="textWrapping"/>
      </w:r>
      <w:r>
        <w:rPr>
          <w:color w:val="auto"/>
          <w:sz w:val="24"/>
          <w:szCs w:val="24"/>
        </w:rPr>
        <w:t>（2）年度与满意度（权重60%）：每学年末进行年度考核及满意度调查。实行“一票否决制”，若发生重大责任事故（如火灾、恶性案件）或监守自盗，采购人有权单方解除合同并追究法律责任。</w:t>
      </w:r>
      <w:r>
        <w:rPr>
          <w:color w:val="auto"/>
          <w:sz w:val="24"/>
          <w:szCs w:val="24"/>
        </w:rPr>
        <w:br w:type="textWrapping"/>
      </w:r>
      <w:r>
        <w:rPr>
          <w:color w:val="auto"/>
          <w:sz w:val="24"/>
          <w:szCs w:val="24"/>
        </w:rPr>
        <w:t>（3）末位淘汰：保安员满意度连续两次低于70分或被实名投诉经查实的，中标人须在3个工作日内无条件更换人员。</w:t>
      </w:r>
      <w:r>
        <w:rPr>
          <w:color w:val="auto"/>
          <w:sz w:val="24"/>
          <w:szCs w:val="24"/>
        </w:rPr>
        <w:br w:type="textWrapping"/>
      </w:r>
      <w:r>
        <w:rPr>
          <w:rFonts w:hint="eastAsia"/>
          <w:color w:val="auto"/>
          <w:sz w:val="24"/>
          <w:szCs w:val="24"/>
        </w:rPr>
        <w:t>（4）考核实施与量化扣罚：本考核由保卫部门负责，每月参照《学院安保服务考核评分表》（见附件）对中标人的服务质量进行评分。考核结果直接与当月安保服务费结算挂钩：若月度考核得分低于</w:t>
      </w:r>
      <w:r>
        <w:rPr>
          <w:rFonts w:hint="eastAsia"/>
          <w:color w:val="auto"/>
          <w:sz w:val="24"/>
          <w:szCs w:val="24"/>
          <w:lang w:val="en-US" w:eastAsia="zh-CN"/>
        </w:rPr>
        <w:t>9</w:t>
      </w:r>
      <w:r>
        <w:rPr>
          <w:rFonts w:hint="eastAsia"/>
          <w:color w:val="auto"/>
          <w:sz w:val="24"/>
          <w:szCs w:val="24"/>
        </w:rPr>
        <w:t>0分，采购人有权从当月安保服务费中扣除</w:t>
      </w:r>
      <w:r>
        <w:rPr>
          <w:rFonts w:hint="eastAsia"/>
          <w:color w:val="auto"/>
          <w:sz w:val="24"/>
          <w:szCs w:val="24"/>
          <w:lang w:val="en-US" w:eastAsia="zh-CN"/>
        </w:rPr>
        <w:t>人民币</w:t>
      </w:r>
      <w:r>
        <w:rPr>
          <w:rFonts w:hint="eastAsia"/>
          <w:color w:val="auto"/>
          <w:sz w:val="24"/>
          <w:szCs w:val="24"/>
        </w:rPr>
        <w:t>2000元作为违约金；若连续两个月考核得分低于</w:t>
      </w:r>
      <w:r>
        <w:rPr>
          <w:rFonts w:hint="eastAsia"/>
          <w:color w:val="auto"/>
          <w:sz w:val="24"/>
          <w:szCs w:val="24"/>
          <w:lang w:val="en-US" w:eastAsia="zh-CN"/>
        </w:rPr>
        <w:t>9</w:t>
      </w:r>
      <w:r>
        <w:rPr>
          <w:rFonts w:hint="eastAsia"/>
          <w:color w:val="auto"/>
          <w:sz w:val="24"/>
          <w:szCs w:val="24"/>
        </w:rPr>
        <w:t>0分，采购人有权单方解除合同。</w:t>
      </w:r>
    </w:p>
    <w:p w14:paraId="6577E7E2">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sz w:val="24"/>
          <w:szCs w:val="24"/>
        </w:rPr>
      </w:pPr>
      <w:r>
        <w:rPr>
          <w:color w:val="auto"/>
          <w:sz w:val="24"/>
          <w:szCs w:val="24"/>
        </w:rPr>
        <w:t>2. 多层次退出与清退机制</w:t>
      </w:r>
      <w:r>
        <w:rPr>
          <w:color w:val="auto"/>
          <w:sz w:val="24"/>
          <w:szCs w:val="24"/>
        </w:rPr>
        <w:br w:type="textWrapping"/>
      </w:r>
      <w:r>
        <w:rPr>
          <w:color w:val="auto"/>
          <w:sz w:val="24"/>
          <w:szCs w:val="24"/>
        </w:rPr>
        <w:t>（1）人员清退：对有违法犯罪记录、违纪（打架/酗酒/盗窃）或不胜任岗位的人员，采购人有权随时清退，中标人须在24小时内补齐空缺，确保岗位不空缺。</w:t>
      </w:r>
      <w:r>
        <w:rPr>
          <w:color w:val="auto"/>
          <w:sz w:val="24"/>
          <w:szCs w:val="24"/>
        </w:rPr>
        <w:br w:type="textWrapping"/>
      </w:r>
      <w:r>
        <w:rPr>
          <w:color w:val="auto"/>
          <w:sz w:val="24"/>
          <w:szCs w:val="24"/>
        </w:rPr>
        <w:t>（2）项目解约：若出现年度考核不合格且整改无效、因欠薪引发群体性事件、擅自减员超5%或造成重大损失拒不赔偿等情形，采购人有权单方解除合同。</w:t>
      </w:r>
      <w:r>
        <w:rPr>
          <w:color w:val="auto"/>
          <w:sz w:val="24"/>
          <w:szCs w:val="24"/>
        </w:rPr>
        <w:br w:type="textWrapping"/>
      </w:r>
      <w:r>
        <w:rPr>
          <w:color w:val="auto"/>
          <w:sz w:val="24"/>
          <w:szCs w:val="24"/>
        </w:rPr>
        <w:t>（3）退出交接：合同终止或解除后，中标人须在5个工作日内完成撤离及移交（含技防密码、档案记录等）。每逾期一日，须支付合同总额5‰的违约金。</w:t>
      </w:r>
    </w:p>
    <w:p w14:paraId="4080283D">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十一、支付方式</w:t>
      </w:r>
    </w:p>
    <w:p w14:paraId="35DB8198">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安全保卫服务费按照《</w:t>
      </w:r>
      <w:r>
        <w:rPr>
          <w:rFonts w:hint="eastAsia"/>
          <w:color w:val="auto"/>
          <w:sz w:val="24"/>
          <w:szCs w:val="24"/>
          <w:lang w:val="en-US" w:eastAsia="zh-CN"/>
        </w:rPr>
        <w:t>学院</w:t>
      </w:r>
      <w:r>
        <w:rPr>
          <w:color w:val="auto"/>
          <w:sz w:val="24"/>
          <w:szCs w:val="24"/>
        </w:rPr>
        <w:t>安保服务委托合同》进行支付。</w:t>
      </w:r>
    </w:p>
    <w:p w14:paraId="1515A91A">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十二、履约保证金</w:t>
      </w:r>
    </w:p>
    <w:p w14:paraId="10A89A18">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w:t>
      </w:r>
      <w:r>
        <w:rPr>
          <w:color w:val="auto"/>
          <w:sz w:val="24"/>
          <w:szCs w:val="24"/>
        </w:rPr>
        <w:t xml:space="preserve">中标人在接到中标通知书 7 日内应当按照合同总价的 </w:t>
      </w:r>
      <w:r>
        <w:rPr>
          <w:rFonts w:hint="eastAsia"/>
          <w:color w:val="auto"/>
          <w:sz w:val="24"/>
          <w:szCs w:val="24"/>
          <w:lang w:val="en-US" w:eastAsia="zh-CN"/>
        </w:rPr>
        <w:t>3</w:t>
      </w:r>
      <w:r>
        <w:rPr>
          <w:color w:val="auto"/>
          <w:sz w:val="24"/>
          <w:szCs w:val="24"/>
        </w:rPr>
        <w:t>%向采购人支付履约保证金，采购人收到履约保证金后双方再签署本项目合同。</w:t>
      </w:r>
    </w:p>
    <w:p w14:paraId="0AB1C046">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2.</w:t>
      </w:r>
      <w:r>
        <w:rPr>
          <w:color w:val="auto"/>
          <w:sz w:val="24"/>
          <w:szCs w:val="24"/>
        </w:rPr>
        <w:t>本合同期满终止时，中标人完成相关安全保卫服务工作，不存在任何违反本项目合同约定情形、中标人在采购人组织的综合考评满意度超过 90%（含 90%）且办理完安全保卫服务工作交接的相关手续，在采购人通知的退场时间后的 30 日内由采购人将履约保证金一次性无息退还中标人。</w:t>
      </w:r>
    </w:p>
    <w:p w14:paraId="4E351E32">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3.</w:t>
      </w:r>
      <w:r>
        <w:rPr>
          <w:color w:val="auto"/>
          <w:sz w:val="24"/>
          <w:szCs w:val="24"/>
        </w:rPr>
        <w:t>其他要求详见合同。</w:t>
      </w:r>
    </w:p>
    <w:p w14:paraId="75D0ECE1">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十三、踏勘现场</w:t>
      </w:r>
    </w:p>
    <w:p w14:paraId="6588FE65">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w:t>
      </w:r>
      <w:r>
        <w:rPr>
          <w:color w:val="auto"/>
          <w:sz w:val="24"/>
          <w:szCs w:val="24"/>
        </w:rPr>
        <w:t>本项目不组织投标人集中现场踏勘， 投标人如有需要可自行前往现场踏勘，了解项目现场实际情况。</w:t>
      </w:r>
    </w:p>
    <w:p w14:paraId="29C6ED85">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2.</w:t>
      </w:r>
      <w:r>
        <w:rPr>
          <w:color w:val="auto"/>
          <w:sz w:val="24"/>
          <w:szCs w:val="24"/>
        </w:rPr>
        <w:t>现场踏勘时间：202</w:t>
      </w:r>
      <w:r>
        <w:rPr>
          <w:rFonts w:hint="eastAsia"/>
          <w:color w:val="auto"/>
          <w:sz w:val="24"/>
          <w:szCs w:val="24"/>
          <w:lang w:val="en-US" w:eastAsia="zh-CN"/>
        </w:rPr>
        <w:t>6</w:t>
      </w:r>
      <w:r>
        <w:rPr>
          <w:color w:val="auto"/>
          <w:sz w:val="24"/>
          <w:szCs w:val="24"/>
        </w:rPr>
        <w:t xml:space="preserve"> 年</w:t>
      </w:r>
      <w:r>
        <w:rPr>
          <w:rFonts w:hint="eastAsia"/>
          <w:color w:val="auto"/>
          <w:sz w:val="24"/>
          <w:szCs w:val="24"/>
          <w:u w:val="single"/>
          <w:lang w:val="en-US" w:eastAsia="zh-CN"/>
        </w:rPr>
        <w:t xml:space="preserve">     </w:t>
      </w:r>
      <w:r>
        <w:rPr>
          <w:color w:val="auto"/>
          <w:sz w:val="24"/>
          <w:szCs w:val="24"/>
        </w:rPr>
        <w:t>月</w:t>
      </w:r>
      <w:r>
        <w:rPr>
          <w:rFonts w:hint="eastAsia"/>
          <w:color w:val="auto"/>
          <w:sz w:val="24"/>
          <w:szCs w:val="24"/>
          <w:u w:val="single"/>
          <w:lang w:val="en-US" w:eastAsia="zh-CN"/>
        </w:rPr>
        <w:t xml:space="preserve">     </w:t>
      </w:r>
      <w:r>
        <w:rPr>
          <w:color w:val="auto"/>
          <w:sz w:val="24"/>
          <w:szCs w:val="24"/>
        </w:rPr>
        <w:t>日至 202</w:t>
      </w:r>
      <w:r>
        <w:rPr>
          <w:rFonts w:hint="eastAsia"/>
          <w:color w:val="auto"/>
          <w:sz w:val="24"/>
          <w:szCs w:val="24"/>
          <w:lang w:val="en-US" w:eastAsia="zh-CN"/>
        </w:rPr>
        <w:t>6</w:t>
      </w:r>
      <w:r>
        <w:rPr>
          <w:color w:val="auto"/>
          <w:sz w:val="24"/>
          <w:szCs w:val="24"/>
        </w:rPr>
        <w:t xml:space="preserve"> 年</w:t>
      </w:r>
      <w:r>
        <w:rPr>
          <w:rFonts w:hint="eastAsia"/>
          <w:color w:val="auto"/>
          <w:sz w:val="24"/>
          <w:szCs w:val="24"/>
          <w:u w:val="single"/>
          <w:lang w:val="en-US" w:eastAsia="zh-CN"/>
        </w:rPr>
        <w:t xml:space="preserve">     </w:t>
      </w:r>
      <w:r>
        <w:rPr>
          <w:color w:val="auto"/>
          <w:sz w:val="24"/>
          <w:szCs w:val="24"/>
        </w:rPr>
        <w:t>月</w:t>
      </w:r>
      <w:r>
        <w:rPr>
          <w:rFonts w:hint="eastAsia"/>
          <w:color w:val="auto"/>
          <w:sz w:val="24"/>
          <w:szCs w:val="24"/>
          <w:u w:val="single"/>
          <w:lang w:val="en-US" w:eastAsia="zh-CN"/>
        </w:rPr>
        <w:t xml:space="preserve">     </w:t>
      </w:r>
      <w:r>
        <w:rPr>
          <w:color w:val="auto"/>
          <w:sz w:val="24"/>
          <w:szCs w:val="24"/>
        </w:rPr>
        <w:t>日（上午 9:00-11:30， 下午14:30-17:00）（北京时间，节假日除外)。</w:t>
      </w:r>
    </w:p>
    <w:p w14:paraId="41AF8357">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3.</w:t>
      </w:r>
      <w:r>
        <w:rPr>
          <w:color w:val="auto"/>
          <w:sz w:val="24"/>
          <w:szCs w:val="24"/>
        </w:rPr>
        <w:t>地点：</w:t>
      </w:r>
      <w:r>
        <w:rPr>
          <w:rFonts w:hint="eastAsia" w:cs="宋体" w:asciiTheme="minorEastAsia" w:hAnsiTheme="minorEastAsia"/>
          <w:color w:val="auto"/>
          <w:sz w:val="24"/>
          <w:szCs w:val="24"/>
        </w:rPr>
        <w:t>(银屏岭校区)</w:t>
      </w:r>
      <w:r>
        <w:rPr>
          <w:rFonts w:hint="eastAsia" w:cs="宋体" w:asciiTheme="minorEastAsia" w:hAnsiTheme="minorEastAsia"/>
          <w:color w:val="auto"/>
          <w:sz w:val="24"/>
          <w:szCs w:val="24"/>
          <w:lang w:eastAsia="zh-CN"/>
        </w:rPr>
        <w:t>、</w:t>
      </w:r>
      <w:r>
        <w:rPr>
          <w:rFonts w:hint="eastAsia" w:cs="宋体" w:asciiTheme="minorEastAsia" w:hAnsiTheme="minorEastAsia"/>
          <w:color w:val="auto"/>
          <w:sz w:val="24"/>
          <w:szCs w:val="24"/>
          <w:lang w:val="en-US" w:eastAsia="zh-CN"/>
        </w:rPr>
        <w:t>南苑、北苑</w:t>
      </w:r>
      <w:r>
        <w:rPr>
          <w:rFonts w:hint="eastAsia" w:cs="宋体" w:asciiTheme="minorEastAsia" w:hAnsiTheme="minorEastAsia"/>
          <w:color w:val="auto"/>
          <w:sz w:val="24"/>
          <w:szCs w:val="24"/>
        </w:rPr>
        <w:t>。联系人：黄老师，联系电话：</w:t>
      </w:r>
      <w:r>
        <w:rPr>
          <w:color w:val="auto"/>
          <w:sz w:val="24"/>
          <w:szCs w:val="24"/>
        </w:rPr>
        <w:t>。海珠校区位于海珠区赤沙路15号。</w:t>
      </w:r>
      <w:r>
        <w:rPr>
          <w:rFonts w:hint="eastAsia"/>
          <w:color w:val="auto"/>
          <w:sz w:val="24"/>
          <w:szCs w:val="24"/>
          <w:lang w:val="en-US" w:eastAsia="zh-CN"/>
        </w:rPr>
        <w:t>联系人：胡老师，联系电话4.</w:t>
      </w:r>
      <w:r>
        <w:rPr>
          <w:color w:val="auto"/>
          <w:sz w:val="24"/>
          <w:szCs w:val="24"/>
        </w:rPr>
        <w:t>投标人及其人员现场踏勘时不得损坏采购人的设施设备，若有损坏须照价赔偿。现场踏勘所发生的费用、开支或引起的损失、损害费用由投标人自己承担。</w:t>
      </w:r>
    </w:p>
    <w:p w14:paraId="399355D0">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十四、本项目其它需要特别说明的情况：</w:t>
      </w:r>
    </w:p>
    <w:p w14:paraId="2AAEEB96">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★1.本项目已经公布预算（最高限价），报价超过项目预算价格（最高限价）的投标文件为无效投标文件。</w:t>
      </w:r>
    </w:p>
    <w:p w14:paraId="2439051C">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★2.本项目不允许转包，供应商不得对用户需求书中的内容进行分包（另有规定除外）。</w:t>
      </w:r>
    </w:p>
    <w:p w14:paraId="7E00576B">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★3.</w:t>
      </w:r>
      <w:r>
        <w:rPr>
          <w:rFonts w:hint="eastAsia"/>
          <w:color w:val="auto"/>
          <w:sz w:val="24"/>
          <w:szCs w:val="24"/>
          <w:lang w:val="en-US" w:eastAsia="zh-CN"/>
        </w:rPr>
        <w:t>以上</w:t>
      </w:r>
      <w:r>
        <w:rPr>
          <w:color w:val="auto"/>
          <w:sz w:val="24"/>
          <w:szCs w:val="24"/>
        </w:rPr>
        <w:t>条款均为不可偏离条款，任何负偏离响应将导致投标响应文件无效，请供应商谨慎响应。</w:t>
      </w:r>
    </w:p>
    <w:p w14:paraId="1DB2349B">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sectPr>
          <w:footerReference r:id="rId5" w:type="default"/>
          <w:pgSz w:w="11910" w:h="16840"/>
          <w:pgMar w:top="1360" w:right="879" w:bottom="960" w:left="1080" w:header="871" w:footer="775" w:gutter="0"/>
          <w:pgNumType w:fmt="decimal"/>
          <w:cols w:space="720" w:num="1"/>
        </w:sectPr>
      </w:pPr>
      <w:r>
        <w:rPr>
          <w:rFonts w:hint="eastAsia"/>
          <w:color w:val="auto"/>
          <w:sz w:val="24"/>
          <w:szCs w:val="24"/>
          <w:lang w:val="en-US" w:eastAsia="zh-CN"/>
        </w:rPr>
        <w:t>4.</w:t>
      </w:r>
      <w:r>
        <w:rPr>
          <w:color w:val="auto"/>
          <w:sz w:val="24"/>
          <w:szCs w:val="24"/>
        </w:rPr>
        <w:t>供应商提供承诺函、第三方书面声明、资质证件、业绩成果等材料作为投标文件组成部分的，供应商应保证资料内容书写正确、真实有效、完整一致。采购人有权要求供应商如实配合提供相关文件、材料原件做核对。</w:t>
      </w:r>
    </w:p>
    <w:p w14:paraId="45B51D86">
      <w:pPr>
        <w:bidi w:val="0"/>
        <w:rPr>
          <w:rFonts w:hint="eastAsia" w:eastAsiaTheme="minorEastAsia"/>
          <w:color w:val="auto"/>
          <w:sz w:val="30"/>
          <w:szCs w:val="30"/>
          <w:lang w:eastAsia="zh-CN"/>
        </w:rPr>
      </w:pPr>
      <w:r>
        <w:rPr>
          <w:color w:val="auto"/>
          <w:sz w:val="30"/>
          <w:szCs w:val="30"/>
        </w:rPr>
        <w:t>附件</w:t>
      </w:r>
      <w:r>
        <w:rPr>
          <w:rFonts w:hint="eastAsia"/>
          <w:color w:val="auto"/>
          <w:sz w:val="30"/>
          <w:szCs w:val="30"/>
          <w:lang w:eastAsia="zh-CN"/>
        </w:rPr>
        <w:t>：</w:t>
      </w:r>
    </w:p>
    <w:p w14:paraId="40DDF1E4">
      <w:pPr>
        <w:jc w:val="center"/>
        <w:rPr>
          <w:color w:val="auto"/>
          <w:sz w:val="36"/>
          <w:szCs w:val="36"/>
        </w:rPr>
      </w:pPr>
      <w:r>
        <w:rPr>
          <w:rFonts w:hint="eastAsia"/>
          <w:color w:val="auto"/>
          <w:sz w:val="36"/>
          <w:szCs w:val="36"/>
        </w:rPr>
        <w:t>学院安保服务考核评分表</w:t>
      </w:r>
    </w:p>
    <w:p w14:paraId="144437EE">
      <w:pPr>
        <w:rPr>
          <w:color w:val="auto"/>
          <w:sz w:val="24"/>
          <w:szCs w:val="24"/>
        </w:rPr>
      </w:pPr>
    </w:p>
    <w:tbl>
      <w:tblPr>
        <w:tblStyle w:val="4"/>
        <w:tblW w:w="9893" w:type="dxa"/>
        <w:tblInd w:w="-6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53"/>
        <w:gridCol w:w="547"/>
        <w:gridCol w:w="3026"/>
        <w:gridCol w:w="760"/>
        <w:gridCol w:w="760"/>
        <w:gridCol w:w="2440"/>
        <w:gridCol w:w="1107"/>
      </w:tblGrid>
      <w:tr w14:paraId="52346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9893" w:type="dxa"/>
            <w:gridSpan w:val="7"/>
            <w:vAlign w:val="center"/>
          </w:tcPr>
          <w:p w14:paraId="1FEB2E44">
            <w:pPr>
              <w:bidi w:val="0"/>
              <w:jc w:val="center"/>
              <w:rPr>
                <w:color w:val="auto"/>
              </w:rPr>
            </w:pPr>
            <w:r>
              <w:rPr>
                <w:rFonts w:hint="eastAsia"/>
                <w:b/>
                <w:bCs/>
                <w:color w:val="auto"/>
                <w:sz w:val="24"/>
                <w:szCs w:val="24"/>
              </w:rPr>
              <w:t>职业学院天河校区、南苑、北苑和海珠校区安保服务管理</w:t>
            </w:r>
            <w:r>
              <w:rPr>
                <w:rFonts w:hint="eastAsia"/>
                <w:b/>
                <w:bCs/>
                <w:color w:val="auto"/>
                <w:sz w:val="24"/>
                <w:szCs w:val="24"/>
                <w:lang w:val="en-US" w:eastAsia="zh-CN"/>
              </w:rPr>
              <w:t>月度</w:t>
            </w:r>
            <w:r>
              <w:rPr>
                <w:rFonts w:hint="eastAsia"/>
                <w:b/>
                <w:bCs/>
                <w:color w:val="auto"/>
                <w:sz w:val="24"/>
                <w:szCs w:val="24"/>
              </w:rPr>
              <w:t>考核评分表</w:t>
            </w:r>
          </w:p>
        </w:tc>
      </w:tr>
      <w:tr w14:paraId="0BCF8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Align w:val="center"/>
          </w:tcPr>
          <w:p w14:paraId="7A4E4E08">
            <w:pPr>
              <w:bidi w:val="0"/>
              <w:jc w:val="center"/>
              <w:rPr>
                <w:rFonts w:hint="default"/>
                <w:color w:val="auto"/>
                <w:lang w:val="en-US" w:eastAsia="zh-CN"/>
              </w:rPr>
            </w:pPr>
            <w:r>
              <w:rPr>
                <w:rFonts w:hint="eastAsia"/>
                <w:color w:val="auto"/>
                <w:lang w:val="en-US" w:eastAsia="zh-CN"/>
              </w:rPr>
              <w:t>考核项目</w:t>
            </w:r>
          </w:p>
        </w:tc>
        <w:tc>
          <w:tcPr>
            <w:tcW w:w="547" w:type="dxa"/>
            <w:vAlign w:val="center"/>
          </w:tcPr>
          <w:p w14:paraId="5CE73602">
            <w:pPr>
              <w:bidi w:val="0"/>
              <w:jc w:val="center"/>
              <w:rPr>
                <w:rFonts w:hint="default"/>
                <w:color w:val="auto"/>
                <w:lang w:val="en-US" w:eastAsia="zh-CN"/>
              </w:rPr>
            </w:pPr>
            <w:r>
              <w:rPr>
                <w:rFonts w:hint="eastAsia"/>
                <w:color w:val="auto"/>
                <w:lang w:val="en-US" w:eastAsia="zh-CN"/>
              </w:rPr>
              <w:t>序号</w:t>
            </w:r>
          </w:p>
        </w:tc>
        <w:tc>
          <w:tcPr>
            <w:tcW w:w="3026" w:type="dxa"/>
            <w:vAlign w:val="center"/>
          </w:tcPr>
          <w:p w14:paraId="57D9EAB3">
            <w:pPr>
              <w:bidi w:val="0"/>
              <w:jc w:val="center"/>
              <w:rPr>
                <w:rFonts w:hint="default"/>
                <w:color w:val="auto"/>
                <w:lang w:val="en-US" w:eastAsia="zh-CN"/>
              </w:rPr>
            </w:pPr>
            <w:r>
              <w:rPr>
                <w:rFonts w:hint="eastAsia"/>
                <w:color w:val="auto"/>
                <w:lang w:val="en-US" w:eastAsia="zh-CN"/>
              </w:rPr>
              <w:t>考核内容</w:t>
            </w:r>
          </w:p>
        </w:tc>
        <w:tc>
          <w:tcPr>
            <w:tcW w:w="760" w:type="dxa"/>
            <w:vAlign w:val="center"/>
          </w:tcPr>
          <w:p w14:paraId="59B89C4D">
            <w:pPr>
              <w:bidi w:val="0"/>
              <w:jc w:val="center"/>
              <w:rPr>
                <w:rFonts w:hint="eastAsia"/>
                <w:color w:val="auto"/>
                <w:lang w:val="en-US" w:eastAsia="zh-CN"/>
              </w:rPr>
            </w:pPr>
            <w:r>
              <w:rPr>
                <w:rFonts w:hint="eastAsia"/>
                <w:color w:val="auto"/>
                <w:lang w:val="en-US" w:eastAsia="zh-CN"/>
              </w:rPr>
              <w:t>分值</w:t>
            </w:r>
          </w:p>
        </w:tc>
        <w:tc>
          <w:tcPr>
            <w:tcW w:w="760" w:type="dxa"/>
            <w:vAlign w:val="center"/>
          </w:tcPr>
          <w:p w14:paraId="7007B2E8">
            <w:pPr>
              <w:bidi w:val="0"/>
              <w:jc w:val="center"/>
              <w:rPr>
                <w:color w:val="auto"/>
              </w:rPr>
            </w:pPr>
            <w:r>
              <w:rPr>
                <w:rFonts w:hint="eastAsia"/>
                <w:color w:val="auto"/>
                <w:lang w:val="en-US" w:eastAsia="zh-CN"/>
              </w:rPr>
              <w:t>得分</w:t>
            </w:r>
          </w:p>
        </w:tc>
        <w:tc>
          <w:tcPr>
            <w:tcW w:w="2440" w:type="dxa"/>
            <w:vAlign w:val="center"/>
          </w:tcPr>
          <w:p w14:paraId="514F1061">
            <w:pPr>
              <w:bidi w:val="0"/>
              <w:jc w:val="center"/>
              <w:rPr>
                <w:color w:val="auto"/>
              </w:rPr>
            </w:pPr>
            <w:r>
              <w:rPr>
                <w:color w:val="auto"/>
              </w:rPr>
              <w:t>扣分参考</w:t>
            </w:r>
          </w:p>
        </w:tc>
        <w:tc>
          <w:tcPr>
            <w:tcW w:w="1107" w:type="dxa"/>
            <w:vAlign w:val="center"/>
          </w:tcPr>
          <w:p w14:paraId="39EC7D3A">
            <w:pPr>
              <w:bidi w:val="0"/>
              <w:jc w:val="center"/>
              <w:rPr>
                <w:color w:val="auto"/>
              </w:rPr>
            </w:pPr>
            <w:r>
              <w:rPr>
                <w:color w:val="auto"/>
              </w:rPr>
              <w:t>扣分原因</w:t>
            </w:r>
          </w:p>
          <w:p w14:paraId="3FFF6CBE">
            <w:pPr>
              <w:bidi w:val="0"/>
              <w:jc w:val="center"/>
              <w:rPr>
                <w:color w:val="auto"/>
              </w:rPr>
            </w:pPr>
          </w:p>
        </w:tc>
      </w:tr>
      <w:tr w14:paraId="2C7D7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restart"/>
            <w:vAlign w:val="center"/>
          </w:tcPr>
          <w:p w14:paraId="3D751F7A">
            <w:pPr>
              <w:bidi w:val="0"/>
              <w:jc w:val="center"/>
              <w:rPr>
                <w:rFonts w:hint="eastAsia"/>
                <w:color w:val="auto"/>
              </w:rPr>
            </w:pPr>
            <w:r>
              <w:rPr>
                <w:rFonts w:hint="eastAsia"/>
                <w:color w:val="auto"/>
              </w:rPr>
              <w:t>（一）制</w:t>
            </w:r>
          </w:p>
          <w:p w14:paraId="2A7C69A1">
            <w:pPr>
              <w:bidi w:val="0"/>
              <w:jc w:val="center"/>
              <w:rPr>
                <w:rFonts w:hint="eastAsia"/>
                <w:color w:val="auto"/>
              </w:rPr>
            </w:pPr>
            <w:r>
              <w:rPr>
                <w:rFonts w:hint="eastAsia"/>
                <w:color w:val="auto"/>
              </w:rPr>
              <w:t>度 与</w:t>
            </w:r>
          </w:p>
          <w:p w14:paraId="282D0CD7">
            <w:pPr>
              <w:bidi w:val="0"/>
              <w:jc w:val="center"/>
              <w:rPr>
                <w:rFonts w:hint="eastAsia"/>
                <w:color w:val="auto"/>
              </w:rPr>
            </w:pPr>
            <w:r>
              <w:rPr>
                <w:rFonts w:hint="eastAsia"/>
                <w:color w:val="auto"/>
              </w:rPr>
              <w:t>档 案</w:t>
            </w:r>
          </w:p>
          <w:p w14:paraId="465AF6F0">
            <w:pPr>
              <w:bidi w:val="0"/>
              <w:jc w:val="center"/>
              <w:rPr>
                <w:rFonts w:hint="eastAsia"/>
                <w:color w:val="auto"/>
              </w:rPr>
            </w:pPr>
            <w:r>
              <w:rPr>
                <w:rFonts w:hint="eastAsia"/>
                <w:color w:val="auto"/>
              </w:rPr>
              <w:t>管 理</w:t>
            </w:r>
          </w:p>
          <w:p w14:paraId="02EDA090">
            <w:pPr>
              <w:bidi w:val="0"/>
              <w:jc w:val="center"/>
              <w:rPr>
                <w:color w:val="auto"/>
              </w:rPr>
            </w:pPr>
            <w:r>
              <w:rPr>
                <w:rFonts w:hint="eastAsia"/>
                <w:color w:val="auto"/>
              </w:rPr>
              <w:t>（15 分）</w:t>
            </w:r>
          </w:p>
        </w:tc>
        <w:tc>
          <w:tcPr>
            <w:tcW w:w="547" w:type="dxa"/>
            <w:vAlign w:val="center"/>
          </w:tcPr>
          <w:p w14:paraId="76B86D3E">
            <w:pPr>
              <w:bidi w:val="0"/>
              <w:jc w:val="center"/>
              <w:rPr>
                <w:rFonts w:hint="eastAsia"/>
                <w:color w:val="auto"/>
                <w:lang w:val="en-US" w:eastAsia="zh-CN"/>
              </w:rPr>
            </w:pPr>
            <w:r>
              <w:rPr>
                <w:rFonts w:hint="eastAsia"/>
                <w:color w:val="auto"/>
                <w:lang w:val="en-US" w:eastAsia="zh-CN"/>
              </w:rPr>
              <w:t>1</w:t>
            </w:r>
          </w:p>
        </w:tc>
        <w:tc>
          <w:tcPr>
            <w:tcW w:w="3026" w:type="dxa"/>
            <w:vAlign w:val="center"/>
          </w:tcPr>
          <w:p w14:paraId="1507B606">
            <w:pPr>
              <w:bidi w:val="0"/>
              <w:jc w:val="left"/>
              <w:rPr>
                <w:color w:val="auto"/>
              </w:rPr>
            </w:pPr>
            <w:r>
              <w:rPr>
                <w:rFonts w:hint="eastAsia"/>
                <w:color w:val="auto"/>
              </w:rPr>
              <w:t>安保管理制度完善，制定详细的保安管理实施方案和突发</w:t>
            </w:r>
            <w:r>
              <w:rPr>
                <w:rFonts w:hint="eastAsia"/>
                <w:color w:val="auto"/>
                <w:lang w:val="en-US" w:eastAsia="zh-CN"/>
              </w:rPr>
              <w:t>事</w:t>
            </w:r>
            <w:r>
              <w:rPr>
                <w:rFonts w:hint="eastAsia"/>
                <w:color w:val="auto"/>
              </w:rPr>
              <w:t>件应急处理预案，每周组织不少于 1 次培训或演练。</w:t>
            </w:r>
          </w:p>
        </w:tc>
        <w:tc>
          <w:tcPr>
            <w:tcW w:w="760" w:type="dxa"/>
            <w:vAlign w:val="center"/>
          </w:tcPr>
          <w:p w14:paraId="526B6451">
            <w:pPr>
              <w:bidi w:val="0"/>
              <w:jc w:val="center"/>
              <w:rPr>
                <w:rFonts w:hint="eastAsia"/>
                <w:color w:val="auto"/>
                <w:lang w:val="en-US" w:eastAsia="zh-CN"/>
              </w:rPr>
            </w:pPr>
            <w:r>
              <w:rPr>
                <w:rFonts w:hint="eastAsia"/>
                <w:color w:val="auto"/>
                <w:lang w:val="en-US" w:eastAsia="zh-CN"/>
              </w:rPr>
              <w:t>5</w:t>
            </w:r>
          </w:p>
        </w:tc>
        <w:tc>
          <w:tcPr>
            <w:tcW w:w="760" w:type="dxa"/>
            <w:vAlign w:val="center"/>
          </w:tcPr>
          <w:p w14:paraId="739996FA">
            <w:pPr>
              <w:bidi w:val="0"/>
              <w:jc w:val="center"/>
              <w:rPr>
                <w:color w:val="auto"/>
              </w:rPr>
            </w:pPr>
          </w:p>
        </w:tc>
        <w:tc>
          <w:tcPr>
            <w:tcW w:w="2440" w:type="dxa"/>
            <w:vAlign w:val="center"/>
          </w:tcPr>
          <w:p w14:paraId="2C05A3C8">
            <w:pPr>
              <w:bidi w:val="0"/>
              <w:jc w:val="left"/>
              <w:rPr>
                <w:color w:val="auto"/>
              </w:rPr>
            </w:pPr>
            <w:r>
              <w:rPr>
                <w:rFonts w:hint="eastAsia"/>
                <w:color w:val="auto"/>
              </w:rPr>
              <w:t>未完善保安管理实施方案， 扣 0.5 分；未完善突发事件应急处理预案，扣 0.5 分；每有 1 周未组织培训或演练，扣1 分，每月最多扣 4 分。</w:t>
            </w:r>
          </w:p>
        </w:tc>
        <w:tc>
          <w:tcPr>
            <w:tcW w:w="1107" w:type="dxa"/>
            <w:vAlign w:val="center"/>
          </w:tcPr>
          <w:p w14:paraId="31F1D78A">
            <w:pPr>
              <w:bidi w:val="0"/>
              <w:jc w:val="center"/>
              <w:rPr>
                <w:color w:val="auto"/>
              </w:rPr>
            </w:pPr>
          </w:p>
        </w:tc>
      </w:tr>
      <w:tr w14:paraId="09954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2BFBDCF0">
            <w:pPr>
              <w:bidi w:val="0"/>
              <w:jc w:val="center"/>
              <w:rPr>
                <w:color w:val="auto"/>
              </w:rPr>
            </w:pPr>
          </w:p>
        </w:tc>
        <w:tc>
          <w:tcPr>
            <w:tcW w:w="547" w:type="dxa"/>
            <w:vAlign w:val="center"/>
          </w:tcPr>
          <w:p w14:paraId="47809172">
            <w:pPr>
              <w:bidi w:val="0"/>
              <w:jc w:val="center"/>
              <w:rPr>
                <w:rFonts w:hint="eastAsia"/>
                <w:color w:val="auto"/>
                <w:lang w:val="en-US" w:eastAsia="zh-CN"/>
              </w:rPr>
            </w:pPr>
            <w:r>
              <w:rPr>
                <w:rFonts w:hint="eastAsia"/>
                <w:color w:val="auto"/>
                <w:lang w:val="en-US" w:eastAsia="zh-CN"/>
              </w:rPr>
              <w:t>2</w:t>
            </w:r>
          </w:p>
        </w:tc>
        <w:tc>
          <w:tcPr>
            <w:tcW w:w="3026" w:type="dxa"/>
            <w:vAlign w:val="center"/>
          </w:tcPr>
          <w:p w14:paraId="61531C47">
            <w:pPr>
              <w:bidi w:val="0"/>
              <w:jc w:val="left"/>
              <w:rPr>
                <w:rFonts w:hint="eastAsia"/>
                <w:color w:val="auto"/>
              </w:rPr>
            </w:pPr>
            <w:r>
              <w:rPr>
                <w:rFonts w:hint="eastAsia"/>
                <w:color w:val="auto"/>
              </w:rPr>
              <w:t>建立常规性报告机制，包括周报、月报、半年报、年度报等； 月报应在月底前报送，不得漏</w:t>
            </w:r>
          </w:p>
          <w:p w14:paraId="094669BF">
            <w:pPr>
              <w:bidi w:val="0"/>
              <w:jc w:val="left"/>
              <w:rPr>
                <w:rFonts w:hint="eastAsia"/>
                <w:color w:val="auto"/>
              </w:rPr>
            </w:pPr>
            <w:r>
              <w:rPr>
                <w:rFonts w:hint="eastAsia"/>
                <w:color w:val="auto"/>
              </w:rPr>
              <w:t>报、瞒报；特别情况、重大事</w:t>
            </w:r>
            <w:r>
              <w:rPr>
                <w:rFonts w:hint="eastAsia"/>
                <w:color w:val="auto"/>
              </w:rPr>
              <w:tab/>
            </w:r>
            <w:r>
              <w:rPr>
                <w:rFonts w:hint="eastAsia"/>
                <w:color w:val="auto"/>
              </w:rPr>
              <w:t>2 件要求及时报告、专事专报。</w:t>
            </w:r>
          </w:p>
          <w:p w14:paraId="1CFC1EF3">
            <w:pPr>
              <w:bidi w:val="0"/>
              <w:jc w:val="left"/>
              <w:rPr>
                <w:color w:val="auto"/>
              </w:rPr>
            </w:pPr>
            <w:r>
              <w:rPr>
                <w:rFonts w:hint="eastAsia"/>
                <w:color w:val="auto"/>
              </w:rPr>
              <w:t>除周报外， 其它报告均应提供书面报告。</w:t>
            </w:r>
          </w:p>
        </w:tc>
        <w:tc>
          <w:tcPr>
            <w:tcW w:w="760" w:type="dxa"/>
            <w:vAlign w:val="center"/>
          </w:tcPr>
          <w:p w14:paraId="5B1DDCB3">
            <w:pPr>
              <w:bidi w:val="0"/>
              <w:jc w:val="center"/>
              <w:rPr>
                <w:rFonts w:hint="eastAsia"/>
                <w:color w:val="auto"/>
                <w:lang w:val="en-US" w:eastAsia="zh-CN"/>
              </w:rPr>
            </w:pPr>
            <w:r>
              <w:rPr>
                <w:rFonts w:hint="eastAsia"/>
                <w:color w:val="auto"/>
                <w:lang w:val="en-US" w:eastAsia="zh-CN"/>
              </w:rPr>
              <w:t>2</w:t>
            </w:r>
          </w:p>
        </w:tc>
        <w:tc>
          <w:tcPr>
            <w:tcW w:w="760" w:type="dxa"/>
            <w:vAlign w:val="center"/>
          </w:tcPr>
          <w:p w14:paraId="14F6D7B2">
            <w:pPr>
              <w:bidi w:val="0"/>
              <w:jc w:val="center"/>
              <w:rPr>
                <w:color w:val="auto"/>
              </w:rPr>
            </w:pPr>
          </w:p>
        </w:tc>
        <w:tc>
          <w:tcPr>
            <w:tcW w:w="2440" w:type="dxa"/>
            <w:vAlign w:val="center"/>
          </w:tcPr>
          <w:p w14:paraId="0361C6C6">
            <w:pPr>
              <w:bidi w:val="0"/>
              <w:jc w:val="left"/>
              <w:rPr>
                <w:rFonts w:hint="eastAsia"/>
                <w:color w:val="auto"/>
              </w:rPr>
            </w:pPr>
            <w:r>
              <w:rPr>
                <w:rFonts w:hint="eastAsia"/>
                <w:color w:val="auto"/>
              </w:rPr>
              <w:t>不按时提交周报、月报、半年报、年度报，缺 1 项扣 0.5 分，</w:t>
            </w:r>
          </w:p>
          <w:p w14:paraId="1E66A44F">
            <w:pPr>
              <w:bidi w:val="0"/>
              <w:jc w:val="left"/>
              <w:rPr>
                <w:color w:val="auto"/>
              </w:rPr>
            </w:pPr>
            <w:r>
              <w:rPr>
                <w:rFonts w:hint="eastAsia"/>
                <w:color w:val="auto"/>
              </w:rPr>
              <w:t>最多扣 2 分。（存在漏报、瞒报或特别情况、重大事件未及时报告直接扣 2 分）</w:t>
            </w:r>
          </w:p>
        </w:tc>
        <w:tc>
          <w:tcPr>
            <w:tcW w:w="1107" w:type="dxa"/>
            <w:vAlign w:val="center"/>
          </w:tcPr>
          <w:p w14:paraId="651650ED">
            <w:pPr>
              <w:bidi w:val="0"/>
              <w:jc w:val="center"/>
              <w:rPr>
                <w:color w:val="auto"/>
              </w:rPr>
            </w:pPr>
          </w:p>
        </w:tc>
      </w:tr>
      <w:tr w14:paraId="0F092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55D3B6EB">
            <w:pPr>
              <w:bidi w:val="0"/>
              <w:jc w:val="center"/>
              <w:rPr>
                <w:color w:val="auto"/>
              </w:rPr>
            </w:pPr>
          </w:p>
        </w:tc>
        <w:tc>
          <w:tcPr>
            <w:tcW w:w="547" w:type="dxa"/>
            <w:vAlign w:val="center"/>
          </w:tcPr>
          <w:p w14:paraId="09C489C6">
            <w:pPr>
              <w:bidi w:val="0"/>
              <w:jc w:val="center"/>
              <w:rPr>
                <w:rFonts w:hint="eastAsia"/>
                <w:color w:val="auto"/>
                <w:lang w:val="en-US" w:eastAsia="zh-CN"/>
              </w:rPr>
            </w:pPr>
            <w:r>
              <w:rPr>
                <w:rFonts w:hint="eastAsia"/>
                <w:color w:val="auto"/>
                <w:lang w:val="en-US" w:eastAsia="zh-CN"/>
              </w:rPr>
              <w:t>3</w:t>
            </w:r>
          </w:p>
        </w:tc>
        <w:tc>
          <w:tcPr>
            <w:tcW w:w="3026" w:type="dxa"/>
            <w:vAlign w:val="center"/>
          </w:tcPr>
          <w:p w14:paraId="5D4D2B21">
            <w:pPr>
              <w:bidi w:val="0"/>
              <w:jc w:val="left"/>
              <w:rPr>
                <w:rFonts w:hint="eastAsia"/>
                <w:color w:val="auto"/>
              </w:rPr>
            </w:pPr>
            <w:r>
              <w:rPr>
                <w:rFonts w:hint="eastAsia"/>
                <w:color w:val="auto"/>
              </w:rPr>
              <w:t>交接班登记清楚完整， 接处警</w:t>
            </w:r>
          </w:p>
          <w:p w14:paraId="6A7EEA7A">
            <w:pPr>
              <w:bidi w:val="0"/>
              <w:jc w:val="left"/>
              <w:rPr>
                <w:color w:val="auto"/>
              </w:rPr>
            </w:pPr>
            <w:r>
              <w:rPr>
                <w:rFonts w:hint="eastAsia"/>
                <w:color w:val="auto"/>
              </w:rPr>
              <w:t>记录详细，建立接处警工作台</w:t>
            </w:r>
            <w:r>
              <w:rPr>
                <w:rFonts w:hint="eastAsia"/>
                <w:color w:val="auto"/>
              </w:rPr>
              <w:tab/>
            </w:r>
            <w:r>
              <w:rPr>
                <w:rFonts w:hint="eastAsia"/>
                <w:color w:val="auto"/>
              </w:rPr>
              <w:t>账。</w:t>
            </w:r>
          </w:p>
        </w:tc>
        <w:tc>
          <w:tcPr>
            <w:tcW w:w="760" w:type="dxa"/>
            <w:vAlign w:val="center"/>
          </w:tcPr>
          <w:p w14:paraId="0BEB358D">
            <w:pPr>
              <w:bidi w:val="0"/>
              <w:jc w:val="center"/>
              <w:rPr>
                <w:color w:val="auto"/>
              </w:rPr>
            </w:pPr>
            <w:r>
              <w:rPr>
                <w:rFonts w:hint="eastAsia"/>
                <w:color w:val="auto"/>
              </w:rPr>
              <w:t>2</w:t>
            </w:r>
          </w:p>
        </w:tc>
        <w:tc>
          <w:tcPr>
            <w:tcW w:w="760" w:type="dxa"/>
            <w:vAlign w:val="center"/>
          </w:tcPr>
          <w:p w14:paraId="6E6EF5D5">
            <w:pPr>
              <w:bidi w:val="0"/>
              <w:jc w:val="center"/>
              <w:rPr>
                <w:color w:val="auto"/>
              </w:rPr>
            </w:pPr>
          </w:p>
        </w:tc>
        <w:tc>
          <w:tcPr>
            <w:tcW w:w="2440" w:type="dxa"/>
            <w:vAlign w:val="center"/>
          </w:tcPr>
          <w:p w14:paraId="53DCA8C3">
            <w:pPr>
              <w:bidi w:val="0"/>
              <w:jc w:val="left"/>
              <w:rPr>
                <w:color w:val="auto"/>
              </w:rPr>
            </w:pPr>
            <w:r>
              <w:rPr>
                <w:color w:val="auto"/>
              </w:rPr>
              <w:t>未按要求登记接处警记录，扣1 分；未建立接处警工作台帐，</w:t>
            </w:r>
          </w:p>
          <w:p w14:paraId="571B45B1">
            <w:pPr>
              <w:bidi w:val="0"/>
              <w:jc w:val="left"/>
              <w:rPr>
                <w:color w:val="auto"/>
              </w:rPr>
            </w:pPr>
            <w:r>
              <w:rPr>
                <w:color w:val="auto"/>
              </w:rPr>
              <w:t>扣 1 分。</w:t>
            </w:r>
          </w:p>
          <w:p w14:paraId="74FA8833">
            <w:pPr>
              <w:bidi w:val="0"/>
              <w:jc w:val="left"/>
              <w:rPr>
                <w:color w:val="auto"/>
              </w:rPr>
            </w:pPr>
          </w:p>
        </w:tc>
        <w:tc>
          <w:tcPr>
            <w:tcW w:w="1107" w:type="dxa"/>
            <w:vAlign w:val="center"/>
          </w:tcPr>
          <w:p w14:paraId="68FCD363">
            <w:pPr>
              <w:bidi w:val="0"/>
              <w:jc w:val="center"/>
              <w:rPr>
                <w:color w:val="auto"/>
              </w:rPr>
            </w:pPr>
          </w:p>
        </w:tc>
      </w:tr>
      <w:tr w14:paraId="1EB32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3720BE6A">
            <w:pPr>
              <w:bidi w:val="0"/>
              <w:jc w:val="center"/>
              <w:rPr>
                <w:color w:val="auto"/>
              </w:rPr>
            </w:pPr>
          </w:p>
        </w:tc>
        <w:tc>
          <w:tcPr>
            <w:tcW w:w="547" w:type="dxa"/>
            <w:vAlign w:val="center"/>
          </w:tcPr>
          <w:p w14:paraId="56787490">
            <w:pPr>
              <w:bidi w:val="0"/>
              <w:jc w:val="center"/>
              <w:rPr>
                <w:rFonts w:hint="eastAsia"/>
                <w:color w:val="auto"/>
                <w:lang w:val="en-US" w:eastAsia="zh-CN"/>
              </w:rPr>
            </w:pPr>
            <w:r>
              <w:rPr>
                <w:rFonts w:hint="eastAsia"/>
                <w:color w:val="auto"/>
                <w:lang w:val="en-US" w:eastAsia="zh-CN"/>
              </w:rPr>
              <w:t>4</w:t>
            </w:r>
          </w:p>
        </w:tc>
        <w:tc>
          <w:tcPr>
            <w:tcW w:w="3026" w:type="dxa"/>
            <w:vAlign w:val="center"/>
          </w:tcPr>
          <w:p w14:paraId="7A8BAE43">
            <w:pPr>
              <w:bidi w:val="0"/>
              <w:jc w:val="left"/>
              <w:rPr>
                <w:rFonts w:hint="eastAsia"/>
                <w:color w:val="auto"/>
              </w:rPr>
            </w:pPr>
            <w:r>
              <w:rPr>
                <w:rFonts w:hint="eastAsia"/>
                <w:color w:val="auto"/>
              </w:rPr>
              <w:t>建立和完善治安、交通、消防、综治、技防等安全巡查工作台</w:t>
            </w:r>
          </w:p>
          <w:p w14:paraId="1AEA791C">
            <w:pPr>
              <w:bidi w:val="0"/>
              <w:jc w:val="left"/>
              <w:rPr>
                <w:color w:val="auto"/>
              </w:rPr>
            </w:pPr>
            <w:r>
              <w:rPr>
                <w:rFonts w:hint="eastAsia"/>
                <w:color w:val="auto"/>
              </w:rPr>
              <w:t>帐。</w:t>
            </w:r>
          </w:p>
        </w:tc>
        <w:tc>
          <w:tcPr>
            <w:tcW w:w="760" w:type="dxa"/>
            <w:vAlign w:val="center"/>
          </w:tcPr>
          <w:p w14:paraId="484E9E4A">
            <w:pPr>
              <w:bidi w:val="0"/>
              <w:jc w:val="center"/>
              <w:rPr>
                <w:rFonts w:hint="eastAsia"/>
                <w:color w:val="auto"/>
              </w:rPr>
            </w:pPr>
            <w:r>
              <w:rPr>
                <w:rFonts w:hint="eastAsia"/>
                <w:color w:val="auto"/>
              </w:rPr>
              <w:t>2</w:t>
            </w:r>
          </w:p>
          <w:p w14:paraId="3DA3172F">
            <w:pPr>
              <w:bidi w:val="0"/>
              <w:jc w:val="center"/>
              <w:rPr>
                <w:color w:val="auto"/>
              </w:rPr>
            </w:pPr>
          </w:p>
        </w:tc>
        <w:tc>
          <w:tcPr>
            <w:tcW w:w="760" w:type="dxa"/>
            <w:vAlign w:val="center"/>
          </w:tcPr>
          <w:p w14:paraId="29972C94">
            <w:pPr>
              <w:bidi w:val="0"/>
              <w:jc w:val="center"/>
              <w:rPr>
                <w:color w:val="auto"/>
              </w:rPr>
            </w:pPr>
          </w:p>
        </w:tc>
        <w:tc>
          <w:tcPr>
            <w:tcW w:w="2440" w:type="dxa"/>
            <w:vAlign w:val="center"/>
          </w:tcPr>
          <w:p w14:paraId="52B2D12F">
            <w:pPr>
              <w:bidi w:val="0"/>
              <w:jc w:val="left"/>
              <w:rPr>
                <w:color w:val="auto"/>
              </w:rPr>
            </w:pPr>
            <w:r>
              <w:rPr>
                <w:color w:val="auto"/>
              </w:rPr>
              <w:t>未建立和完善治安、交通、消防、综治、技防等安全巡查工作台帐，缺 1 项扣 0.5 分，最</w:t>
            </w:r>
          </w:p>
          <w:p w14:paraId="1F3AE999">
            <w:pPr>
              <w:bidi w:val="0"/>
              <w:jc w:val="left"/>
              <w:rPr>
                <w:color w:val="auto"/>
              </w:rPr>
            </w:pPr>
            <w:r>
              <w:rPr>
                <w:color w:val="auto"/>
              </w:rPr>
              <w:t>多扣 2 分。</w:t>
            </w:r>
          </w:p>
          <w:p w14:paraId="14050A7E">
            <w:pPr>
              <w:bidi w:val="0"/>
              <w:jc w:val="left"/>
              <w:rPr>
                <w:color w:val="auto"/>
              </w:rPr>
            </w:pPr>
          </w:p>
        </w:tc>
        <w:tc>
          <w:tcPr>
            <w:tcW w:w="1107" w:type="dxa"/>
            <w:vAlign w:val="center"/>
          </w:tcPr>
          <w:p w14:paraId="3E3E1562">
            <w:pPr>
              <w:bidi w:val="0"/>
              <w:jc w:val="center"/>
              <w:rPr>
                <w:color w:val="auto"/>
              </w:rPr>
            </w:pPr>
          </w:p>
        </w:tc>
      </w:tr>
      <w:tr w14:paraId="118E0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58E4E8A6">
            <w:pPr>
              <w:bidi w:val="0"/>
              <w:jc w:val="center"/>
              <w:rPr>
                <w:color w:val="auto"/>
              </w:rPr>
            </w:pPr>
          </w:p>
        </w:tc>
        <w:tc>
          <w:tcPr>
            <w:tcW w:w="547" w:type="dxa"/>
            <w:vAlign w:val="center"/>
          </w:tcPr>
          <w:p w14:paraId="1AED5C1A">
            <w:pPr>
              <w:bidi w:val="0"/>
              <w:jc w:val="center"/>
              <w:rPr>
                <w:rFonts w:hint="default"/>
                <w:color w:val="auto"/>
                <w:lang w:val="en-US" w:eastAsia="zh-CN"/>
              </w:rPr>
            </w:pPr>
            <w:r>
              <w:rPr>
                <w:rFonts w:hint="eastAsia"/>
                <w:color w:val="auto"/>
                <w:lang w:val="en-US" w:eastAsia="zh-CN"/>
              </w:rPr>
              <w:t>5</w:t>
            </w:r>
          </w:p>
        </w:tc>
        <w:tc>
          <w:tcPr>
            <w:tcW w:w="3026" w:type="dxa"/>
            <w:vAlign w:val="center"/>
          </w:tcPr>
          <w:p w14:paraId="2B908CD7">
            <w:pPr>
              <w:bidi w:val="0"/>
              <w:jc w:val="left"/>
              <w:rPr>
                <w:rFonts w:hint="eastAsia"/>
                <w:color w:val="auto"/>
              </w:rPr>
            </w:pPr>
            <w:r>
              <w:rPr>
                <w:rFonts w:hint="eastAsia"/>
                <w:color w:val="auto"/>
              </w:rPr>
              <w:t>协助开展校园安全宣教工作并</w:t>
            </w:r>
          </w:p>
          <w:p w14:paraId="4FBC37CC">
            <w:pPr>
              <w:bidi w:val="0"/>
              <w:jc w:val="left"/>
              <w:rPr>
                <w:color w:val="auto"/>
              </w:rPr>
            </w:pPr>
            <w:r>
              <w:rPr>
                <w:rFonts w:hint="eastAsia"/>
                <w:color w:val="auto"/>
              </w:rPr>
              <w:t>建立台帐。</w:t>
            </w:r>
          </w:p>
        </w:tc>
        <w:tc>
          <w:tcPr>
            <w:tcW w:w="760" w:type="dxa"/>
            <w:vAlign w:val="center"/>
          </w:tcPr>
          <w:p w14:paraId="568E1D94">
            <w:pPr>
              <w:bidi w:val="0"/>
              <w:jc w:val="center"/>
              <w:rPr>
                <w:rFonts w:hint="eastAsia"/>
                <w:color w:val="auto"/>
              </w:rPr>
            </w:pPr>
            <w:r>
              <w:rPr>
                <w:rFonts w:hint="eastAsia"/>
                <w:color w:val="auto"/>
              </w:rPr>
              <w:t>2</w:t>
            </w:r>
          </w:p>
          <w:p w14:paraId="62F54A01">
            <w:pPr>
              <w:bidi w:val="0"/>
              <w:jc w:val="center"/>
              <w:rPr>
                <w:color w:val="auto"/>
              </w:rPr>
            </w:pPr>
          </w:p>
        </w:tc>
        <w:tc>
          <w:tcPr>
            <w:tcW w:w="760" w:type="dxa"/>
            <w:vAlign w:val="center"/>
          </w:tcPr>
          <w:p w14:paraId="0FAA4EE0">
            <w:pPr>
              <w:bidi w:val="0"/>
              <w:jc w:val="center"/>
              <w:rPr>
                <w:color w:val="auto"/>
              </w:rPr>
            </w:pPr>
          </w:p>
        </w:tc>
        <w:tc>
          <w:tcPr>
            <w:tcW w:w="2440" w:type="dxa"/>
            <w:vAlign w:val="center"/>
          </w:tcPr>
          <w:p w14:paraId="6DEC818E">
            <w:pPr>
              <w:bidi w:val="0"/>
              <w:jc w:val="left"/>
              <w:rPr>
                <w:rFonts w:hint="eastAsia"/>
                <w:color w:val="auto"/>
              </w:rPr>
            </w:pPr>
            <w:r>
              <w:rPr>
                <w:rFonts w:hint="eastAsia"/>
                <w:color w:val="auto"/>
              </w:rPr>
              <w:t>未协助开展校园安全宣教工作，扣 1 分；未建立宣教台帐，</w:t>
            </w:r>
          </w:p>
          <w:p w14:paraId="67BB54AB">
            <w:pPr>
              <w:bidi w:val="0"/>
              <w:jc w:val="left"/>
              <w:rPr>
                <w:color w:val="auto"/>
              </w:rPr>
            </w:pPr>
            <w:r>
              <w:rPr>
                <w:rFonts w:hint="eastAsia"/>
                <w:color w:val="auto"/>
              </w:rPr>
              <w:t>扣 1 分。</w:t>
            </w:r>
          </w:p>
        </w:tc>
        <w:tc>
          <w:tcPr>
            <w:tcW w:w="1107" w:type="dxa"/>
            <w:vAlign w:val="center"/>
          </w:tcPr>
          <w:p w14:paraId="4B0F5209">
            <w:pPr>
              <w:bidi w:val="0"/>
              <w:jc w:val="center"/>
              <w:rPr>
                <w:color w:val="auto"/>
              </w:rPr>
            </w:pPr>
          </w:p>
        </w:tc>
      </w:tr>
      <w:tr w14:paraId="408D7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44C09147">
            <w:pPr>
              <w:bidi w:val="0"/>
              <w:jc w:val="center"/>
              <w:rPr>
                <w:color w:val="auto"/>
              </w:rPr>
            </w:pPr>
          </w:p>
        </w:tc>
        <w:tc>
          <w:tcPr>
            <w:tcW w:w="547" w:type="dxa"/>
            <w:vAlign w:val="center"/>
          </w:tcPr>
          <w:p w14:paraId="2A74D44B">
            <w:pPr>
              <w:bidi w:val="0"/>
              <w:jc w:val="center"/>
              <w:rPr>
                <w:rFonts w:hint="default"/>
                <w:color w:val="auto"/>
                <w:lang w:val="en-US" w:eastAsia="zh-CN"/>
              </w:rPr>
            </w:pPr>
            <w:r>
              <w:rPr>
                <w:rFonts w:hint="eastAsia"/>
                <w:color w:val="auto"/>
                <w:lang w:val="en-US" w:eastAsia="zh-CN"/>
              </w:rPr>
              <w:t>6</w:t>
            </w:r>
          </w:p>
        </w:tc>
        <w:tc>
          <w:tcPr>
            <w:tcW w:w="3026" w:type="dxa"/>
            <w:vAlign w:val="center"/>
          </w:tcPr>
          <w:p w14:paraId="4B1B1B3A">
            <w:pPr>
              <w:bidi w:val="0"/>
              <w:jc w:val="left"/>
              <w:rPr>
                <w:color w:val="auto"/>
              </w:rPr>
            </w:pPr>
            <w:r>
              <w:rPr>
                <w:color w:val="auto"/>
              </w:rPr>
              <w:t>建立沟通联系机制，对校方提出的工作要求和事项,应及时</w:t>
            </w:r>
          </w:p>
          <w:p w14:paraId="3ED40E32">
            <w:pPr>
              <w:bidi w:val="0"/>
              <w:jc w:val="left"/>
              <w:rPr>
                <w:color w:val="auto"/>
              </w:rPr>
            </w:pPr>
            <w:r>
              <w:rPr>
                <w:color w:val="auto"/>
              </w:rPr>
              <w:t>落实、反馈， 对存在的问题及</w:t>
            </w:r>
            <w:r>
              <w:rPr>
                <w:color w:val="auto"/>
              </w:rPr>
              <w:tab/>
            </w:r>
            <w:r>
              <w:rPr>
                <w:color w:val="auto"/>
              </w:rPr>
              <w:t>2 时整改。</w:t>
            </w:r>
          </w:p>
        </w:tc>
        <w:tc>
          <w:tcPr>
            <w:tcW w:w="760" w:type="dxa"/>
            <w:vAlign w:val="center"/>
          </w:tcPr>
          <w:p w14:paraId="4D067B58">
            <w:pPr>
              <w:bidi w:val="0"/>
              <w:jc w:val="center"/>
              <w:rPr>
                <w:rFonts w:hint="eastAsia"/>
                <w:color w:val="auto"/>
                <w:lang w:val="en-US" w:eastAsia="zh-CN"/>
              </w:rPr>
            </w:pPr>
            <w:r>
              <w:rPr>
                <w:rFonts w:hint="eastAsia"/>
                <w:color w:val="auto"/>
                <w:lang w:val="en-US" w:eastAsia="zh-CN"/>
              </w:rPr>
              <w:t>2</w:t>
            </w:r>
          </w:p>
        </w:tc>
        <w:tc>
          <w:tcPr>
            <w:tcW w:w="760" w:type="dxa"/>
            <w:vAlign w:val="center"/>
          </w:tcPr>
          <w:p w14:paraId="2C2975D0">
            <w:pPr>
              <w:bidi w:val="0"/>
              <w:jc w:val="center"/>
              <w:rPr>
                <w:color w:val="auto"/>
              </w:rPr>
            </w:pPr>
          </w:p>
        </w:tc>
        <w:tc>
          <w:tcPr>
            <w:tcW w:w="2440" w:type="dxa"/>
            <w:vAlign w:val="center"/>
          </w:tcPr>
          <w:p w14:paraId="7905065A">
            <w:pPr>
              <w:bidi w:val="0"/>
              <w:jc w:val="left"/>
              <w:rPr>
                <w:color w:val="auto"/>
              </w:rPr>
            </w:pPr>
            <w:r>
              <w:rPr>
                <w:color w:val="auto"/>
              </w:rPr>
              <w:t>对校方提出的工作要求和事项未及时落实、反馈，扣 1 分； 对存在的问题未及时整改，扣1 分。</w:t>
            </w:r>
          </w:p>
        </w:tc>
        <w:tc>
          <w:tcPr>
            <w:tcW w:w="1107" w:type="dxa"/>
            <w:vAlign w:val="center"/>
          </w:tcPr>
          <w:p w14:paraId="2FE569F8">
            <w:pPr>
              <w:bidi w:val="0"/>
              <w:jc w:val="center"/>
              <w:rPr>
                <w:color w:val="auto"/>
              </w:rPr>
            </w:pPr>
          </w:p>
        </w:tc>
      </w:tr>
      <w:tr w14:paraId="79D8C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2E1F524D">
            <w:pPr>
              <w:bidi w:val="0"/>
              <w:jc w:val="center"/>
              <w:rPr>
                <w:color w:val="auto"/>
              </w:rPr>
            </w:pPr>
          </w:p>
        </w:tc>
        <w:tc>
          <w:tcPr>
            <w:tcW w:w="8640" w:type="dxa"/>
            <w:gridSpan w:val="6"/>
            <w:vAlign w:val="center"/>
          </w:tcPr>
          <w:p w14:paraId="78F4C59A">
            <w:pPr>
              <w:bidi w:val="0"/>
              <w:jc w:val="left"/>
              <w:rPr>
                <w:color w:val="auto"/>
              </w:rPr>
            </w:pPr>
            <w:r>
              <w:rPr>
                <w:rFonts w:hint="eastAsia"/>
                <w:color w:val="auto"/>
              </w:rPr>
              <w:t>注：若出现以下情况之一，扣除本项 15 分：1.未严格遵守国家、省、市的法律法规、规范性文件、政策和招标书及投标书的相关规定；2.未接受省、市公安、保安管理行政部门及有关政府部门的监督、指导；3.未接受校方监督，对校区南校园安保工作未实行专业、规范、安全、优质的保安管理。</w:t>
            </w:r>
          </w:p>
        </w:tc>
      </w:tr>
    </w:tbl>
    <w:p w14:paraId="5EB48B7F">
      <w:pPr>
        <w:rPr>
          <w:color w:val="auto"/>
          <w:sz w:val="24"/>
          <w:szCs w:val="24"/>
        </w:rPr>
      </w:pPr>
    </w:p>
    <w:p w14:paraId="5585B5E0">
      <w:pPr>
        <w:rPr>
          <w:color w:val="auto"/>
          <w:sz w:val="24"/>
          <w:szCs w:val="24"/>
        </w:rPr>
      </w:pPr>
    </w:p>
    <w:p w14:paraId="378BD8EF">
      <w:pPr>
        <w:rPr>
          <w:color w:val="auto"/>
          <w:sz w:val="24"/>
          <w:szCs w:val="24"/>
        </w:rPr>
      </w:pPr>
    </w:p>
    <w:tbl>
      <w:tblPr>
        <w:tblStyle w:val="4"/>
        <w:tblW w:w="9893" w:type="dxa"/>
        <w:tblInd w:w="-6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53"/>
        <w:gridCol w:w="547"/>
        <w:gridCol w:w="3026"/>
        <w:gridCol w:w="760"/>
        <w:gridCol w:w="760"/>
        <w:gridCol w:w="2560"/>
        <w:gridCol w:w="987"/>
      </w:tblGrid>
      <w:tr w14:paraId="237D3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9893" w:type="dxa"/>
            <w:gridSpan w:val="7"/>
            <w:vAlign w:val="center"/>
          </w:tcPr>
          <w:p w14:paraId="756066C7">
            <w:pPr>
              <w:bidi w:val="0"/>
              <w:jc w:val="center"/>
              <w:rPr>
                <w:color w:val="auto"/>
              </w:rPr>
            </w:pPr>
            <w:r>
              <w:rPr>
                <w:rFonts w:hint="eastAsia"/>
                <w:b/>
                <w:bCs/>
                <w:color w:val="auto"/>
                <w:sz w:val="24"/>
                <w:szCs w:val="24"/>
              </w:rPr>
              <w:t>学院天河校区、南苑、北苑和海珠校区安保服务管理</w:t>
            </w:r>
            <w:r>
              <w:rPr>
                <w:rFonts w:hint="eastAsia"/>
                <w:b/>
                <w:bCs/>
                <w:color w:val="auto"/>
                <w:sz w:val="24"/>
                <w:szCs w:val="24"/>
                <w:lang w:val="en-US" w:eastAsia="zh-CN"/>
              </w:rPr>
              <w:t>月度</w:t>
            </w:r>
            <w:r>
              <w:rPr>
                <w:rFonts w:hint="eastAsia"/>
                <w:b/>
                <w:bCs/>
                <w:color w:val="auto"/>
                <w:sz w:val="24"/>
                <w:szCs w:val="24"/>
              </w:rPr>
              <w:t>考核评分表</w:t>
            </w:r>
          </w:p>
        </w:tc>
      </w:tr>
      <w:tr w14:paraId="09148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Align w:val="center"/>
          </w:tcPr>
          <w:p w14:paraId="7DFE2D66">
            <w:pPr>
              <w:bidi w:val="0"/>
              <w:jc w:val="center"/>
              <w:rPr>
                <w:rFonts w:hint="default"/>
                <w:color w:val="auto"/>
                <w:lang w:val="en-US" w:eastAsia="zh-CN"/>
              </w:rPr>
            </w:pPr>
            <w:r>
              <w:rPr>
                <w:rFonts w:hint="eastAsia"/>
                <w:color w:val="auto"/>
                <w:lang w:val="en-US" w:eastAsia="zh-CN"/>
              </w:rPr>
              <w:t>考核项目</w:t>
            </w:r>
          </w:p>
        </w:tc>
        <w:tc>
          <w:tcPr>
            <w:tcW w:w="547" w:type="dxa"/>
            <w:vAlign w:val="center"/>
          </w:tcPr>
          <w:p w14:paraId="417F7841">
            <w:pPr>
              <w:bidi w:val="0"/>
              <w:jc w:val="center"/>
              <w:rPr>
                <w:rFonts w:hint="default"/>
                <w:color w:val="auto"/>
                <w:lang w:val="en-US" w:eastAsia="zh-CN"/>
              </w:rPr>
            </w:pPr>
            <w:r>
              <w:rPr>
                <w:rFonts w:hint="eastAsia"/>
                <w:color w:val="auto"/>
                <w:lang w:val="en-US" w:eastAsia="zh-CN"/>
              </w:rPr>
              <w:t>序号</w:t>
            </w:r>
          </w:p>
        </w:tc>
        <w:tc>
          <w:tcPr>
            <w:tcW w:w="3026" w:type="dxa"/>
            <w:vAlign w:val="center"/>
          </w:tcPr>
          <w:p w14:paraId="383162C5">
            <w:pPr>
              <w:bidi w:val="0"/>
              <w:jc w:val="center"/>
              <w:rPr>
                <w:rFonts w:hint="default"/>
                <w:color w:val="auto"/>
                <w:lang w:val="en-US" w:eastAsia="zh-CN"/>
              </w:rPr>
            </w:pPr>
            <w:r>
              <w:rPr>
                <w:rFonts w:hint="eastAsia"/>
                <w:color w:val="auto"/>
                <w:lang w:val="en-US" w:eastAsia="zh-CN"/>
              </w:rPr>
              <w:t>考核内容</w:t>
            </w:r>
          </w:p>
        </w:tc>
        <w:tc>
          <w:tcPr>
            <w:tcW w:w="760" w:type="dxa"/>
            <w:vAlign w:val="center"/>
          </w:tcPr>
          <w:p w14:paraId="3AE56E0A">
            <w:pPr>
              <w:bidi w:val="0"/>
              <w:jc w:val="center"/>
              <w:rPr>
                <w:rFonts w:hint="eastAsia"/>
                <w:color w:val="auto"/>
                <w:lang w:val="en-US" w:eastAsia="zh-CN"/>
              </w:rPr>
            </w:pPr>
            <w:r>
              <w:rPr>
                <w:rFonts w:hint="eastAsia"/>
                <w:color w:val="auto"/>
                <w:lang w:val="en-US" w:eastAsia="zh-CN"/>
              </w:rPr>
              <w:t>分值</w:t>
            </w:r>
          </w:p>
        </w:tc>
        <w:tc>
          <w:tcPr>
            <w:tcW w:w="760" w:type="dxa"/>
            <w:vAlign w:val="center"/>
          </w:tcPr>
          <w:p w14:paraId="2EA49739">
            <w:pPr>
              <w:bidi w:val="0"/>
              <w:jc w:val="center"/>
              <w:rPr>
                <w:color w:val="auto"/>
              </w:rPr>
            </w:pPr>
            <w:r>
              <w:rPr>
                <w:rFonts w:hint="eastAsia"/>
                <w:color w:val="auto"/>
                <w:lang w:val="en-US" w:eastAsia="zh-CN"/>
              </w:rPr>
              <w:t>得分</w:t>
            </w:r>
          </w:p>
        </w:tc>
        <w:tc>
          <w:tcPr>
            <w:tcW w:w="2560" w:type="dxa"/>
            <w:vAlign w:val="center"/>
          </w:tcPr>
          <w:p w14:paraId="35AE9235">
            <w:pPr>
              <w:bidi w:val="0"/>
              <w:jc w:val="center"/>
              <w:rPr>
                <w:color w:val="auto"/>
              </w:rPr>
            </w:pPr>
            <w:r>
              <w:rPr>
                <w:color w:val="auto"/>
              </w:rPr>
              <w:t>扣分参考</w:t>
            </w:r>
          </w:p>
        </w:tc>
        <w:tc>
          <w:tcPr>
            <w:tcW w:w="987" w:type="dxa"/>
            <w:vAlign w:val="center"/>
          </w:tcPr>
          <w:p w14:paraId="02FD30EB">
            <w:pPr>
              <w:bidi w:val="0"/>
              <w:jc w:val="center"/>
              <w:rPr>
                <w:color w:val="auto"/>
              </w:rPr>
            </w:pPr>
            <w:r>
              <w:rPr>
                <w:color w:val="auto"/>
              </w:rPr>
              <w:t>扣分</w:t>
            </w:r>
          </w:p>
          <w:p w14:paraId="01F9C57E">
            <w:pPr>
              <w:bidi w:val="0"/>
              <w:jc w:val="center"/>
              <w:rPr>
                <w:color w:val="auto"/>
              </w:rPr>
            </w:pPr>
            <w:r>
              <w:rPr>
                <w:color w:val="auto"/>
              </w:rPr>
              <w:t>原因</w:t>
            </w:r>
          </w:p>
        </w:tc>
      </w:tr>
      <w:tr w14:paraId="6763E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restart"/>
            <w:vAlign w:val="center"/>
          </w:tcPr>
          <w:p w14:paraId="5DB57EA6">
            <w:pPr>
              <w:bidi w:val="0"/>
              <w:jc w:val="center"/>
              <w:rPr>
                <w:rFonts w:hint="eastAsia"/>
                <w:color w:val="auto"/>
              </w:rPr>
            </w:pPr>
            <w:r>
              <w:rPr>
                <w:rFonts w:hint="eastAsia"/>
                <w:color w:val="auto"/>
              </w:rPr>
              <w:t>（二）人</w:t>
            </w:r>
          </w:p>
          <w:p w14:paraId="41B064CF">
            <w:pPr>
              <w:bidi w:val="0"/>
              <w:jc w:val="center"/>
              <w:rPr>
                <w:rFonts w:hint="eastAsia"/>
                <w:color w:val="auto"/>
              </w:rPr>
            </w:pPr>
            <w:r>
              <w:rPr>
                <w:rFonts w:hint="eastAsia"/>
                <w:color w:val="auto"/>
              </w:rPr>
              <w:t>员配置及管 理</w:t>
            </w:r>
          </w:p>
          <w:p w14:paraId="609EFFAA">
            <w:pPr>
              <w:bidi w:val="0"/>
              <w:jc w:val="center"/>
              <w:rPr>
                <w:rFonts w:hint="eastAsia" w:eastAsiaTheme="minorEastAsia"/>
                <w:color w:val="auto"/>
                <w:lang w:eastAsia="zh-CN"/>
              </w:rPr>
            </w:pPr>
            <w:r>
              <w:rPr>
                <w:rFonts w:hint="eastAsia"/>
                <w:color w:val="auto"/>
              </w:rPr>
              <w:t>（18 分</w:t>
            </w:r>
            <w:r>
              <w:rPr>
                <w:rFonts w:hint="eastAsia"/>
                <w:color w:val="auto"/>
                <w:lang w:eastAsia="zh-CN"/>
              </w:rPr>
              <w:t>）</w:t>
            </w:r>
          </w:p>
        </w:tc>
        <w:tc>
          <w:tcPr>
            <w:tcW w:w="547" w:type="dxa"/>
            <w:vAlign w:val="center"/>
          </w:tcPr>
          <w:p w14:paraId="576E4449">
            <w:pPr>
              <w:bidi w:val="0"/>
              <w:jc w:val="center"/>
              <w:rPr>
                <w:rFonts w:hint="eastAsia"/>
                <w:color w:val="auto"/>
                <w:lang w:val="en-US" w:eastAsia="zh-CN"/>
              </w:rPr>
            </w:pPr>
            <w:r>
              <w:rPr>
                <w:rFonts w:hint="eastAsia"/>
                <w:color w:val="auto"/>
                <w:lang w:val="en-US" w:eastAsia="zh-CN"/>
              </w:rPr>
              <w:t>1</w:t>
            </w:r>
          </w:p>
        </w:tc>
        <w:tc>
          <w:tcPr>
            <w:tcW w:w="3026" w:type="dxa"/>
            <w:vAlign w:val="center"/>
          </w:tcPr>
          <w:p w14:paraId="640A163E">
            <w:pPr>
              <w:bidi w:val="0"/>
              <w:jc w:val="left"/>
              <w:rPr>
                <w:rFonts w:hint="eastAsia"/>
                <w:color w:val="auto"/>
              </w:rPr>
            </w:pPr>
            <w:r>
              <w:rPr>
                <w:rFonts w:hint="eastAsia"/>
                <w:color w:val="auto"/>
              </w:rPr>
              <w:t>按照《学院安保服务委托合同》的总   人数数量， 要求总人数达到</w:t>
            </w:r>
          </w:p>
          <w:p w14:paraId="497D78EF">
            <w:pPr>
              <w:bidi w:val="0"/>
              <w:jc w:val="left"/>
              <w:rPr>
                <w:color w:val="auto"/>
              </w:rPr>
            </w:pPr>
            <w:r>
              <w:rPr>
                <w:rFonts w:hint="eastAsia"/>
                <w:color w:val="auto"/>
              </w:rPr>
              <w:t>100%。</w:t>
            </w:r>
          </w:p>
        </w:tc>
        <w:tc>
          <w:tcPr>
            <w:tcW w:w="760" w:type="dxa"/>
            <w:vAlign w:val="center"/>
          </w:tcPr>
          <w:p w14:paraId="48410024">
            <w:pPr>
              <w:bidi w:val="0"/>
              <w:jc w:val="center"/>
              <w:rPr>
                <w:rFonts w:hint="eastAsia"/>
                <w:color w:val="auto"/>
                <w:lang w:val="en-US" w:eastAsia="zh-CN"/>
              </w:rPr>
            </w:pPr>
            <w:r>
              <w:rPr>
                <w:rFonts w:hint="eastAsia"/>
                <w:color w:val="auto"/>
                <w:lang w:val="en-US" w:eastAsia="zh-CN"/>
              </w:rPr>
              <w:t>5</w:t>
            </w:r>
          </w:p>
        </w:tc>
        <w:tc>
          <w:tcPr>
            <w:tcW w:w="760" w:type="dxa"/>
            <w:vAlign w:val="center"/>
          </w:tcPr>
          <w:p w14:paraId="31854C5E">
            <w:pPr>
              <w:bidi w:val="0"/>
              <w:jc w:val="center"/>
              <w:rPr>
                <w:color w:val="auto"/>
              </w:rPr>
            </w:pPr>
          </w:p>
        </w:tc>
        <w:tc>
          <w:tcPr>
            <w:tcW w:w="2560" w:type="dxa"/>
            <w:vAlign w:val="center"/>
          </w:tcPr>
          <w:p w14:paraId="1FD3584E">
            <w:pPr>
              <w:bidi w:val="0"/>
              <w:rPr>
                <w:color w:val="auto"/>
              </w:rPr>
            </w:pPr>
            <w:r>
              <w:rPr>
                <w:color w:val="auto"/>
              </w:rPr>
              <w:t>未按照《</w:t>
            </w:r>
            <w:r>
              <w:rPr>
                <w:rFonts w:hint="eastAsia"/>
                <w:color w:val="auto"/>
                <w:lang w:val="en-US" w:eastAsia="zh-CN"/>
              </w:rPr>
              <w:t>学院</w:t>
            </w:r>
            <w:r>
              <w:rPr>
                <w:color w:val="auto"/>
              </w:rPr>
              <w:t>安保服务委托合同》的总人数要求，每少 1 人扣 1 分，</w:t>
            </w:r>
          </w:p>
          <w:p w14:paraId="35B74C36">
            <w:pPr>
              <w:bidi w:val="0"/>
              <w:rPr>
                <w:color w:val="auto"/>
              </w:rPr>
            </w:pPr>
            <w:r>
              <w:rPr>
                <w:color w:val="auto"/>
              </w:rPr>
              <w:t>最多扣 5 分。</w:t>
            </w:r>
          </w:p>
        </w:tc>
        <w:tc>
          <w:tcPr>
            <w:tcW w:w="987" w:type="dxa"/>
            <w:vAlign w:val="center"/>
          </w:tcPr>
          <w:p w14:paraId="1EF4F025">
            <w:pPr>
              <w:bidi w:val="0"/>
              <w:jc w:val="center"/>
              <w:rPr>
                <w:color w:val="auto"/>
              </w:rPr>
            </w:pPr>
          </w:p>
        </w:tc>
      </w:tr>
      <w:tr w14:paraId="10B9B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10025422">
            <w:pPr>
              <w:bidi w:val="0"/>
              <w:jc w:val="center"/>
              <w:rPr>
                <w:color w:val="auto"/>
              </w:rPr>
            </w:pPr>
          </w:p>
        </w:tc>
        <w:tc>
          <w:tcPr>
            <w:tcW w:w="547" w:type="dxa"/>
            <w:vAlign w:val="center"/>
          </w:tcPr>
          <w:p w14:paraId="514522BA">
            <w:pPr>
              <w:bidi w:val="0"/>
              <w:jc w:val="center"/>
              <w:rPr>
                <w:rFonts w:hint="eastAsia"/>
                <w:color w:val="auto"/>
                <w:lang w:val="en-US" w:eastAsia="zh-CN"/>
              </w:rPr>
            </w:pPr>
            <w:r>
              <w:rPr>
                <w:rFonts w:hint="eastAsia"/>
                <w:color w:val="auto"/>
                <w:lang w:val="en-US" w:eastAsia="zh-CN"/>
              </w:rPr>
              <w:t>2</w:t>
            </w:r>
          </w:p>
        </w:tc>
        <w:tc>
          <w:tcPr>
            <w:tcW w:w="3026" w:type="dxa"/>
            <w:vAlign w:val="center"/>
          </w:tcPr>
          <w:p w14:paraId="17446C89">
            <w:pPr>
              <w:bidi w:val="0"/>
              <w:jc w:val="left"/>
              <w:rPr>
                <w:rFonts w:hint="eastAsia"/>
                <w:color w:val="auto"/>
              </w:rPr>
            </w:pPr>
            <w:r>
              <w:rPr>
                <w:rFonts w:hint="eastAsia"/>
                <w:color w:val="auto"/>
              </w:rPr>
              <w:t>保安员须持“ 保安员证” 上</w:t>
            </w:r>
          </w:p>
          <w:p w14:paraId="2A9F287A">
            <w:pPr>
              <w:bidi w:val="0"/>
              <w:jc w:val="left"/>
              <w:rPr>
                <w:color w:val="auto"/>
              </w:rPr>
            </w:pPr>
            <w:r>
              <w:rPr>
                <w:rFonts w:hint="eastAsia"/>
                <w:color w:val="auto"/>
              </w:rPr>
              <w:t>岗。</w:t>
            </w:r>
          </w:p>
        </w:tc>
        <w:tc>
          <w:tcPr>
            <w:tcW w:w="760" w:type="dxa"/>
            <w:vAlign w:val="center"/>
          </w:tcPr>
          <w:p w14:paraId="3A96FF25">
            <w:pPr>
              <w:bidi w:val="0"/>
              <w:jc w:val="center"/>
              <w:rPr>
                <w:rFonts w:hint="eastAsia"/>
                <w:color w:val="auto"/>
                <w:lang w:val="en-US" w:eastAsia="zh-CN"/>
              </w:rPr>
            </w:pPr>
            <w:r>
              <w:rPr>
                <w:rFonts w:hint="eastAsia"/>
                <w:color w:val="auto"/>
                <w:lang w:val="en-US" w:eastAsia="zh-CN"/>
              </w:rPr>
              <w:t>5</w:t>
            </w:r>
          </w:p>
        </w:tc>
        <w:tc>
          <w:tcPr>
            <w:tcW w:w="760" w:type="dxa"/>
            <w:vAlign w:val="center"/>
          </w:tcPr>
          <w:p w14:paraId="34C5E08C">
            <w:pPr>
              <w:bidi w:val="0"/>
              <w:jc w:val="center"/>
              <w:rPr>
                <w:color w:val="auto"/>
              </w:rPr>
            </w:pPr>
          </w:p>
        </w:tc>
        <w:tc>
          <w:tcPr>
            <w:tcW w:w="2560" w:type="dxa"/>
            <w:vAlign w:val="center"/>
          </w:tcPr>
          <w:p w14:paraId="2F3B6E28">
            <w:pPr>
              <w:bidi w:val="0"/>
              <w:jc w:val="left"/>
              <w:rPr>
                <w:rFonts w:hint="eastAsia"/>
                <w:color w:val="auto"/>
              </w:rPr>
            </w:pPr>
            <w:r>
              <w:rPr>
                <w:rFonts w:hint="eastAsia"/>
                <w:color w:val="auto"/>
              </w:rPr>
              <w:t>存在保安员未持“ 保安员证” 上岗，缺 1 人扣 0.5 分， 最</w:t>
            </w:r>
          </w:p>
          <w:p w14:paraId="783B0148">
            <w:pPr>
              <w:bidi w:val="0"/>
              <w:jc w:val="left"/>
              <w:rPr>
                <w:color w:val="auto"/>
              </w:rPr>
            </w:pPr>
            <w:r>
              <w:rPr>
                <w:rFonts w:hint="eastAsia"/>
                <w:color w:val="auto"/>
              </w:rPr>
              <w:t>多扣 5 分。</w:t>
            </w:r>
          </w:p>
        </w:tc>
        <w:tc>
          <w:tcPr>
            <w:tcW w:w="987" w:type="dxa"/>
            <w:vAlign w:val="center"/>
          </w:tcPr>
          <w:p w14:paraId="5CFC4C91">
            <w:pPr>
              <w:bidi w:val="0"/>
              <w:jc w:val="center"/>
              <w:rPr>
                <w:color w:val="auto"/>
              </w:rPr>
            </w:pPr>
          </w:p>
        </w:tc>
      </w:tr>
      <w:tr w14:paraId="7F2E9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05EE56DD">
            <w:pPr>
              <w:bidi w:val="0"/>
              <w:jc w:val="center"/>
              <w:rPr>
                <w:color w:val="auto"/>
              </w:rPr>
            </w:pPr>
          </w:p>
        </w:tc>
        <w:tc>
          <w:tcPr>
            <w:tcW w:w="547" w:type="dxa"/>
            <w:vAlign w:val="center"/>
          </w:tcPr>
          <w:p w14:paraId="1836921A">
            <w:pPr>
              <w:bidi w:val="0"/>
              <w:jc w:val="center"/>
              <w:rPr>
                <w:rFonts w:hint="eastAsia"/>
                <w:color w:val="auto"/>
                <w:lang w:val="en-US" w:eastAsia="zh-CN"/>
              </w:rPr>
            </w:pPr>
            <w:r>
              <w:rPr>
                <w:rFonts w:hint="eastAsia"/>
                <w:color w:val="auto"/>
                <w:lang w:val="en-US" w:eastAsia="zh-CN"/>
              </w:rPr>
              <w:t>3</w:t>
            </w:r>
          </w:p>
        </w:tc>
        <w:tc>
          <w:tcPr>
            <w:tcW w:w="3026" w:type="dxa"/>
            <w:vAlign w:val="center"/>
          </w:tcPr>
          <w:p w14:paraId="5195F662">
            <w:pPr>
              <w:bidi w:val="0"/>
              <w:jc w:val="left"/>
              <w:rPr>
                <w:rFonts w:hint="eastAsia"/>
                <w:color w:val="auto"/>
              </w:rPr>
            </w:pPr>
            <w:r>
              <w:rPr>
                <w:rFonts w:hint="eastAsia"/>
                <w:color w:val="auto"/>
              </w:rPr>
              <w:t>上班时应统一规范着装，禁止</w:t>
            </w:r>
          </w:p>
          <w:p w14:paraId="091C4FFA">
            <w:pPr>
              <w:bidi w:val="0"/>
              <w:jc w:val="left"/>
              <w:rPr>
                <w:color w:val="auto"/>
              </w:rPr>
            </w:pPr>
            <w:r>
              <w:rPr>
                <w:rFonts w:hint="eastAsia"/>
                <w:color w:val="auto"/>
              </w:rPr>
              <w:t>玩手机、睡觉、脱岗、离岗，严禁酒后上岗。</w:t>
            </w:r>
          </w:p>
        </w:tc>
        <w:tc>
          <w:tcPr>
            <w:tcW w:w="760" w:type="dxa"/>
            <w:vAlign w:val="center"/>
          </w:tcPr>
          <w:p w14:paraId="36AF14A2">
            <w:pPr>
              <w:bidi w:val="0"/>
              <w:jc w:val="center"/>
              <w:rPr>
                <w:color w:val="auto"/>
              </w:rPr>
            </w:pPr>
            <w:r>
              <w:rPr>
                <w:rFonts w:hint="eastAsia"/>
                <w:color w:val="auto"/>
              </w:rPr>
              <w:t>2</w:t>
            </w:r>
          </w:p>
        </w:tc>
        <w:tc>
          <w:tcPr>
            <w:tcW w:w="760" w:type="dxa"/>
            <w:vAlign w:val="center"/>
          </w:tcPr>
          <w:p w14:paraId="24DA8538">
            <w:pPr>
              <w:bidi w:val="0"/>
              <w:jc w:val="center"/>
              <w:rPr>
                <w:color w:val="auto"/>
              </w:rPr>
            </w:pPr>
          </w:p>
        </w:tc>
        <w:tc>
          <w:tcPr>
            <w:tcW w:w="2560" w:type="dxa"/>
            <w:vAlign w:val="center"/>
          </w:tcPr>
          <w:p w14:paraId="5AC1E0F9">
            <w:pPr>
              <w:bidi w:val="0"/>
              <w:jc w:val="left"/>
              <w:rPr>
                <w:color w:val="auto"/>
              </w:rPr>
            </w:pPr>
            <w:r>
              <w:rPr>
                <w:rFonts w:hint="eastAsia"/>
                <w:color w:val="auto"/>
              </w:rPr>
              <w:t>上班时未统一规范着装， 扣1 分；发现在岗位上玩手机、睡觉、脱岗、离岗或酒后上岗， 扣 1 分。</w:t>
            </w:r>
          </w:p>
        </w:tc>
        <w:tc>
          <w:tcPr>
            <w:tcW w:w="987" w:type="dxa"/>
            <w:vAlign w:val="center"/>
          </w:tcPr>
          <w:p w14:paraId="01D51075">
            <w:pPr>
              <w:bidi w:val="0"/>
              <w:jc w:val="center"/>
              <w:rPr>
                <w:color w:val="auto"/>
              </w:rPr>
            </w:pPr>
          </w:p>
        </w:tc>
      </w:tr>
      <w:tr w14:paraId="1400C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570EE5C3">
            <w:pPr>
              <w:bidi w:val="0"/>
              <w:jc w:val="center"/>
              <w:rPr>
                <w:color w:val="auto"/>
              </w:rPr>
            </w:pPr>
          </w:p>
        </w:tc>
        <w:tc>
          <w:tcPr>
            <w:tcW w:w="547" w:type="dxa"/>
            <w:vAlign w:val="center"/>
          </w:tcPr>
          <w:p w14:paraId="1BE7FA41">
            <w:pPr>
              <w:bidi w:val="0"/>
              <w:jc w:val="center"/>
              <w:rPr>
                <w:rFonts w:hint="eastAsia"/>
                <w:color w:val="auto"/>
                <w:lang w:val="en-US" w:eastAsia="zh-CN"/>
              </w:rPr>
            </w:pPr>
            <w:r>
              <w:rPr>
                <w:rFonts w:hint="eastAsia"/>
                <w:color w:val="auto"/>
                <w:lang w:val="en-US" w:eastAsia="zh-CN"/>
              </w:rPr>
              <w:t>4</w:t>
            </w:r>
          </w:p>
        </w:tc>
        <w:tc>
          <w:tcPr>
            <w:tcW w:w="3026" w:type="dxa"/>
            <w:vAlign w:val="center"/>
          </w:tcPr>
          <w:p w14:paraId="7613A406">
            <w:pPr>
              <w:bidi w:val="0"/>
              <w:jc w:val="left"/>
              <w:rPr>
                <w:rFonts w:hint="eastAsia"/>
                <w:color w:val="auto"/>
              </w:rPr>
            </w:pPr>
            <w:r>
              <w:rPr>
                <w:rFonts w:hint="eastAsia"/>
                <w:color w:val="auto"/>
              </w:rPr>
              <w:t>按合同要求配齐对讲机、执法</w:t>
            </w:r>
          </w:p>
          <w:p w14:paraId="4953D0DD">
            <w:pPr>
              <w:bidi w:val="0"/>
              <w:jc w:val="left"/>
              <w:rPr>
                <w:color w:val="auto"/>
              </w:rPr>
            </w:pPr>
            <w:r>
              <w:rPr>
                <w:rFonts w:hint="eastAsia"/>
                <w:color w:val="auto"/>
              </w:rPr>
              <w:t>记录仪、防身器材、应急处理器材、交通工具等配套设备。</w:t>
            </w:r>
          </w:p>
        </w:tc>
        <w:tc>
          <w:tcPr>
            <w:tcW w:w="760" w:type="dxa"/>
            <w:vAlign w:val="center"/>
          </w:tcPr>
          <w:p w14:paraId="2ECDAB7E">
            <w:pPr>
              <w:bidi w:val="0"/>
              <w:jc w:val="center"/>
              <w:rPr>
                <w:rFonts w:hint="eastAsia" w:eastAsiaTheme="minorEastAsia"/>
                <w:color w:val="auto"/>
                <w:lang w:eastAsia="zh-CN"/>
              </w:rPr>
            </w:pPr>
            <w:r>
              <w:rPr>
                <w:rFonts w:hint="eastAsia"/>
                <w:color w:val="auto"/>
                <w:lang w:val="en-US" w:eastAsia="zh-CN"/>
              </w:rPr>
              <w:t>1</w:t>
            </w:r>
          </w:p>
        </w:tc>
        <w:tc>
          <w:tcPr>
            <w:tcW w:w="760" w:type="dxa"/>
            <w:vAlign w:val="center"/>
          </w:tcPr>
          <w:p w14:paraId="4C100BE8">
            <w:pPr>
              <w:bidi w:val="0"/>
              <w:jc w:val="center"/>
              <w:rPr>
                <w:color w:val="auto"/>
              </w:rPr>
            </w:pPr>
          </w:p>
        </w:tc>
        <w:tc>
          <w:tcPr>
            <w:tcW w:w="2560" w:type="dxa"/>
            <w:vAlign w:val="center"/>
          </w:tcPr>
          <w:p w14:paraId="632A9879">
            <w:pPr>
              <w:bidi w:val="0"/>
              <w:jc w:val="left"/>
              <w:rPr>
                <w:color w:val="auto"/>
              </w:rPr>
            </w:pPr>
            <w:r>
              <w:rPr>
                <w:rFonts w:hint="eastAsia"/>
                <w:color w:val="auto"/>
              </w:rPr>
              <w:t>未按合同要求配齐对讲机、执法记录仪、防身器材、应急处理器材、交通工具等配套设备，扣 1 分。</w:t>
            </w:r>
          </w:p>
        </w:tc>
        <w:tc>
          <w:tcPr>
            <w:tcW w:w="987" w:type="dxa"/>
            <w:vAlign w:val="center"/>
          </w:tcPr>
          <w:p w14:paraId="76858CEA">
            <w:pPr>
              <w:bidi w:val="0"/>
              <w:jc w:val="center"/>
              <w:rPr>
                <w:color w:val="auto"/>
              </w:rPr>
            </w:pPr>
          </w:p>
        </w:tc>
      </w:tr>
      <w:tr w14:paraId="157B5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32BC48C2">
            <w:pPr>
              <w:bidi w:val="0"/>
              <w:jc w:val="center"/>
              <w:rPr>
                <w:color w:val="auto"/>
              </w:rPr>
            </w:pPr>
          </w:p>
        </w:tc>
        <w:tc>
          <w:tcPr>
            <w:tcW w:w="547" w:type="dxa"/>
            <w:vAlign w:val="center"/>
          </w:tcPr>
          <w:p w14:paraId="1A86963A">
            <w:pPr>
              <w:bidi w:val="0"/>
              <w:jc w:val="center"/>
              <w:rPr>
                <w:rFonts w:hint="default"/>
                <w:color w:val="auto"/>
                <w:lang w:val="en-US" w:eastAsia="zh-CN"/>
              </w:rPr>
            </w:pPr>
            <w:r>
              <w:rPr>
                <w:rFonts w:hint="eastAsia"/>
                <w:color w:val="auto"/>
                <w:lang w:val="en-US" w:eastAsia="zh-CN"/>
              </w:rPr>
              <w:t>5</w:t>
            </w:r>
          </w:p>
        </w:tc>
        <w:tc>
          <w:tcPr>
            <w:tcW w:w="3026" w:type="dxa"/>
            <w:vAlign w:val="center"/>
          </w:tcPr>
          <w:p w14:paraId="427168E6">
            <w:pPr>
              <w:bidi w:val="0"/>
              <w:jc w:val="left"/>
              <w:rPr>
                <w:rFonts w:hint="eastAsia"/>
                <w:color w:val="auto"/>
              </w:rPr>
            </w:pPr>
            <w:r>
              <w:rPr>
                <w:rFonts w:hint="eastAsia"/>
                <w:color w:val="auto"/>
              </w:rPr>
              <w:t>保安员年龄原则上在 18-45 岁之间，要求遵章守约、文明执</w:t>
            </w:r>
          </w:p>
          <w:p w14:paraId="37E4A064">
            <w:pPr>
              <w:bidi w:val="0"/>
              <w:jc w:val="left"/>
              <w:rPr>
                <w:rFonts w:hint="eastAsia"/>
                <w:color w:val="auto"/>
              </w:rPr>
            </w:pPr>
            <w:r>
              <w:rPr>
                <w:rFonts w:hint="eastAsia"/>
                <w:color w:val="auto"/>
              </w:rPr>
              <w:t>勤、衣冠整洁，无酗酒、赌博</w:t>
            </w:r>
          </w:p>
          <w:p w14:paraId="047DEEFA">
            <w:pPr>
              <w:bidi w:val="0"/>
              <w:jc w:val="left"/>
              <w:rPr>
                <w:color w:val="auto"/>
              </w:rPr>
            </w:pPr>
            <w:r>
              <w:rPr>
                <w:rFonts w:hint="eastAsia"/>
                <w:color w:val="auto"/>
              </w:rPr>
              <w:t>等不良行为。</w:t>
            </w:r>
          </w:p>
        </w:tc>
        <w:tc>
          <w:tcPr>
            <w:tcW w:w="760" w:type="dxa"/>
            <w:vAlign w:val="center"/>
          </w:tcPr>
          <w:p w14:paraId="6E4A867B">
            <w:pPr>
              <w:bidi w:val="0"/>
              <w:jc w:val="center"/>
              <w:rPr>
                <w:rFonts w:hint="eastAsia" w:eastAsiaTheme="minorEastAsia"/>
                <w:color w:val="auto"/>
                <w:lang w:eastAsia="zh-CN"/>
              </w:rPr>
            </w:pPr>
            <w:r>
              <w:rPr>
                <w:rFonts w:hint="eastAsia"/>
                <w:color w:val="auto"/>
                <w:lang w:val="en-US" w:eastAsia="zh-CN"/>
              </w:rPr>
              <w:t>4</w:t>
            </w:r>
          </w:p>
          <w:p w14:paraId="7C043375">
            <w:pPr>
              <w:bidi w:val="0"/>
              <w:jc w:val="center"/>
              <w:rPr>
                <w:color w:val="auto"/>
              </w:rPr>
            </w:pPr>
          </w:p>
        </w:tc>
        <w:tc>
          <w:tcPr>
            <w:tcW w:w="760" w:type="dxa"/>
            <w:vAlign w:val="center"/>
          </w:tcPr>
          <w:p w14:paraId="4A8EA6D6">
            <w:pPr>
              <w:bidi w:val="0"/>
              <w:jc w:val="center"/>
              <w:rPr>
                <w:color w:val="auto"/>
              </w:rPr>
            </w:pPr>
          </w:p>
        </w:tc>
        <w:tc>
          <w:tcPr>
            <w:tcW w:w="2560" w:type="dxa"/>
            <w:vAlign w:val="center"/>
          </w:tcPr>
          <w:p w14:paraId="70BBA862">
            <w:pPr>
              <w:bidi w:val="0"/>
              <w:jc w:val="left"/>
              <w:rPr>
                <w:color w:val="auto"/>
              </w:rPr>
            </w:pPr>
            <w:r>
              <w:rPr>
                <w:rFonts w:hint="eastAsia"/>
                <w:color w:val="auto"/>
              </w:rPr>
              <w:t>保安员未达到要求，每 1 人扣1 分；保安员存在不良行为，每 1 人次扣 1 分。此项最多扣 4 分。</w:t>
            </w:r>
          </w:p>
        </w:tc>
        <w:tc>
          <w:tcPr>
            <w:tcW w:w="987" w:type="dxa"/>
            <w:vAlign w:val="center"/>
          </w:tcPr>
          <w:p w14:paraId="3FAA7294">
            <w:pPr>
              <w:bidi w:val="0"/>
              <w:jc w:val="center"/>
              <w:rPr>
                <w:color w:val="auto"/>
              </w:rPr>
            </w:pPr>
          </w:p>
        </w:tc>
      </w:tr>
      <w:tr w14:paraId="5723E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033238B1">
            <w:pPr>
              <w:bidi w:val="0"/>
              <w:jc w:val="center"/>
              <w:rPr>
                <w:color w:val="auto"/>
              </w:rPr>
            </w:pPr>
          </w:p>
        </w:tc>
        <w:tc>
          <w:tcPr>
            <w:tcW w:w="547" w:type="dxa"/>
            <w:vAlign w:val="center"/>
          </w:tcPr>
          <w:p w14:paraId="66ADF98A">
            <w:pPr>
              <w:bidi w:val="0"/>
              <w:jc w:val="center"/>
              <w:rPr>
                <w:rFonts w:hint="default"/>
                <w:color w:val="auto"/>
                <w:lang w:val="en-US" w:eastAsia="zh-CN"/>
              </w:rPr>
            </w:pPr>
            <w:r>
              <w:rPr>
                <w:rFonts w:hint="eastAsia"/>
                <w:color w:val="auto"/>
                <w:lang w:val="en-US" w:eastAsia="zh-CN"/>
              </w:rPr>
              <w:t>6</w:t>
            </w:r>
          </w:p>
        </w:tc>
        <w:tc>
          <w:tcPr>
            <w:tcW w:w="3026" w:type="dxa"/>
            <w:vAlign w:val="center"/>
          </w:tcPr>
          <w:p w14:paraId="63824E3D">
            <w:pPr>
              <w:bidi w:val="0"/>
              <w:rPr>
                <w:rFonts w:hint="eastAsia"/>
                <w:color w:val="auto"/>
              </w:rPr>
            </w:pPr>
            <w:r>
              <w:rPr>
                <w:rFonts w:hint="eastAsia"/>
                <w:color w:val="auto"/>
              </w:rPr>
              <w:t>保安员变动情况以及员工的工</w:t>
            </w:r>
          </w:p>
          <w:p w14:paraId="587EC56A">
            <w:pPr>
              <w:bidi w:val="0"/>
              <w:rPr>
                <w:color w:val="auto"/>
              </w:rPr>
            </w:pPr>
            <w:r>
              <w:rPr>
                <w:rFonts w:hint="eastAsia"/>
                <w:color w:val="auto"/>
              </w:rPr>
              <w:t>资报表每月按时报送保卫办备案。</w:t>
            </w:r>
          </w:p>
        </w:tc>
        <w:tc>
          <w:tcPr>
            <w:tcW w:w="760" w:type="dxa"/>
            <w:vAlign w:val="center"/>
          </w:tcPr>
          <w:p w14:paraId="5766C2CB">
            <w:pPr>
              <w:bidi w:val="0"/>
              <w:jc w:val="center"/>
              <w:rPr>
                <w:rFonts w:hint="eastAsia"/>
                <w:color w:val="auto"/>
                <w:lang w:val="en-US" w:eastAsia="zh-CN"/>
              </w:rPr>
            </w:pPr>
            <w:r>
              <w:rPr>
                <w:rFonts w:hint="eastAsia"/>
                <w:color w:val="auto"/>
                <w:lang w:val="en-US" w:eastAsia="zh-CN"/>
              </w:rPr>
              <w:t>1</w:t>
            </w:r>
          </w:p>
        </w:tc>
        <w:tc>
          <w:tcPr>
            <w:tcW w:w="760" w:type="dxa"/>
            <w:vAlign w:val="center"/>
          </w:tcPr>
          <w:p w14:paraId="613567C9">
            <w:pPr>
              <w:bidi w:val="0"/>
              <w:jc w:val="center"/>
              <w:rPr>
                <w:color w:val="auto"/>
              </w:rPr>
            </w:pPr>
          </w:p>
        </w:tc>
        <w:tc>
          <w:tcPr>
            <w:tcW w:w="2560" w:type="dxa"/>
            <w:vAlign w:val="center"/>
          </w:tcPr>
          <w:p w14:paraId="75A63912">
            <w:pPr>
              <w:bidi w:val="0"/>
              <w:jc w:val="left"/>
              <w:rPr>
                <w:color w:val="auto"/>
              </w:rPr>
            </w:pPr>
            <w:r>
              <w:rPr>
                <w:rFonts w:hint="eastAsia"/>
                <w:color w:val="auto"/>
              </w:rPr>
              <w:t>工资报表每月未按时报送保卫办备案，扣 1 分。</w:t>
            </w:r>
          </w:p>
        </w:tc>
        <w:tc>
          <w:tcPr>
            <w:tcW w:w="987" w:type="dxa"/>
            <w:vAlign w:val="center"/>
          </w:tcPr>
          <w:p w14:paraId="604E2654">
            <w:pPr>
              <w:bidi w:val="0"/>
              <w:jc w:val="center"/>
              <w:rPr>
                <w:color w:val="auto"/>
              </w:rPr>
            </w:pPr>
          </w:p>
        </w:tc>
      </w:tr>
      <w:tr w14:paraId="43C02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restart"/>
            <w:vAlign w:val="center"/>
          </w:tcPr>
          <w:p w14:paraId="653997F6">
            <w:pPr>
              <w:bidi w:val="0"/>
              <w:jc w:val="left"/>
              <w:rPr>
                <w:color w:val="auto"/>
              </w:rPr>
            </w:pPr>
            <w:r>
              <w:rPr>
                <w:rFonts w:hint="eastAsia"/>
                <w:color w:val="auto"/>
              </w:rPr>
              <w:t>（三）消防和治安管理（19 分）</w:t>
            </w:r>
          </w:p>
        </w:tc>
        <w:tc>
          <w:tcPr>
            <w:tcW w:w="547" w:type="dxa"/>
            <w:vAlign w:val="center"/>
          </w:tcPr>
          <w:p w14:paraId="75D3144B">
            <w:pPr>
              <w:bidi w:val="0"/>
              <w:jc w:val="center"/>
              <w:rPr>
                <w:rFonts w:hint="default"/>
                <w:color w:val="auto"/>
                <w:lang w:val="en-US" w:eastAsia="zh-CN"/>
              </w:rPr>
            </w:pPr>
            <w:r>
              <w:rPr>
                <w:rFonts w:hint="eastAsia"/>
                <w:color w:val="auto"/>
                <w:lang w:val="en-US" w:eastAsia="zh-CN"/>
              </w:rPr>
              <w:t>1</w:t>
            </w:r>
          </w:p>
        </w:tc>
        <w:tc>
          <w:tcPr>
            <w:tcW w:w="3026" w:type="dxa"/>
            <w:vAlign w:val="center"/>
          </w:tcPr>
          <w:p w14:paraId="5224BA8F">
            <w:pPr>
              <w:bidi w:val="0"/>
              <w:rPr>
                <w:rFonts w:hint="eastAsia"/>
                <w:color w:val="auto"/>
              </w:rPr>
            </w:pPr>
            <w:r>
              <w:rPr>
                <w:rFonts w:hint="eastAsia"/>
                <w:color w:val="auto"/>
              </w:rPr>
              <w:t>加强校园巡查，防止消防、技</w:t>
            </w:r>
          </w:p>
          <w:p w14:paraId="7EB9E73E">
            <w:pPr>
              <w:bidi w:val="0"/>
              <w:rPr>
                <w:rFonts w:hint="eastAsia"/>
                <w:color w:val="auto"/>
              </w:rPr>
            </w:pPr>
            <w:r>
              <w:rPr>
                <w:rFonts w:hint="eastAsia"/>
                <w:color w:val="auto"/>
              </w:rPr>
              <w:t>防、交通设施设备丢失。</w:t>
            </w:r>
          </w:p>
        </w:tc>
        <w:tc>
          <w:tcPr>
            <w:tcW w:w="760" w:type="dxa"/>
            <w:vAlign w:val="center"/>
          </w:tcPr>
          <w:p w14:paraId="58E35038">
            <w:pPr>
              <w:bidi w:val="0"/>
              <w:jc w:val="center"/>
              <w:rPr>
                <w:rFonts w:hint="default"/>
                <w:color w:val="auto"/>
                <w:lang w:val="en-US" w:eastAsia="zh-CN"/>
              </w:rPr>
            </w:pPr>
            <w:r>
              <w:rPr>
                <w:rFonts w:hint="eastAsia"/>
                <w:color w:val="auto"/>
                <w:lang w:val="en-US" w:eastAsia="zh-CN"/>
              </w:rPr>
              <w:t>1</w:t>
            </w:r>
          </w:p>
        </w:tc>
        <w:tc>
          <w:tcPr>
            <w:tcW w:w="760" w:type="dxa"/>
            <w:vAlign w:val="center"/>
          </w:tcPr>
          <w:p w14:paraId="4A4E1F39">
            <w:pPr>
              <w:bidi w:val="0"/>
              <w:jc w:val="center"/>
              <w:rPr>
                <w:color w:val="auto"/>
              </w:rPr>
            </w:pPr>
          </w:p>
        </w:tc>
        <w:tc>
          <w:tcPr>
            <w:tcW w:w="2560" w:type="dxa"/>
            <w:vAlign w:val="center"/>
          </w:tcPr>
          <w:p w14:paraId="6036243D">
            <w:pPr>
              <w:bidi w:val="0"/>
              <w:jc w:val="left"/>
              <w:rPr>
                <w:rFonts w:hint="eastAsia"/>
                <w:color w:val="auto"/>
              </w:rPr>
            </w:pPr>
            <w:r>
              <w:rPr>
                <w:rFonts w:hint="eastAsia"/>
                <w:color w:val="auto"/>
              </w:rPr>
              <w:t>岗位人员履职不到位，导致消防、技防、交通设施设备丢失， 扣 1 分。</w:t>
            </w:r>
          </w:p>
        </w:tc>
        <w:tc>
          <w:tcPr>
            <w:tcW w:w="987" w:type="dxa"/>
            <w:vAlign w:val="center"/>
          </w:tcPr>
          <w:p w14:paraId="6A3F591B">
            <w:pPr>
              <w:bidi w:val="0"/>
              <w:jc w:val="center"/>
              <w:rPr>
                <w:color w:val="auto"/>
              </w:rPr>
            </w:pPr>
          </w:p>
        </w:tc>
      </w:tr>
      <w:tr w14:paraId="2FBA5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090AD1C9">
            <w:pPr>
              <w:bidi w:val="0"/>
              <w:jc w:val="center"/>
              <w:rPr>
                <w:color w:val="auto"/>
              </w:rPr>
            </w:pPr>
          </w:p>
        </w:tc>
        <w:tc>
          <w:tcPr>
            <w:tcW w:w="547" w:type="dxa"/>
            <w:vAlign w:val="center"/>
          </w:tcPr>
          <w:p w14:paraId="064DB9C7">
            <w:pPr>
              <w:bidi w:val="0"/>
              <w:jc w:val="center"/>
              <w:rPr>
                <w:rFonts w:hint="default"/>
                <w:color w:val="auto"/>
                <w:lang w:val="en-US" w:eastAsia="zh-CN"/>
              </w:rPr>
            </w:pPr>
            <w:r>
              <w:rPr>
                <w:rFonts w:hint="eastAsia"/>
                <w:color w:val="auto"/>
                <w:lang w:val="en-US" w:eastAsia="zh-CN"/>
              </w:rPr>
              <w:t>2</w:t>
            </w:r>
          </w:p>
        </w:tc>
        <w:tc>
          <w:tcPr>
            <w:tcW w:w="3026" w:type="dxa"/>
            <w:vAlign w:val="center"/>
          </w:tcPr>
          <w:p w14:paraId="483A7E12">
            <w:pPr>
              <w:bidi w:val="0"/>
              <w:rPr>
                <w:rFonts w:hint="eastAsia"/>
                <w:color w:val="auto"/>
              </w:rPr>
            </w:pPr>
            <w:r>
              <w:rPr>
                <w:rFonts w:hint="eastAsia"/>
                <w:color w:val="auto"/>
              </w:rPr>
              <w:t>发生初起火灾、火警时应及时</w:t>
            </w:r>
          </w:p>
          <w:p w14:paraId="251288AA">
            <w:pPr>
              <w:bidi w:val="0"/>
              <w:rPr>
                <w:rFonts w:hint="eastAsia"/>
                <w:color w:val="auto"/>
              </w:rPr>
            </w:pPr>
            <w:r>
              <w:rPr>
                <w:rFonts w:hint="eastAsia"/>
                <w:color w:val="auto"/>
              </w:rPr>
              <w:t>报警和扑救。</w:t>
            </w:r>
          </w:p>
        </w:tc>
        <w:tc>
          <w:tcPr>
            <w:tcW w:w="760" w:type="dxa"/>
            <w:vAlign w:val="center"/>
          </w:tcPr>
          <w:p w14:paraId="5AF3482D">
            <w:pPr>
              <w:bidi w:val="0"/>
              <w:jc w:val="center"/>
              <w:rPr>
                <w:rFonts w:hint="default"/>
                <w:color w:val="auto"/>
                <w:lang w:val="en-US" w:eastAsia="zh-CN"/>
              </w:rPr>
            </w:pPr>
            <w:r>
              <w:rPr>
                <w:rFonts w:hint="eastAsia"/>
                <w:color w:val="auto"/>
                <w:lang w:val="en-US" w:eastAsia="zh-CN"/>
              </w:rPr>
              <w:t>3</w:t>
            </w:r>
          </w:p>
        </w:tc>
        <w:tc>
          <w:tcPr>
            <w:tcW w:w="760" w:type="dxa"/>
            <w:vAlign w:val="center"/>
          </w:tcPr>
          <w:p w14:paraId="7D6D7EDE">
            <w:pPr>
              <w:bidi w:val="0"/>
              <w:jc w:val="center"/>
              <w:rPr>
                <w:color w:val="auto"/>
              </w:rPr>
            </w:pPr>
          </w:p>
        </w:tc>
        <w:tc>
          <w:tcPr>
            <w:tcW w:w="2560" w:type="dxa"/>
            <w:vAlign w:val="center"/>
          </w:tcPr>
          <w:p w14:paraId="21FC9F67">
            <w:pPr>
              <w:bidi w:val="0"/>
              <w:jc w:val="left"/>
              <w:rPr>
                <w:rFonts w:hint="eastAsia"/>
                <w:color w:val="auto"/>
              </w:rPr>
            </w:pPr>
            <w:r>
              <w:rPr>
                <w:rFonts w:hint="eastAsia"/>
                <w:color w:val="auto"/>
              </w:rPr>
              <w:t>发生初起火灾、火警时未及时报警和扑救导致火势失控，扣3 分。</w:t>
            </w:r>
          </w:p>
        </w:tc>
        <w:tc>
          <w:tcPr>
            <w:tcW w:w="987" w:type="dxa"/>
            <w:vAlign w:val="center"/>
          </w:tcPr>
          <w:p w14:paraId="122037E0">
            <w:pPr>
              <w:bidi w:val="0"/>
              <w:jc w:val="center"/>
              <w:rPr>
                <w:color w:val="auto"/>
              </w:rPr>
            </w:pPr>
          </w:p>
        </w:tc>
      </w:tr>
      <w:tr w14:paraId="37630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trPr>
        <w:tc>
          <w:tcPr>
            <w:tcW w:w="1253" w:type="dxa"/>
            <w:vMerge w:val="continue"/>
            <w:vAlign w:val="center"/>
          </w:tcPr>
          <w:p w14:paraId="429F3BEB">
            <w:pPr>
              <w:bidi w:val="0"/>
              <w:jc w:val="center"/>
              <w:rPr>
                <w:color w:val="auto"/>
              </w:rPr>
            </w:pPr>
          </w:p>
        </w:tc>
        <w:tc>
          <w:tcPr>
            <w:tcW w:w="547" w:type="dxa"/>
            <w:vAlign w:val="center"/>
          </w:tcPr>
          <w:p w14:paraId="3527A461">
            <w:pPr>
              <w:bidi w:val="0"/>
              <w:jc w:val="center"/>
              <w:rPr>
                <w:rFonts w:hint="default"/>
                <w:color w:val="auto"/>
                <w:lang w:val="en-US" w:eastAsia="zh-CN"/>
              </w:rPr>
            </w:pPr>
            <w:r>
              <w:rPr>
                <w:rFonts w:hint="eastAsia"/>
                <w:color w:val="auto"/>
                <w:lang w:val="en-US" w:eastAsia="zh-CN"/>
              </w:rPr>
              <w:t>3</w:t>
            </w:r>
          </w:p>
        </w:tc>
        <w:tc>
          <w:tcPr>
            <w:tcW w:w="3026" w:type="dxa"/>
            <w:vAlign w:val="center"/>
          </w:tcPr>
          <w:p w14:paraId="5C031802">
            <w:pPr>
              <w:bidi w:val="0"/>
              <w:rPr>
                <w:rFonts w:hint="eastAsia"/>
                <w:color w:val="auto"/>
              </w:rPr>
            </w:pPr>
            <w:r>
              <w:rPr>
                <w:rFonts w:hint="eastAsia"/>
                <w:color w:val="auto"/>
              </w:rPr>
              <w:t>积极协助保卫办开展校园安全</w:t>
            </w:r>
          </w:p>
          <w:p w14:paraId="4B8B29AA">
            <w:pPr>
              <w:bidi w:val="0"/>
              <w:rPr>
                <w:rFonts w:hint="eastAsia"/>
                <w:color w:val="auto"/>
              </w:rPr>
            </w:pPr>
            <w:r>
              <w:rPr>
                <w:rFonts w:hint="eastAsia"/>
                <w:color w:val="auto"/>
              </w:rPr>
              <w:t>宣传、培训、演练等工作。</w:t>
            </w:r>
          </w:p>
        </w:tc>
        <w:tc>
          <w:tcPr>
            <w:tcW w:w="760" w:type="dxa"/>
            <w:vAlign w:val="center"/>
          </w:tcPr>
          <w:p w14:paraId="076412C3">
            <w:pPr>
              <w:bidi w:val="0"/>
              <w:jc w:val="center"/>
              <w:rPr>
                <w:rFonts w:hint="default"/>
                <w:color w:val="auto"/>
                <w:lang w:val="en-US" w:eastAsia="zh-CN"/>
              </w:rPr>
            </w:pPr>
            <w:r>
              <w:rPr>
                <w:rFonts w:hint="eastAsia"/>
                <w:color w:val="auto"/>
                <w:lang w:val="en-US" w:eastAsia="zh-CN"/>
              </w:rPr>
              <w:t>1</w:t>
            </w:r>
          </w:p>
        </w:tc>
        <w:tc>
          <w:tcPr>
            <w:tcW w:w="760" w:type="dxa"/>
            <w:vAlign w:val="center"/>
          </w:tcPr>
          <w:p w14:paraId="2C9D607F">
            <w:pPr>
              <w:bidi w:val="0"/>
              <w:jc w:val="center"/>
              <w:rPr>
                <w:color w:val="auto"/>
              </w:rPr>
            </w:pPr>
          </w:p>
        </w:tc>
        <w:tc>
          <w:tcPr>
            <w:tcW w:w="2560" w:type="dxa"/>
            <w:vAlign w:val="center"/>
          </w:tcPr>
          <w:p w14:paraId="586858D9">
            <w:pPr>
              <w:bidi w:val="0"/>
              <w:jc w:val="left"/>
              <w:rPr>
                <w:rFonts w:hint="eastAsia"/>
                <w:color w:val="auto"/>
              </w:rPr>
            </w:pPr>
            <w:r>
              <w:rPr>
                <w:color w:val="auto"/>
                <w:spacing w:val="-6"/>
                <w:sz w:val="21"/>
              </w:rPr>
              <w:t>开展校园安全宣传、培训、演</w:t>
            </w:r>
            <w:r>
              <w:rPr>
                <w:color w:val="auto"/>
                <w:spacing w:val="-11"/>
                <w:sz w:val="21"/>
              </w:rPr>
              <w:t xml:space="preserve">练等工作协助不力，扣 </w:t>
            </w:r>
            <w:r>
              <w:rPr>
                <w:color w:val="auto"/>
                <w:sz w:val="21"/>
              </w:rPr>
              <w:t>1</w:t>
            </w:r>
            <w:r>
              <w:rPr>
                <w:color w:val="auto"/>
                <w:spacing w:val="-23"/>
                <w:sz w:val="21"/>
              </w:rPr>
              <w:t xml:space="preserve"> 分。</w:t>
            </w:r>
          </w:p>
        </w:tc>
        <w:tc>
          <w:tcPr>
            <w:tcW w:w="987" w:type="dxa"/>
            <w:vAlign w:val="center"/>
          </w:tcPr>
          <w:p w14:paraId="2CA04819">
            <w:pPr>
              <w:bidi w:val="0"/>
              <w:jc w:val="center"/>
              <w:rPr>
                <w:color w:val="auto"/>
              </w:rPr>
            </w:pPr>
          </w:p>
        </w:tc>
      </w:tr>
      <w:tr w14:paraId="3F530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22B82DE2">
            <w:pPr>
              <w:bidi w:val="0"/>
              <w:jc w:val="center"/>
              <w:rPr>
                <w:color w:val="auto"/>
              </w:rPr>
            </w:pPr>
          </w:p>
        </w:tc>
        <w:tc>
          <w:tcPr>
            <w:tcW w:w="547" w:type="dxa"/>
            <w:vAlign w:val="center"/>
          </w:tcPr>
          <w:p w14:paraId="16A81822">
            <w:pPr>
              <w:bidi w:val="0"/>
              <w:jc w:val="center"/>
              <w:rPr>
                <w:rFonts w:hint="default"/>
                <w:color w:val="auto"/>
                <w:lang w:val="en-US" w:eastAsia="zh-CN"/>
              </w:rPr>
            </w:pPr>
            <w:r>
              <w:rPr>
                <w:rFonts w:hint="eastAsia"/>
                <w:color w:val="auto"/>
                <w:lang w:val="en-US" w:eastAsia="zh-CN"/>
              </w:rPr>
              <w:t>4</w:t>
            </w:r>
          </w:p>
        </w:tc>
        <w:tc>
          <w:tcPr>
            <w:tcW w:w="3026" w:type="dxa"/>
            <w:vAlign w:val="center"/>
          </w:tcPr>
          <w:p w14:paraId="39A7B65E">
            <w:pPr>
              <w:bidi w:val="0"/>
              <w:rPr>
                <w:rFonts w:hint="eastAsia"/>
                <w:color w:val="auto"/>
              </w:rPr>
            </w:pPr>
            <w:r>
              <w:rPr>
                <w:rFonts w:hint="eastAsia"/>
                <w:color w:val="auto"/>
              </w:rPr>
              <w:t>按要求保护案发现场，协助公</w:t>
            </w:r>
          </w:p>
          <w:p w14:paraId="3211EB0C">
            <w:pPr>
              <w:bidi w:val="0"/>
              <w:rPr>
                <w:rFonts w:hint="eastAsia"/>
                <w:color w:val="auto"/>
              </w:rPr>
            </w:pPr>
            <w:r>
              <w:rPr>
                <w:rFonts w:hint="eastAsia"/>
                <w:color w:val="auto"/>
              </w:rPr>
              <w:t>安、保卫部门查处案件；对师生报称的危难警情提供帮助。</w:t>
            </w:r>
          </w:p>
        </w:tc>
        <w:tc>
          <w:tcPr>
            <w:tcW w:w="760" w:type="dxa"/>
            <w:vAlign w:val="center"/>
          </w:tcPr>
          <w:p w14:paraId="6924CFEE">
            <w:pPr>
              <w:bidi w:val="0"/>
              <w:jc w:val="center"/>
              <w:rPr>
                <w:rFonts w:hint="default"/>
                <w:color w:val="auto"/>
                <w:lang w:val="en-US" w:eastAsia="zh-CN"/>
              </w:rPr>
            </w:pPr>
            <w:r>
              <w:rPr>
                <w:rFonts w:hint="eastAsia"/>
                <w:color w:val="auto"/>
                <w:lang w:val="en-US" w:eastAsia="zh-CN"/>
              </w:rPr>
              <w:t>1</w:t>
            </w:r>
          </w:p>
        </w:tc>
        <w:tc>
          <w:tcPr>
            <w:tcW w:w="760" w:type="dxa"/>
            <w:vAlign w:val="center"/>
          </w:tcPr>
          <w:p w14:paraId="74C51399">
            <w:pPr>
              <w:bidi w:val="0"/>
              <w:jc w:val="center"/>
              <w:rPr>
                <w:color w:val="auto"/>
              </w:rPr>
            </w:pPr>
          </w:p>
        </w:tc>
        <w:tc>
          <w:tcPr>
            <w:tcW w:w="2560" w:type="dxa"/>
            <w:vAlign w:val="center"/>
          </w:tcPr>
          <w:p w14:paraId="1C298F89">
            <w:pPr>
              <w:bidi w:val="0"/>
              <w:jc w:val="left"/>
              <w:rPr>
                <w:rFonts w:hint="eastAsia"/>
                <w:color w:val="auto"/>
              </w:rPr>
            </w:pPr>
            <w:r>
              <w:rPr>
                <w:rFonts w:hint="eastAsia"/>
                <w:color w:val="auto"/>
              </w:rPr>
              <w:t>未按要求保护案发现场， 未协助公安、保卫部门查处案件；对师生报称的危难警情未提供帮助，扣 1 分。</w:t>
            </w:r>
          </w:p>
        </w:tc>
        <w:tc>
          <w:tcPr>
            <w:tcW w:w="987" w:type="dxa"/>
            <w:vAlign w:val="center"/>
          </w:tcPr>
          <w:p w14:paraId="40D13D8F">
            <w:pPr>
              <w:bidi w:val="0"/>
              <w:jc w:val="center"/>
              <w:rPr>
                <w:color w:val="auto"/>
              </w:rPr>
            </w:pPr>
          </w:p>
        </w:tc>
      </w:tr>
      <w:tr w14:paraId="1B64C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511C2A3B">
            <w:pPr>
              <w:bidi w:val="0"/>
              <w:jc w:val="center"/>
              <w:rPr>
                <w:color w:val="auto"/>
              </w:rPr>
            </w:pPr>
          </w:p>
        </w:tc>
        <w:tc>
          <w:tcPr>
            <w:tcW w:w="547" w:type="dxa"/>
            <w:vAlign w:val="center"/>
          </w:tcPr>
          <w:p w14:paraId="79DF71FA">
            <w:pPr>
              <w:bidi w:val="0"/>
              <w:jc w:val="center"/>
              <w:rPr>
                <w:rFonts w:hint="default"/>
                <w:color w:val="auto"/>
                <w:lang w:val="en-US" w:eastAsia="zh-CN"/>
              </w:rPr>
            </w:pPr>
            <w:r>
              <w:rPr>
                <w:rFonts w:hint="eastAsia"/>
                <w:color w:val="auto"/>
                <w:lang w:val="en-US" w:eastAsia="zh-CN"/>
              </w:rPr>
              <w:t>5</w:t>
            </w:r>
          </w:p>
        </w:tc>
        <w:tc>
          <w:tcPr>
            <w:tcW w:w="3026" w:type="dxa"/>
            <w:vAlign w:val="center"/>
          </w:tcPr>
          <w:p w14:paraId="7C045F4A">
            <w:pPr>
              <w:bidi w:val="0"/>
              <w:rPr>
                <w:rFonts w:hint="eastAsia"/>
                <w:color w:val="auto"/>
              </w:rPr>
            </w:pPr>
            <w:r>
              <w:rPr>
                <w:rFonts w:hint="eastAsia"/>
                <w:color w:val="auto"/>
              </w:rPr>
              <w:t>消防控制中心值班须持有效资</w:t>
            </w:r>
          </w:p>
          <w:p w14:paraId="4475B688">
            <w:pPr>
              <w:bidi w:val="0"/>
              <w:rPr>
                <w:rFonts w:hint="eastAsia"/>
                <w:color w:val="auto"/>
              </w:rPr>
            </w:pPr>
            <w:r>
              <w:rPr>
                <w:rFonts w:hint="eastAsia"/>
                <w:color w:val="auto"/>
              </w:rPr>
              <w:t>格证上岗。</w:t>
            </w:r>
          </w:p>
        </w:tc>
        <w:tc>
          <w:tcPr>
            <w:tcW w:w="760" w:type="dxa"/>
            <w:vAlign w:val="center"/>
          </w:tcPr>
          <w:p w14:paraId="62FD4DB4">
            <w:pPr>
              <w:bidi w:val="0"/>
              <w:jc w:val="center"/>
              <w:rPr>
                <w:rFonts w:hint="default"/>
                <w:color w:val="auto"/>
                <w:lang w:val="en-US" w:eastAsia="zh-CN"/>
              </w:rPr>
            </w:pPr>
            <w:r>
              <w:rPr>
                <w:rFonts w:hint="eastAsia"/>
                <w:color w:val="auto"/>
                <w:lang w:val="en-US" w:eastAsia="zh-CN"/>
              </w:rPr>
              <w:t>2</w:t>
            </w:r>
          </w:p>
        </w:tc>
        <w:tc>
          <w:tcPr>
            <w:tcW w:w="760" w:type="dxa"/>
            <w:vAlign w:val="center"/>
          </w:tcPr>
          <w:p w14:paraId="1CE86E3E">
            <w:pPr>
              <w:bidi w:val="0"/>
              <w:jc w:val="center"/>
              <w:rPr>
                <w:color w:val="auto"/>
              </w:rPr>
            </w:pPr>
          </w:p>
        </w:tc>
        <w:tc>
          <w:tcPr>
            <w:tcW w:w="2560" w:type="dxa"/>
            <w:vAlign w:val="center"/>
          </w:tcPr>
          <w:p w14:paraId="73C56F7A">
            <w:pPr>
              <w:bidi w:val="0"/>
              <w:jc w:val="left"/>
              <w:rPr>
                <w:rFonts w:hint="eastAsia"/>
                <w:color w:val="auto"/>
              </w:rPr>
            </w:pPr>
            <w:r>
              <w:rPr>
                <w:rFonts w:hint="eastAsia"/>
                <w:color w:val="auto"/>
              </w:rPr>
              <w:t>保安员未持证上岗，扣 2 分。</w:t>
            </w:r>
          </w:p>
        </w:tc>
        <w:tc>
          <w:tcPr>
            <w:tcW w:w="987" w:type="dxa"/>
            <w:vAlign w:val="center"/>
          </w:tcPr>
          <w:p w14:paraId="491ADEE4">
            <w:pPr>
              <w:bidi w:val="0"/>
              <w:jc w:val="center"/>
              <w:rPr>
                <w:color w:val="auto"/>
              </w:rPr>
            </w:pPr>
          </w:p>
        </w:tc>
      </w:tr>
      <w:tr w14:paraId="27152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560C4BC8">
            <w:pPr>
              <w:bidi w:val="0"/>
              <w:jc w:val="center"/>
              <w:rPr>
                <w:color w:val="auto"/>
              </w:rPr>
            </w:pPr>
          </w:p>
        </w:tc>
        <w:tc>
          <w:tcPr>
            <w:tcW w:w="547" w:type="dxa"/>
            <w:vAlign w:val="center"/>
          </w:tcPr>
          <w:p w14:paraId="3F333D04">
            <w:pPr>
              <w:bidi w:val="0"/>
              <w:jc w:val="center"/>
              <w:rPr>
                <w:rFonts w:hint="default"/>
                <w:color w:val="auto"/>
                <w:lang w:val="en-US" w:eastAsia="zh-CN"/>
              </w:rPr>
            </w:pPr>
            <w:r>
              <w:rPr>
                <w:rFonts w:hint="eastAsia"/>
                <w:color w:val="auto"/>
                <w:lang w:val="en-US" w:eastAsia="zh-CN"/>
              </w:rPr>
              <w:t>6</w:t>
            </w:r>
          </w:p>
        </w:tc>
        <w:tc>
          <w:tcPr>
            <w:tcW w:w="3026" w:type="dxa"/>
            <w:vAlign w:val="center"/>
          </w:tcPr>
          <w:p w14:paraId="6B4B9871">
            <w:pPr>
              <w:bidi w:val="0"/>
              <w:rPr>
                <w:rFonts w:hint="eastAsia"/>
                <w:color w:val="auto"/>
              </w:rPr>
            </w:pPr>
            <w:r>
              <w:rPr>
                <w:rFonts w:hint="eastAsia"/>
                <w:color w:val="auto"/>
              </w:rPr>
              <w:t>参与消防培训演练，协助建立</w:t>
            </w:r>
          </w:p>
          <w:p w14:paraId="1D1A64C6">
            <w:pPr>
              <w:bidi w:val="0"/>
              <w:rPr>
                <w:rFonts w:hint="eastAsia"/>
                <w:color w:val="auto"/>
              </w:rPr>
            </w:pPr>
            <w:r>
              <w:rPr>
                <w:rFonts w:hint="eastAsia"/>
                <w:color w:val="auto"/>
              </w:rPr>
              <w:t>志愿消防队。</w:t>
            </w:r>
          </w:p>
        </w:tc>
        <w:tc>
          <w:tcPr>
            <w:tcW w:w="760" w:type="dxa"/>
            <w:vAlign w:val="center"/>
          </w:tcPr>
          <w:p w14:paraId="7888B927">
            <w:pPr>
              <w:bidi w:val="0"/>
              <w:jc w:val="center"/>
              <w:rPr>
                <w:rFonts w:hint="default"/>
                <w:color w:val="auto"/>
                <w:lang w:val="en-US" w:eastAsia="zh-CN"/>
              </w:rPr>
            </w:pPr>
            <w:r>
              <w:rPr>
                <w:rFonts w:hint="eastAsia"/>
                <w:color w:val="auto"/>
                <w:lang w:val="en-US" w:eastAsia="zh-CN"/>
              </w:rPr>
              <w:t>1</w:t>
            </w:r>
          </w:p>
        </w:tc>
        <w:tc>
          <w:tcPr>
            <w:tcW w:w="760" w:type="dxa"/>
            <w:vAlign w:val="center"/>
          </w:tcPr>
          <w:p w14:paraId="7FB00A31">
            <w:pPr>
              <w:bidi w:val="0"/>
              <w:jc w:val="center"/>
              <w:rPr>
                <w:color w:val="auto"/>
              </w:rPr>
            </w:pPr>
          </w:p>
        </w:tc>
        <w:tc>
          <w:tcPr>
            <w:tcW w:w="2560" w:type="dxa"/>
            <w:vAlign w:val="center"/>
          </w:tcPr>
          <w:p w14:paraId="09D89A12">
            <w:pPr>
              <w:bidi w:val="0"/>
              <w:jc w:val="left"/>
              <w:rPr>
                <w:rFonts w:hint="eastAsia"/>
                <w:color w:val="auto"/>
              </w:rPr>
            </w:pPr>
            <w:r>
              <w:rPr>
                <w:rFonts w:hint="eastAsia"/>
                <w:color w:val="auto"/>
              </w:rPr>
              <w:t>未参与消防培训演练，协助建立志愿消防队，扣 1 分。</w:t>
            </w:r>
          </w:p>
        </w:tc>
        <w:tc>
          <w:tcPr>
            <w:tcW w:w="987" w:type="dxa"/>
            <w:vAlign w:val="center"/>
          </w:tcPr>
          <w:p w14:paraId="746A00F0">
            <w:pPr>
              <w:bidi w:val="0"/>
              <w:jc w:val="center"/>
              <w:rPr>
                <w:color w:val="auto"/>
              </w:rPr>
            </w:pPr>
          </w:p>
        </w:tc>
      </w:tr>
    </w:tbl>
    <w:p w14:paraId="3D95DD75">
      <w:pPr>
        <w:rPr>
          <w:color w:val="auto"/>
          <w:sz w:val="24"/>
          <w:szCs w:val="24"/>
        </w:rPr>
      </w:pPr>
    </w:p>
    <w:p w14:paraId="60FB1E19">
      <w:pPr>
        <w:rPr>
          <w:color w:val="auto"/>
          <w:sz w:val="24"/>
          <w:szCs w:val="24"/>
        </w:rPr>
      </w:pPr>
    </w:p>
    <w:p w14:paraId="4E3DF5F6">
      <w:pPr>
        <w:rPr>
          <w:color w:val="auto"/>
          <w:sz w:val="24"/>
          <w:szCs w:val="24"/>
        </w:rPr>
      </w:pPr>
    </w:p>
    <w:tbl>
      <w:tblPr>
        <w:tblStyle w:val="4"/>
        <w:tblW w:w="9893" w:type="dxa"/>
        <w:tblInd w:w="-6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53"/>
        <w:gridCol w:w="547"/>
        <w:gridCol w:w="2906"/>
        <w:gridCol w:w="774"/>
        <w:gridCol w:w="760"/>
        <w:gridCol w:w="2773"/>
        <w:gridCol w:w="880"/>
      </w:tblGrid>
      <w:tr w14:paraId="53994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9893" w:type="dxa"/>
            <w:gridSpan w:val="7"/>
            <w:vAlign w:val="center"/>
          </w:tcPr>
          <w:p w14:paraId="71B919B7">
            <w:pPr>
              <w:bidi w:val="0"/>
              <w:jc w:val="center"/>
              <w:rPr>
                <w:color w:val="auto"/>
              </w:rPr>
            </w:pPr>
            <w:r>
              <w:rPr>
                <w:rFonts w:hint="eastAsia"/>
                <w:b/>
                <w:bCs/>
                <w:color w:val="auto"/>
                <w:sz w:val="24"/>
                <w:szCs w:val="24"/>
              </w:rPr>
              <w:t>学院天河校区、南苑、北苑和海珠校区安保服务管理</w:t>
            </w:r>
            <w:r>
              <w:rPr>
                <w:rFonts w:hint="eastAsia"/>
                <w:b/>
                <w:bCs/>
                <w:color w:val="auto"/>
                <w:sz w:val="24"/>
                <w:szCs w:val="24"/>
                <w:lang w:val="en-US" w:eastAsia="zh-CN"/>
              </w:rPr>
              <w:t>月度</w:t>
            </w:r>
            <w:r>
              <w:rPr>
                <w:rFonts w:hint="eastAsia"/>
                <w:b/>
                <w:bCs/>
                <w:color w:val="auto"/>
                <w:sz w:val="24"/>
                <w:szCs w:val="24"/>
              </w:rPr>
              <w:t>考核评分表</w:t>
            </w:r>
          </w:p>
        </w:tc>
      </w:tr>
      <w:tr w14:paraId="0C3FE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Align w:val="center"/>
          </w:tcPr>
          <w:p w14:paraId="6C5A1A64">
            <w:pPr>
              <w:bidi w:val="0"/>
              <w:jc w:val="center"/>
              <w:rPr>
                <w:rFonts w:hint="default"/>
                <w:color w:val="auto"/>
                <w:lang w:val="en-US" w:eastAsia="zh-CN"/>
              </w:rPr>
            </w:pPr>
            <w:r>
              <w:rPr>
                <w:rFonts w:hint="eastAsia"/>
                <w:color w:val="auto"/>
                <w:lang w:val="en-US" w:eastAsia="zh-CN"/>
              </w:rPr>
              <w:t>考核项目</w:t>
            </w:r>
          </w:p>
        </w:tc>
        <w:tc>
          <w:tcPr>
            <w:tcW w:w="547" w:type="dxa"/>
            <w:vAlign w:val="center"/>
          </w:tcPr>
          <w:p w14:paraId="64526BBB">
            <w:pPr>
              <w:bidi w:val="0"/>
              <w:jc w:val="center"/>
              <w:rPr>
                <w:rFonts w:hint="default"/>
                <w:color w:val="auto"/>
                <w:lang w:val="en-US" w:eastAsia="zh-CN"/>
              </w:rPr>
            </w:pPr>
            <w:r>
              <w:rPr>
                <w:rFonts w:hint="eastAsia"/>
                <w:color w:val="auto"/>
                <w:lang w:val="en-US" w:eastAsia="zh-CN"/>
              </w:rPr>
              <w:t>序号</w:t>
            </w:r>
          </w:p>
        </w:tc>
        <w:tc>
          <w:tcPr>
            <w:tcW w:w="2906" w:type="dxa"/>
            <w:vAlign w:val="center"/>
          </w:tcPr>
          <w:p w14:paraId="61067340">
            <w:pPr>
              <w:bidi w:val="0"/>
              <w:jc w:val="center"/>
              <w:rPr>
                <w:rFonts w:hint="default"/>
                <w:color w:val="auto"/>
                <w:lang w:val="en-US" w:eastAsia="zh-CN"/>
              </w:rPr>
            </w:pPr>
            <w:r>
              <w:rPr>
                <w:rFonts w:hint="eastAsia"/>
                <w:color w:val="auto"/>
                <w:lang w:val="en-US" w:eastAsia="zh-CN"/>
              </w:rPr>
              <w:t>考核内容</w:t>
            </w:r>
          </w:p>
        </w:tc>
        <w:tc>
          <w:tcPr>
            <w:tcW w:w="774" w:type="dxa"/>
            <w:vAlign w:val="center"/>
          </w:tcPr>
          <w:p w14:paraId="53AF026E">
            <w:pPr>
              <w:bidi w:val="0"/>
              <w:jc w:val="center"/>
              <w:rPr>
                <w:rFonts w:hint="eastAsia"/>
                <w:color w:val="auto"/>
                <w:lang w:val="en-US" w:eastAsia="zh-CN"/>
              </w:rPr>
            </w:pPr>
            <w:r>
              <w:rPr>
                <w:rFonts w:hint="eastAsia"/>
                <w:color w:val="auto"/>
                <w:lang w:val="en-US" w:eastAsia="zh-CN"/>
              </w:rPr>
              <w:t>分值</w:t>
            </w:r>
          </w:p>
        </w:tc>
        <w:tc>
          <w:tcPr>
            <w:tcW w:w="760" w:type="dxa"/>
            <w:vAlign w:val="center"/>
          </w:tcPr>
          <w:p w14:paraId="44909950">
            <w:pPr>
              <w:bidi w:val="0"/>
              <w:jc w:val="center"/>
              <w:rPr>
                <w:color w:val="auto"/>
              </w:rPr>
            </w:pPr>
            <w:r>
              <w:rPr>
                <w:rFonts w:hint="eastAsia"/>
                <w:color w:val="auto"/>
                <w:lang w:val="en-US" w:eastAsia="zh-CN"/>
              </w:rPr>
              <w:t>得分</w:t>
            </w:r>
          </w:p>
        </w:tc>
        <w:tc>
          <w:tcPr>
            <w:tcW w:w="2773" w:type="dxa"/>
            <w:vAlign w:val="center"/>
          </w:tcPr>
          <w:p w14:paraId="2967F1C8">
            <w:pPr>
              <w:bidi w:val="0"/>
              <w:jc w:val="center"/>
              <w:rPr>
                <w:color w:val="auto"/>
              </w:rPr>
            </w:pPr>
            <w:r>
              <w:rPr>
                <w:color w:val="auto"/>
              </w:rPr>
              <w:t>扣分参考</w:t>
            </w:r>
          </w:p>
        </w:tc>
        <w:tc>
          <w:tcPr>
            <w:tcW w:w="880" w:type="dxa"/>
            <w:vAlign w:val="center"/>
          </w:tcPr>
          <w:p w14:paraId="7BC6CD09">
            <w:pPr>
              <w:bidi w:val="0"/>
              <w:jc w:val="center"/>
              <w:rPr>
                <w:color w:val="auto"/>
              </w:rPr>
            </w:pPr>
            <w:r>
              <w:rPr>
                <w:color w:val="auto"/>
              </w:rPr>
              <w:t>扣分</w:t>
            </w:r>
          </w:p>
          <w:p w14:paraId="07995CC5">
            <w:pPr>
              <w:bidi w:val="0"/>
              <w:jc w:val="center"/>
              <w:rPr>
                <w:color w:val="auto"/>
              </w:rPr>
            </w:pPr>
            <w:r>
              <w:rPr>
                <w:color w:val="auto"/>
              </w:rPr>
              <w:t>原因</w:t>
            </w:r>
          </w:p>
        </w:tc>
      </w:tr>
      <w:tr w14:paraId="0B19E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restart"/>
            <w:vAlign w:val="center"/>
          </w:tcPr>
          <w:p w14:paraId="1A3FF6F4">
            <w:pPr>
              <w:bidi w:val="0"/>
              <w:jc w:val="center"/>
              <w:rPr>
                <w:rFonts w:hint="eastAsia" w:eastAsiaTheme="minorEastAsia"/>
                <w:color w:val="auto"/>
                <w:lang w:eastAsia="zh-CN"/>
              </w:rPr>
            </w:pPr>
          </w:p>
        </w:tc>
        <w:tc>
          <w:tcPr>
            <w:tcW w:w="547" w:type="dxa"/>
            <w:vAlign w:val="center"/>
          </w:tcPr>
          <w:p w14:paraId="12F644AB">
            <w:pPr>
              <w:bidi w:val="0"/>
              <w:jc w:val="center"/>
              <w:rPr>
                <w:rFonts w:hint="eastAsia"/>
                <w:color w:val="auto"/>
                <w:lang w:val="en-US" w:eastAsia="zh-CN"/>
              </w:rPr>
            </w:pPr>
            <w:r>
              <w:rPr>
                <w:rFonts w:hint="eastAsia"/>
                <w:color w:val="auto"/>
                <w:lang w:val="en-US" w:eastAsia="zh-CN"/>
              </w:rPr>
              <w:t>7</w:t>
            </w:r>
          </w:p>
        </w:tc>
        <w:tc>
          <w:tcPr>
            <w:tcW w:w="2906" w:type="dxa"/>
            <w:vAlign w:val="center"/>
          </w:tcPr>
          <w:p w14:paraId="26E1CCCA">
            <w:pPr>
              <w:bidi w:val="0"/>
              <w:jc w:val="left"/>
              <w:rPr>
                <w:color w:val="auto"/>
              </w:rPr>
            </w:pPr>
            <w:r>
              <w:rPr>
                <w:rFonts w:hint="eastAsia"/>
                <w:color w:val="auto"/>
              </w:rPr>
              <w:t>及时制止抢劫、抢夺、破门、破锁或夜间入室等带有暴力、恶性或有侵害人身安全的刑事案件发生； 当发生重大案件、突发性事件时，应及时报告值班干部和妥善处理。</w:t>
            </w:r>
          </w:p>
        </w:tc>
        <w:tc>
          <w:tcPr>
            <w:tcW w:w="774" w:type="dxa"/>
            <w:vAlign w:val="center"/>
          </w:tcPr>
          <w:p w14:paraId="7761AACC">
            <w:pPr>
              <w:bidi w:val="0"/>
              <w:jc w:val="center"/>
              <w:rPr>
                <w:rFonts w:hint="eastAsia"/>
                <w:color w:val="auto"/>
                <w:lang w:val="en-US" w:eastAsia="zh-CN"/>
              </w:rPr>
            </w:pPr>
            <w:r>
              <w:rPr>
                <w:rFonts w:hint="eastAsia"/>
                <w:color w:val="auto"/>
                <w:lang w:val="en-US" w:eastAsia="zh-CN"/>
              </w:rPr>
              <w:t>2</w:t>
            </w:r>
          </w:p>
        </w:tc>
        <w:tc>
          <w:tcPr>
            <w:tcW w:w="760" w:type="dxa"/>
            <w:vAlign w:val="center"/>
          </w:tcPr>
          <w:p w14:paraId="58720E5C">
            <w:pPr>
              <w:bidi w:val="0"/>
              <w:jc w:val="center"/>
              <w:rPr>
                <w:color w:val="auto"/>
              </w:rPr>
            </w:pPr>
          </w:p>
        </w:tc>
        <w:tc>
          <w:tcPr>
            <w:tcW w:w="2773" w:type="dxa"/>
            <w:vAlign w:val="center"/>
          </w:tcPr>
          <w:p w14:paraId="0C52AF64">
            <w:pPr>
              <w:bidi w:val="0"/>
              <w:rPr>
                <w:rFonts w:hint="eastAsia"/>
                <w:color w:val="auto"/>
              </w:rPr>
            </w:pPr>
            <w:r>
              <w:rPr>
                <w:rFonts w:hint="eastAsia"/>
                <w:color w:val="auto"/>
              </w:rPr>
              <w:t>未及时制止抢劫、抢夺、破门破锁或夜间入室等带有暴力、恶性或有侵害人身安全的刑事案件发生，扣 1 分；当发生重大案件、突发性事件时，未及时报告值班干部和妥善处</w:t>
            </w:r>
          </w:p>
          <w:p w14:paraId="343B9CA2">
            <w:pPr>
              <w:bidi w:val="0"/>
              <w:rPr>
                <w:color w:val="auto"/>
              </w:rPr>
            </w:pPr>
            <w:r>
              <w:rPr>
                <w:rFonts w:hint="eastAsia"/>
                <w:color w:val="auto"/>
              </w:rPr>
              <w:t>理， 扣 1 分。</w:t>
            </w:r>
          </w:p>
        </w:tc>
        <w:tc>
          <w:tcPr>
            <w:tcW w:w="880" w:type="dxa"/>
            <w:vAlign w:val="center"/>
          </w:tcPr>
          <w:p w14:paraId="2E7BB14F">
            <w:pPr>
              <w:bidi w:val="0"/>
              <w:jc w:val="center"/>
              <w:rPr>
                <w:color w:val="auto"/>
              </w:rPr>
            </w:pPr>
          </w:p>
        </w:tc>
      </w:tr>
      <w:tr w14:paraId="4F770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65B14A7F">
            <w:pPr>
              <w:bidi w:val="0"/>
              <w:jc w:val="center"/>
              <w:rPr>
                <w:color w:val="auto"/>
              </w:rPr>
            </w:pPr>
          </w:p>
        </w:tc>
        <w:tc>
          <w:tcPr>
            <w:tcW w:w="547" w:type="dxa"/>
            <w:vAlign w:val="center"/>
          </w:tcPr>
          <w:p w14:paraId="4D4346B2">
            <w:pPr>
              <w:bidi w:val="0"/>
              <w:jc w:val="center"/>
              <w:rPr>
                <w:rFonts w:hint="eastAsia"/>
                <w:color w:val="auto"/>
                <w:lang w:val="en-US" w:eastAsia="zh-CN"/>
              </w:rPr>
            </w:pPr>
            <w:r>
              <w:rPr>
                <w:rFonts w:hint="eastAsia"/>
                <w:color w:val="auto"/>
                <w:lang w:val="en-US" w:eastAsia="zh-CN"/>
              </w:rPr>
              <w:t>8</w:t>
            </w:r>
          </w:p>
        </w:tc>
        <w:tc>
          <w:tcPr>
            <w:tcW w:w="2906" w:type="dxa"/>
            <w:vAlign w:val="center"/>
          </w:tcPr>
          <w:p w14:paraId="7D91E46A">
            <w:pPr>
              <w:bidi w:val="0"/>
              <w:jc w:val="left"/>
              <w:rPr>
                <w:color w:val="auto"/>
              </w:rPr>
            </w:pPr>
            <w:r>
              <w:rPr>
                <w:rFonts w:hint="eastAsia"/>
                <w:color w:val="auto"/>
              </w:rPr>
              <w:t>及时制止打架斗殴、酗酒闹事等事件，妥善处理校园突发治安问题，防止事态恶化， 维护校园良好的治安秩序。</w:t>
            </w:r>
          </w:p>
        </w:tc>
        <w:tc>
          <w:tcPr>
            <w:tcW w:w="774" w:type="dxa"/>
            <w:vAlign w:val="center"/>
          </w:tcPr>
          <w:p w14:paraId="7D3A0326">
            <w:pPr>
              <w:bidi w:val="0"/>
              <w:jc w:val="center"/>
              <w:rPr>
                <w:rFonts w:hint="eastAsia"/>
                <w:color w:val="auto"/>
                <w:lang w:val="en-US" w:eastAsia="zh-CN"/>
              </w:rPr>
            </w:pPr>
            <w:r>
              <w:rPr>
                <w:rFonts w:hint="eastAsia"/>
                <w:color w:val="auto"/>
                <w:lang w:val="en-US" w:eastAsia="zh-CN"/>
              </w:rPr>
              <w:t>1</w:t>
            </w:r>
          </w:p>
        </w:tc>
        <w:tc>
          <w:tcPr>
            <w:tcW w:w="760" w:type="dxa"/>
            <w:vAlign w:val="center"/>
          </w:tcPr>
          <w:p w14:paraId="05DF1C2D">
            <w:pPr>
              <w:bidi w:val="0"/>
              <w:jc w:val="center"/>
              <w:rPr>
                <w:color w:val="auto"/>
              </w:rPr>
            </w:pPr>
          </w:p>
        </w:tc>
        <w:tc>
          <w:tcPr>
            <w:tcW w:w="2773" w:type="dxa"/>
            <w:vAlign w:val="center"/>
          </w:tcPr>
          <w:p w14:paraId="03451004">
            <w:pPr>
              <w:bidi w:val="0"/>
              <w:jc w:val="left"/>
              <w:rPr>
                <w:color w:val="auto"/>
              </w:rPr>
            </w:pPr>
            <w:r>
              <w:rPr>
                <w:rFonts w:hint="eastAsia"/>
                <w:color w:val="auto"/>
              </w:rPr>
              <w:t>未及时制止打架斗殴、酗酒闹事等事件， 扣 1 分。</w:t>
            </w:r>
          </w:p>
        </w:tc>
        <w:tc>
          <w:tcPr>
            <w:tcW w:w="880" w:type="dxa"/>
            <w:vAlign w:val="center"/>
          </w:tcPr>
          <w:p w14:paraId="7E346B91">
            <w:pPr>
              <w:bidi w:val="0"/>
              <w:jc w:val="center"/>
              <w:rPr>
                <w:color w:val="auto"/>
              </w:rPr>
            </w:pPr>
          </w:p>
        </w:tc>
      </w:tr>
      <w:tr w14:paraId="1C228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33B8BD08">
            <w:pPr>
              <w:bidi w:val="0"/>
              <w:jc w:val="center"/>
              <w:rPr>
                <w:color w:val="auto"/>
              </w:rPr>
            </w:pPr>
          </w:p>
        </w:tc>
        <w:tc>
          <w:tcPr>
            <w:tcW w:w="547" w:type="dxa"/>
            <w:vAlign w:val="center"/>
          </w:tcPr>
          <w:p w14:paraId="22011AE2">
            <w:pPr>
              <w:bidi w:val="0"/>
              <w:jc w:val="center"/>
              <w:rPr>
                <w:rFonts w:hint="eastAsia"/>
                <w:color w:val="auto"/>
                <w:lang w:val="en-US" w:eastAsia="zh-CN"/>
              </w:rPr>
            </w:pPr>
            <w:r>
              <w:rPr>
                <w:rFonts w:hint="eastAsia"/>
                <w:color w:val="auto"/>
                <w:lang w:val="en-US" w:eastAsia="zh-CN"/>
              </w:rPr>
              <w:t>9</w:t>
            </w:r>
          </w:p>
        </w:tc>
        <w:tc>
          <w:tcPr>
            <w:tcW w:w="2906" w:type="dxa"/>
            <w:vAlign w:val="center"/>
          </w:tcPr>
          <w:p w14:paraId="00B0EA59">
            <w:pPr>
              <w:bidi w:val="0"/>
              <w:jc w:val="left"/>
              <w:rPr>
                <w:rFonts w:hint="eastAsia"/>
                <w:color w:val="auto"/>
              </w:rPr>
            </w:pPr>
            <w:r>
              <w:rPr>
                <w:rFonts w:hint="eastAsia"/>
                <w:color w:val="auto"/>
              </w:rPr>
              <w:t>严格执行“ 四防” 制度（ 防火、防盗、防破坏、防灾害事故）发现不安全因素应及时排除，不能马上排除的应及时向</w:t>
            </w:r>
          </w:p>
          <w:p w14:paraId="594452E2">
            <w:pPr>
              <w:bidi w:val="0"/>
              <w:jc w:val="left"/>
              <w:rPr>
                <w:color w:val="auto"/>
              </w:rPr>
            </w:pPr>
            <w:r>
              <w:rPr>
                <w:rFonts w:hint="eastAsia"/>
                <w:color w:val="auto"/>
              </w:rPr>
              <w:t>值班干部报告。</w:t>
            </w:r>
          </w:p>
        </w:tc>
        <w:tc>
          <w:tcPr>
            <w:tcW w:w="774" w:type="dxa"/>
            <w:vAlign w:val="center"/>
          </w:tcPr>
          <w:p w14:paraId="1282BAF7">
            <w:pPr>
              <w:bidi w:val="0"/>
              <w:jc w:val="center"/>
              <w:rPr>
                <w:color w:val="auto"/>
              </w:rPr>
            </w:pPr>
            <w:r>
              <w:rPr>
                <w:rFonts w:hint="eastAsia"/>
                <w:color w:val="auto"/>
              </w:rPr>
              <w:t>2</w:t>
            </w:r>
          </w:p>
        </w:tc>
        <w:tc>
          <w:tcPr>
            <w:tcW w:w="760" w:type="dxa"/>
            <w:vAlign w:val="center"/>
          </w:tcPr>
          <w:p w14:paraId="53ADAD74">
            <w:pPr>
              <w:bidi w:val="0"/>
              <w:jc w:val="center"/>
              <w:rPr>
                <w:color w:val="auto"/>
              </w:rPr>
            </w:pPr>
          </w:p>
        </w:tc>
        <w:tc>
          <w:tcPr>
            <w:tcW w:w="2773" w:type="dxa"/>
            <w:vAlign w:val="center"/>
          </w:tcPr>
          <w:p w14:paraId="3E58E9E0">
            <w:pPr>
              <w:bidi w:val="0"/>
              <w:jc w:val="left"/>
              <w:rPr>
                <w:color w:val="auto"/>
              </w:rPr>
            </w:pPr>
            <w:r>
              <w:rPr>
                <w:rFonts w:hint="eastAsia"/>
                <w:color w:val="auto"/>
              </w:rPr>
              <w:t>发现不安全因素未及时排除或未及时向值班干部报告，扣2 分。</w:t>
            </w:r>
          </w:p>
        </w:tc>
        <w:tc>
          <w:tcPr>
            <w:tcW w:w="880" w:type="dxa"/>
            <w:vAlign w:val="center"/>
          </w:tcPr>
          <w:p w14:paraId="6BDF5021">
            <w:pPr>
              <w:bidi w:val="0"/>
              <w:jc w:val="center"/>
              <w:rPr>
                <w:color w:val="auto"/>
              </w:rPr>
            </w:pPr>
          </w:p>
        </w:tc>
      </w:tr>
      <w:tr w14:paraId="0E398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7EFBB8B9">
            <w:pPr>
              <w:bidi w:val="0"/>
              <w:jc w:val="center"/>
              <w:rPr>
                <w:color w:val="auto"/>
              </w:rPr>
            </w:pPr>
          </w:p>
        </w:tc>
        <w:tc>
          <w:tcPr>
            <w:tcW w:w="547" w:type="dxa"/>
            <w:vAlign w:val="center"/>
          </w:tcPr>
          <w:p w14:paraId="077A3191">
            <w:pPr>
              <w:bidi w:val="0"/>
              <w:jc w:val="center"/>
              <w:rPr>
                <w:rFonts w:hint="default"/>
                <w:color w:val="auto"/>
                <w:lang w:val="en-US" w:eastAsia="zh-CN"/>
              </w:rPr>
            </w:pPr>
            <w:r>
              <w:rPr>
                <w:rFonts w:hint="eastAsia"/>
                <w:color w:val="auto"/>
                <w:lang w:val="en-US" w:eastAsia="zh-CN"/>
              </w:rPr>
              <w:t>10</w:t>
            </w:r>
          </w:p>
        </w:tc>
        <w:tc>
          <w:tcPr>
            <w:tcW w:w="2906" w:type="dxa"/>
            <w:vAlign w:val="center"/>
          </w:tcPr>
          <w:p w14:paraId="64558189">
            <w:pPr>
              <w:bidi w:val="0"/>
              <w:jc w:val="left"/>
              <w:rPr>
                <w:rFonts w:hint="eastAsia"/>
                <w:color w:val="auto"/>
              </w:rPr>
            </w:pPr>
            <w:r>
              <w:rPr>
                <w:rFonts w:hint="eastAsia"/>
                <w:color w:val="auto"/>
              </w:rPr>
              <w:t>协助做好学校大型校事、外事活动的安全保卫工作（ 治安防</w:t>
            </w:r>
          </w:p>
          <w:p w14:paraId="21F4A423">
            <w:pPr>
              <w:bidi w:val="0"/>
              <w:jc w:val="left"/>
              <w:rPr>
                <w:color w:val="auto"/>
              </w:rPr>
            </w:pPr>
            <w:r>
              <w:rPr>
                <w:rFonts w:hint="eastAsia"/>
                <w:color w:val="auto"/>
              </w:rPr>
              <w:t>范、交通安全、防火安全）。</w:t>
            </w:r>
          </w:p>
        </w:tc>
        <w:tc>
          <w:tcPr>
            <w:tcW w:w="774" w:type="dxa"/>
            <w:vAlign w:val="center"/>
          </w:tcPr>
          <w:p w14:paraId="783922C4">
            <w:pPr>
              <w:bidi w:val="0"/>
              <w:jc w:val="center"/>
              <w:rPr>
                <w:rFonts w:hint="eastAsia" w:eastAsiaTheme="minorEastAsia"/>
                <w:color w:val="auto"/>
                <w:lang w:eastAsia="zh-CN"/>
              </w:rPr>
            </w:pPr>
            <w:r>
              <w:rPr>
                <w:rFonts w:hint="eastAsia"/>
                <w:color w:val="auto"/>
                <w:lang w:val="en-US" w:eastAsia="zh-CN"/>
              </w:rPr>
              <w:t>1</w:t>
            </w:r>
          </w:p>
        </w:tc>
        <w:tc>
          <w:tcPr>
            <w:tcW w:w="760" w:type="dxa"/>
            <w:vAlign w:val="center"/>
          </w:tcPr>
          <w:p w14:paraId="3FA7755D">
            <w:pPr>
              <w:bidi w:val="0"/>
              <w:jc w:val="center"/>
              <w:rPr>
                <w:color w:val="auto"/>
              </w:rPr>
            </w:pPr>
          </w:p>
        </w:tc>
        <w:tc>
          <w:tcPr>
            <w:tcW w:w="2773" w:type="dxa"/>
            <w:vAlign w:val="center"/>
          </w:tcPr>
          <w:p w14:paraId="2FC33D89">
            <w:pPr>
              <w:pStyle w:val="6"/>
              <w:spacing w:before="31" w:line="297" w:lineRule="auto"/>
              <w:ind w:left="57" w:right="42"/>
              <w:rPr>
                <w:color w:val="auto"/>
                <w:sz w:val="21"/>
              </w:rPr>
            </w:pPr>
            <w:r>
              <w:rPr>
                <w:color w:val="auto"/>
                <w:spacing w:val="-8"/>
                <w:sz w:val="21"/>
              </w:rPr>
              <w:t>学校大型校事、外事活动的安</w:t>
            </w:r>
            <w:r>
              <w:rPr>
                <w:color w:val="auto"/>
                <w:spacing w:val="2"/>
                <w:sz w:val="21"/>
              </w:rPr>
              <w:t xml:space="preserve">全保卫工作协助不力， 扣 </w:t>
            </w:r>
            <w:r>
              <w:rPr>
                <w:color w:val="auto"/>
                <w:spacing w:val="-15"/>
                <w:sz w:val="21"/>
              </w:rPr>
              <w:t>2</w:t>
            </w:r>
          </w:p>
          <w:p w14:paraId="2B2414A3">
            <w:pPr>
              <w:bidi w:val="0"/>
              <w:jc w:val="left"/>
              <w:rPr>
                <w:color w:val="auto"/>
              </w:rPr>
            </w:pPr>
            <w:r>
              <w:rPr>
                <w:color w:val="auto"/>
                <w:sz w:val="21"/>
              </w:rPr>
              <w:t>分。</w:t>
            </w:r>
          </w:p>
        </w:tc>
        <w:tc>
          <w:tcPr>
            <w:tcW w:w="880" w:type="dxa"/>
            <w:vAlign w:val="center"/>
          </w:tcPr>
          <w:p w14:paraId="4CBAB9B3">
            <w:pPr>
              <w:bidi w:val="0"/>
              <w:jc w:val="center"/>
              <w:rPr>
                <w:color w:val="auto"/>
              </w:rPr>
            </w:pPr>
          </w:p>
        </w:tc>
      </w:tr>
      <w:tr w14:paraId="7FFE8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6691BD1B">
            <w:pPr>
              <w:bidi w:val="0"/>
              <w:jc w:val="center"/>
              <w:rPr>
                <w:color w:val="auto"/>
              </w:rPr>
            </w:pPr>
          </w:p>
        </w:tc>
        <w:tc>
          <w:tcPr>
            <w:tcW w:w="547" w:type="dxa"/>
            <w:vAlign w:val="center"/>
          </w:tcPr>
          <w:p w14:paraId="5F2275D4">
            <w:pPr>
              <w:bidi w:val="0"/>
              <w:jc w:val="center"/>
              <w:rPr>
                <w:rFonts w:hint="default"/>
                <w:color w:val="auto"/>
                <w:lang w:val="en-US" w:eastAsia="zh-CN"/>
              </w:rPr>
            </w:pPr>
            <w:r>
              <w:rPr>
                <w:rFonts w:hint="eastAsia"/>
                <w:color w:val="auto"/>
                <w:lang w:val="en-US" w:eastAsia="zh-CN"/>
              </w:rPr>
              <w:t>11</w:t>
            </w:r>
          </w:p>
        </w:tc>
        <w:tc>
          <w:tcPr>
            <w:tcW w:w="2906" w:type="dxa"/>
            <w:vAlign w:val="center"/>
          </w:tcPr>
          <w:p w14:paraId="77F71909">
            <w:pPr>
              <w:bidi w:val="0"/>
              <w:jc w:val="left"/>
              <w:rPr>
                <w:rFonts w:hint="eastAsia"/>
                <w:color w:val="auto"/>
              </w:rPr>
            </w:pPr>
            <w:r>
              <w:rPr>
                <w:rFonts w:hint="eastAsia"/>
                <w:color w:val="auto"/>
              </w:rPr>
              <w:t>发生突发事件时，各岗位应做到应急联动，1 分钟之内响应</w:t>
            </w:r>
          </w:p>
          <w:p w14:paraId="2C7D284B">
            <w:pPr>
              <w:bidi w:val="0"/>
              <w:jc w:val="left"/>
              <w:rPr>
                <w:color w:val="auto"/>
              </w:rPr>
            </w:pPr>
            <w:r>
              <w:rPr>
                <w:rFonts w:hint="eastAsia"/>
                <w:color w:val="auto"/>
              </w:rPr>
              <w:t>3 分钟之内迅速到场处置。</w:t>
            </w:r>
          </w:p>
        </w:tc>
        <w:tc>
          <w:tcPr>
            <w:tcW w:w="774" w:type="dxa"/>
            <w:vAlign w:val="center"/>
          </w:tcPr>
          <w:p w14:paraId="49C8F0E9">
            <w:pPr>
              <w:bidi w:val="0"/>
              <w:jc w:val="center"/>
              <w:rPr>
                <w:color w:val="auto"/>
              </w:rPr>
            </w:pPr>
            <w:r>
              <w:rPr>
                <w:rFonts w:hint="eastAsia"/>
                <w:color w:val="auto"/>
                <w:lang w:val="en-US" w:eastAsia="zh-CN"/>
              </w:rPr>
              <w:t>1</w:t>
            </w:r>
          </w:p>
        </w:tc>
        <w:tc>
          <w:tcPr>
            <w:tcW w:w="760" w:type="dxa"/>
            <w:vAlign w:val="center"/>
          </w:tcPr>
          <w:p w14:paraId="78B6C554">
            <w:pPr>
              <w:bidi w:val="0"/>
              <w:jc w:val="center"/>
              <w:rPr>
                <w:color w:val="auto"/>
              </w:rPr>
            </w:pPr>
          </w:p>
        </w:tc>
        <w:tc>
          <w:tcPr>
            <w:tcW w:w="2773" w:type="dxa"/>
            <w:vAlign w:val="center"/>
          </w:tcPr>
          <w:p w14:paraId="30CF5E70">
            <w:pPr>
              <w:bidi w:val="0"/>
              <w:jc w:val="left"/>
              <w:rPr>
                <w:color w:val="auto"/>
              </w:rPr>
            </w:pPr>
            <w:r>
              <w:rPr>
                <w:rFonts w:hint="eastAsia"/>
                <w:color w:val="auto"/>
              </w:rPr>
              <w:t>发生突发事件时，各岗位应做到应急联动，3 分钟之内未迅速到场处置， 扣 1 分。</w:t>
            </w:r>
          </w:p>
        </w:tc>
        <w:tc>
          <w:tcPr>
            <w:tcW w:w="880" w:type="dxa"/>
            <w:vAlign w:val="center"/>
          </w:tcPr>
          <w:p w14:paraId="3B7E17EA">
            <w:pPr>
              <w:bidi w:val="0"/>
              <w:jc w:val="center"/>
              <w:rPr>
                <w:color w:val="auto"/>
              </w:rPr>
            </w:pPr>
          </w:p>
        </w:tc>
      </w:tr>
      <w:tr w14:paraId="4D8C0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53102DD2">
            <w:pPr>
              <w:bidi w:val="0"/>
              <w:jc w:val="center"/>
              <w:rPr>
                <w:color w:val="auto"/>
              </w:rPr>
            </w:pPr>
          </w:p>
        </w:tc>
        <w:tc>
          <w:tcPr>
            <w:tcW w:w="547" w:type="dxa"/>
            <w:vAlign w:val="center"/>
          </w:tcPr>
          <w:p w14:paraId="140922EB">
            <w:pPr>
              <w:bidi w:val="0"/>
              <w:jc w:val="center"/>
              <w:rPr>
                <w:rFonts w:hint="default"/>
                <w:color w:val="auto"/>
                <w:lang w:val="en-US" w:eastAsia="zh-CN"/>
              </w:rPr>
            </w:pPr>
            <w:r>
              <w:rPr>
                <w:rFonts w:hint="eastAsia"/>
                <w:color w:val="auto"/>
                <w:lang w:val="en-US" w:eastAsia="zh-CN"/>
              </w:rPr>
              <w:t>12</w:t>
            </w:r>
          </w:p>
        </w:tc>
        <w:tc>
          <w:tcPr>
            <w:tcW w:w="2906" w:type="dxa"/>
            <w:vAlign w:val="center"/>
          </w:tcPr>
          <w:p w14:paraId="39474180">
            <w:pPr>
              <w:bidi w:val="0"/>
              <w:rPr>
                <w:rFonts w:hint="eastAsia"/>
                <w:color w:val="auto"/>
              </w:rPr>
            </w:pPr>
            <w:r>
              <w:rPr>
                <w:rFonts w:hint="eastAsia"/>
                <w:color w:val="auto"/>
              </w:rPr>
              <w:t>接到报警求助或发现可疑人员时，及时采取相应措施处置警</w:t>
            </w:r>
          </w:p>
          <w:p w14:paraId="568ECEB6">
            <w:pPr>
              <w:bidi w:val="0"/>
              <w:rPr>
                <w:color w:val="auto"/>
              </w:rPr>
            </w:pPr>
            <w:r>
              <w:rPr>
                <w:rFonts w:hint="eastAsia"/>
                <w:color w:val="auto"/>
              </w:rPr>
              <w:t>情。</w:t>
            </w:r>
          </w:p>
        </w:tc>
        <w:tc>
          <w:tcPr>
            <w:tcW w:w="774" w:type="dxa"/>
            <w:vAlign w:val="center"/>
          </w:tcPr>
          <w:p w14:paraId="4FD723C2">
            <w:pPr>
              <w:bidi w:val="0"/>
              <w:jc w:val="center"/>
              <w:rPr>
                <w:rFonts w:hint="eastAsia"/>
                <w:color w:val="auto"/>
                <w:lang w:val="en-US" w:eastAsia="zh-CN"/>
              </w:rPr>
            </w:pPr>
            <w:r>
              <w:rPr>
                <w:rFonts w:hint="eastAsia"/>
                <w:color w:val="auto"/>
                <w:lang w:val="en-US" w:eastAsia="zh-CN"/>
              </w:rPr>
              <w:t>2</w:t>
            </w:r>
          </w:p>
        </w:tc>
        <w:tc>
          <w:tcPr>
            <w:tcW w:w="760" w:type="dxa"/>
            <w:vAlign w:val="center"/>
          </w:tcPr>
          <w:p w14:paraId="144F58E0">
            <w:pPr>
              <w:bidi w:val="0"/>
              <w:jc w:val="center"/>
              <w:rPr>
                <w:color w:val="auto"/>
              </w:rPr>
            </w:pPr>
          </w:p>
        </w:tc>
        <w:tc>
          <w:tcPr>
            <w:tcW w:w="2773" w:type="dxa"/>
            <w:vAlign w:val="center"/>
          </w:tcPr>
          <w:p w14:paraId="70D467BC">
            <w:pPr>
              <w:bidi w:val="0"/>
              <w:jc w:val="left"/>
              <w:rPr>
                <w:rFonts w:hint="eastAsia"/>
                <w:color w:val="auto"/>
              </w:rPr>
            </w:pPr>
            <w:r>
              <w:rPr>
                <w:rFonts w:hint="eastAsia"/>
                <w:color w:val="auto"/>
              </w:rPr>
              <w:t>接到报警求助或发现可疑人员时，未及时采取相应措施处</w:t>
            </w:r>
          </w:p>
          <w:p w14:paraId="4E83947D">
            <w:pPr>
              <w:bidi w:val="0"/>
              <w:jc w:val="left"/>
              <w:rPr>
                <w:color w:val="auto"/>
              </w:rPr>
            </w:pPr>
            <w:r>
              <w:rPr>
                <w:rFonts w:hint="eastAsia"/>
                <w:color w:val="auto"/>
              </w:rPr>
              <w:t>置警情，扣 2 分。</w:t>
            </w:r>
          </w:p>
        </w:tc>
        <w:tc>
          <w:tcPr>
            <w:tcW w:w="880" w:type="dxa"/>
            <w:vAlign w:val="center"/>
          </w:tcPr>
          <w:p w14:paraId="185B58D2">
            <w:pPr>
              <w:bidi w:val="0"/>
              <w:jc w:val="center"/>
              <w:rPr>
                <w:color w:val="auto"/>
              </w:rPr>
            </w:pPr>
          </w:p>
        </w:tc>
      </w:tr>
      <w:tr w14:paraId="6B02A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4D21014D">
            <w:pPr>
              <w:bidi w:val="0"/>
              <w:jc w:val="center"/>
              <w:rPr>
                <w:color w:val="auto"/>
              </w:rPr>
            </w:pPr>
          </w:p>
        </w:tc>
        <w:tc>
          <w:tcPr>
            <w:tcW w:w="8640" w:type="dxa"/>
            <w:gridSpan w:val="6"/>
            <w:vAlign w:val="center"/>
          </w:tcPr>
          <w:p w14:paraId="71B366AA">
            <w:pPr>
              <w:bidi w:val="0"/>
              <w:jc w:val="left"/>
              <w:rPr>
                <w:rFonts w:hint="eastAsia"/>
                <w:color w:val="auto"/>
              </w:rPr>
            </w:pPr>
            <w:r>
              <w:rPr>
                <w:rFonts w:hint="eastAsia"/>
                <w:color w:val="auto"/>
              </w:rPr>
              <w:t>注：若出现以下情况之一，扣除本项 20 分：1.保安员有监守自盗以及其它违法行为； 2.因保安公司监管不力、岗位人员履职不到位，发生较大消防事故或恶性刑事案件；</w:t>
            </w:r>
          </w:p>
          <w:p w14:paraId="2D573E3D">
            <w:pPr>
              <w:bidi w:val="0"/>
              <w:jc w:val="left"/>
              <w:rPr>
                <w:rFonts w:hint="eastAsia"/>
                <w:color w:val="auto"/>
              </w:rPr>
            </w:pPr>
            <w:r>
              <w:rPr>
                <w:rFonts w:hint="eastAsia"/>
                <w:color w:val="auto"/>
              </w:rPr>
              <w:t>3.消防监控中心具有有效的中级（四级）及以上消防设施操作员证书或建（构）筑物</w:t>
            </w:r>
          </w:p>
          <w:p w14:paraId="14B09D21">
            <w:pPr>
              <w:bidi w:val="0"/>
              <w:jc w:val="left"/>
              <w:rPr>
                <w:color w:val="auto"/>
              </w:rPr>
            </w:pPr>
            <w:r>
              <w:rPr>
                <w:rFonts w:hint="eastAsia"/>
                <w:color w:val="auto"/>
              </w:rPr>
              <w:t>消防员资格证的值班队员少于 8 名(含)。</w:t>
            </w:r>
          </w:p>
        </w:tc>
      </w:tr>
      <w:tr w14:paraId="4A8B8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restart"/>
            <w:vAlign w:val="center"/>
          </w:tcPr>
          <w:p w14:paraId="252A4AD3">
            <w:pPr>
              <w:bidi w:val="0"/>
              <w:jc w:val="left"/>
              <w:rPr>
                <w:rFonts w:hint="eastAsia" w:eastAsiaTheme="minorEastAsia"/>
                <w:color w:val="auto"/>
                <w:lang w:eastAsia="zh-CN"/>
              </w:rPr>
            </w:pPr>
            <w:r>
              <w:rPr>
                <w:rFonts w:hint="eastAsia"/>
                <w:color w:val="auto"/>
              </w:rPr>
              <w:t>（四）技防管理（13 分</w:t>
            </w:r>
            <w:r>
              <w:rPr>
                <w:rFonts w:hint="eastAsia"/>
                <w:color w:val="auto"/>
                <w:lang w:eastAsia="zh-CN"/>
              </w:rPr>
              <w:t>）</w:t>
            </w:r>
          </w:p>
        </w:tc>
        <w:tc>
          <w:tcPr>
            <w:tcW w:w="547" w:type="dxa"/>
            <w:vAlign w:val="center"/>
          </w:tcPr>
          <w:p w14:paraId="191D70D9">
            <w:pPr>
              <w:bidi w:val="0"/>
              <w:jc w:val="center"/>
              <w:rPr>
                <w:rFonts w:hint="default"/>
                <w:color w:val="auto"/>
                <w:lang w:val="en-US" w:eastAsia="zh-CN"/>
              </w:rPr>
            </w:pPr>
            <w:r>
              <w:rPr>
                <w:rFonts w:hint="eastAsia"/>
                <w:color w:val="auto"/>
                <w:lang w:val="en-US" w:eastAsia="zh-CN"/>
              </w:rPr>
              <w:t>1</w:t>
            </w:r>
          </w:p>
        </w:tc>
        <w:tc>
          <w:tcPr>
            <w:tcW w:w="2906" w:type="dxa"/>
            <w:vAlign w:val="center"/>
          </w:tcPr>
          <w:p w14:paraId="57C72381">
            <w:pPr>
              <w:bidi w:val="0"/>
              <w:rPr>
                <w:rFonts w:hint="eastAsia"/>
                <w:color w:val="auto"/>
              </w:rPr>
            </w:pPr>
            <w:r>
              <w:rPr>
                <w:rFonts w:hint="eastAsia"/>
                <w:color w:val="auto"/>
              </w:rPr>
              <w:t>值班人员严禁擅自删除视频资料，故意损坏设施设备，人为造成设备、系统不能正常运转</w:t>
            </w:r>
          </w:p>
        </w:tc>
        <w:tc>
          <w:tcPr>
            <w:tcW w:w="774" w:type="dxa"/>
            <w:vAlign w:val="center"/>
          </w:tcPr>
          <w:p w14:paraId="15CB8388">
            <w:pPr>
              <w:bidi w:val="0"/>
              <w:jc w:val="center"/>
              <w:rPr>
                <w:rFonts w:hint="default"/>
                <w:color w:val="auto"/>
                <w:lang w:val="en-US" w:eastAsia="zh-CN"/>
              </w:rPr>
            </w:pPr>
            <w:r>
              <w:rPr>
                <w:rFonts w:hint="eastAsia"/>
                <w:color w:val="auto"/>
                <w:lang w:val="en-US" w:eastAsia="zh-CN"/>
              </w:rPr>
              <w:t>5</w:t>
            </w:r>
          </w:p>
        </w:tc>
        <w:tc>
          <w:tcPr>
            <w:tcW w:w="760" w:type="dxa"/>
            <w:vAlign w:val="center"/>
          </w:tcPr>
          <w:p w14:paraId="107EBE9A">
            <w:pPr>
              <w:bidi w:val="0"/>
              <w:jc w:val="center"/>
              <w:rPr>
                <w:color w:val="auto"/>
              </w:rPr>
            </w:pPr>
          </w:p>
        </w:tc>
        <w:tc>
          <w:tcPr>
            <w:tcW w:w="2773" w:type="dxa"/>
            <w:vAlign w:val="center"/>
          </w:tcPr>
          <w:p w14:paraId="00C291AA">
            <w:pPr>
              <w:bidi w:val="0"/>
              <w:jc w:val="left"/>
              <w:rPr>
                <w:rFonts w:hint="eastAsia"/>
                <w:color w:val="auto"/>
              </w:rPr>
            </w:pPr>
            <w:r>
              <w:rPr>
                <w:rFonts w:hint="eastAsia"/>
                <w:color w:val="auto"/>
              </w:rPr>
              <w:t>值班人员擅自删除视频资料， 扣 2 分； 故意损坏设施设备，人为造成设备、系统不能正常运转，扣 3 分，且保安公司须承担修复设施设备所产生的一切费用。</w:t>
            </w:r>
          </w:p>
        </w:tc>
        <w:tc>
          <w:tcPr>
            <w:tcW w:w="880" w:type="dxa"/>
            <w:vAlign w:val="center"/>
          </w:tcPr>
          <w:p w14:paraId="418B74C5">
            <w:pPr>
              <w:bidi w:val="0"/>
              <w:jc w:val="center"/>
              <w:rPr>
                <w:color w:val="auto"/>
              </w:rPr>
            </w:pPr>
          </w:p>
        </w:tc>
      </w:tr>
      <w:tr w14:paraId="76274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53" w:type="dxa"/>
            <w:vMerge w:val="continue"/>
            <w:vAlign w:val="center"/>
          </w:tcPr>
          <w:p w14:paraId="66B08A0F">
            <w:pPr>
              <w:bidi w:val="0"/>
              <w:jc w:val="center"/>
              <w:rPr>
                <w:color w:val="auto"/>
              </w:rPr>
            </w:pPr>
          </w:p>
        </w:tc>
        <w:tc>
          <w:tcPr>
            <w:tcW w:w="547" w:type="dxa"/>
            <w:vAlign w:val="center"/>
          </w:tcPr>
          <w:p w14:paraId="239403D7">
            <w:pPr>
              <w:bidi w:val="0"/>
              <w:jc w:val="center"/>
              <w:rPr>
                <w:rFonts w:hint="default"/>
                <w:color w:val="auto"/>
                <w:lang w:val="en-US" w:eastAsia="zh-CN"/>
              </w:rPr>
            </w:pPr>
            <w:r>
              <w:rPr>
                <w:rFonts w:hint="eastAsia"/>
                <w:color w:val="auto"/>
                <w:lang w:val="en-US" w:eastAsia="zh-CN"/>
              </w:rPr>
              <w:t>2</w:t>
            </w:r>
          </w:p>
        </w:tc>
        <w:tc>
          <w:tcPr>
            <w:tcW w:w="2906" w:type="dxa"/>
            <w:vAlign w:val="center"/>
          </w:tcPr>
          <w:p w14:paraId="73824FE6">
            <w:pPr>
              <w:bidi w:val="0"/>
              <w:rPr>
                <w:rFonts w:hint="eastAsia"/>
                <w:color w:val="auto"/>
              </w:rPr>
            </w:pPr>
            <w:r>
              <w:rPr>
                <w:rFonts w:hint="eastAsia"/>
                <w:color w:val="auto"/>
              </w:rPr>
              <w:t>保卫处监控中心应 24 小时值班，值班人员要保守秘密，禁止无关人员进入监控中心。</w:t>
            </w:r>
          </w:p>
        </w:tc>
        <w:tc>
          <w:tcPr>
            <w:tcW w:w="774" w:type="dxa"/>
            <w:vAlign w:val="center"/>
          </w:tcPr>
          <w:p w14:paraId="15A7D1AA">
            <w:pPr>
              <w:bidi w:val="0"/>
              <w:jc w:val="center"/>
              <w:rPr>
                <w:rFonts w:hint="default"/>
                <w:color w:val="auto"/>
                <w:lang w:val="en-US" w:eastAsia="zh-CN"/>
              </w:rPr>
            </w:pPr>
            <w:r>
              <w:rPr>
                <w:rFonts w:hint="eastAsia"/>
                <w:color w:val="auto"/>
                <w:lang w:val="en-US" w:eastAsia="zh-CN"/>
              </w:rPr>
              <w:t>2</w:t>
            </w:r>
          </w:p>
        </w:tc>
        <w:tc>
          <w:tcPr>
            <w:tcW w:w="760" w:type="dxa"/>
            <w:vAlign w:val="center"/>
          </w:tcPr>
          <w:p w14:paraId="04FF528E">
            <w:pPr>
              <w:bidi w:val="0"/>
              <w:jc w:val="center"/>
              <w:rPr>
                <w:color w:val="auto"/>
              </w:rPr>
            </w:pPr>
          </w:p>
        </w:tc>
        <w:tc>
          <w:tcPr>
            <w:tcW w:w="2773" w:type="dxa"/>
            <w:vAlign w:val="center"/>
          </w:tcPr>
          <w:p w14:paraId="6E925582">
            <w:pPr>
              <w:bidi w:val="0"/>
              <w:jc w:val="left"/>
              <w:rPr>
                <w:rFonts w:hint="eastAsia"/>
                <w:color w:val="auto"/>
              </w:rPr>
            </w:pPr>
            <w:r>
              <w:rPr>
                <w:rFonts w:hint="eastAsia"/>
                <w:color w:val="auto"/>
              </w:rPr>
              <w:t>保卫处监控中心值班人员未做好保密工作，导致保密信息泄漏，扣 1 分；擅自带无关人员进入监控中心，扣 1 分。</w:t>
            </w:r>
          </w:p>
        </w:tc>
        <w:tc>
          <w:tcPr>
            <w:tcW w:w="880" w:type="dxa"/>
            <w:vAlign w:val="center"/>
          </w:tcPr>
          <w:p w14:paraId="37A9A748">
            <w:pPr>
              <w:bidi w:val="0"/>
              <w:jc w:val="center"/>
              <w:rPr>
                <w:color w:val="auto"/>
              </w:rPr>
            </w:pPr>
          </w:p>
        </w:tc>
      </w:tr>
    </w:tbl>
    <w:p w14:paraId="0A0DD82A">
      <w:pPr>
        <w:rPr>
          <w:color w:val="auto"/>
          <w:sz w:val="24"/>
          <w:szCs w:val="24"/>
        </w:rPr>
      </w:pPr>
    </w:p>
    <w:p w14:paraId="6AAB7D33">
      <w:pPr>
        <w:rPr>
          <w:color w:val="auto"/>
          <w:sz w:val="24"/>
          <w:szCs w:val="24"/>
        </w:rPr>
      </w:pPr>
    </w:p>
    <w:tbl>
      <w:tblPr>
        <w:tblStyle w:val="4"/>
        <w:tblW w:w="9893" w:type="dxa"/>
        <w:tblInd w:w="-6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53"/>
        <w:gridCol w:w="547"/>
        <w:gridCol w:w="2906"/>
        <w:gridCol w:w="774"/>
        <w:gridCol w:w="760"/>
        <w:gridCol w:w="2773"/>
        <w:gridCol w:w="880"/>
      </w:tblGrid>
      <w:tr w14:paraId="2A85E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9893" w:type="dxa"/>
            <w:gridSpan w:val="7"/>
            <w:vAlign w:val="center"/>
          </w:tcPr>
          <w:p w14:paraId="5136E4EA">
            <w:pPr>
              <w:bidi w:val="0"/>
              <w:jc w:val="both"/>
              <w:rPr>
                <w:color w:val="auto"/>
              </w:rPr>
            </w:pPr>
            <w:r>
              <w:rPr>
                <w:rFonts w:hint="eastAsia"/>
                <w:b/>
                <w:bCs/>
                <w:color w:val="auto"/>
                <w:sz w:val="24"/>
                <w:szCs w:val="24"/>
              </w:rPr>
              <w:t>学院天河校区、南苑、北苑和海珠校区安保服务管理</w:t>
            </w:r>
            <w:r>
              <w:rPr>
                <w:rFonts w:hint="eastAsia"/>
                <w:b/>
                <w:bCs/>
                <w:color w:val="auto"/>
                <w:sz w:val="24"/>
                <w:szCs w:val="24"/>
                <w:lang w:val="en-US" w:eastAsia="zh-CN"/>
              </w:rPr>
              <w:t>月度</w:t>
            </w:r>
            <w:r>
              <w:rPr>
                <w:rFonts w:hint="eastAsia"/>
                <w:b/>
                <w:bCs/>
                <w:color w:val="auto"/>
                <w:sz w:val="24"/>
                <w:szCs w:val="24"/>
              </w:rPr>
              <w:t>考核评分表</w:t>
            </w:r>
          </w:p>
        </w:tc>
      </w:tr>
      <w:tr w14:paraId="035CE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Align w:val="center"/>
          </w:tcPr>
          <w:p w14:paraId="33746AE1">
            <w:pPr>
              <w:bidi w:val="0"/>
              <w:jc w:val="center"/>
              <w:rPr>
                <w:rFonts w:hint="default"/>
                <w:color w:val="auto"/>
                <w:lang w:val="en-US" w:eastAsia="zh-CN"/>
              </w:rPr>
            </w:pPr>
            <w:r>
              <w:rPr>
                <w:rFonts w:hint="eastAsia"/>
                <w:color w:val="auto"/>
                <w:lang w:val="en-US" w:eastAsia="zh-CN"/>
              </w:rPr>
              <w:t>考核项目</w:t>
            </w:r>
          </w:p>
        </w:tc>
        <w:tc>
          <w:tcPr>
            <w:tcW w:w="547" w:type="dxa"/>
            <w:vAlign w:val="center"/>
          </w:tcPr>
          <w:p w14:paraId="3F89BC6D">
            <w:pPr>
              <w:bidi w:val="0"/>
              <w:jc w:val="center"/>
              <w:rPr>
                <w:rFonts w:hint="default"/>
                <w:color w:val="auto"/>
                <w:lang w:val="en-US" w:eastAsia="zh-CN"/>
              </w:rPr>
            </w:pPr>
            <w:r>
              <w:rPr>
                <w:rFonts w:hint="eastAsia"/>
                <w:color w:val="auto"/>
                <w:lang w:val="en-US" w:eastAsia="zh-CN"/>
              </w:rPr>
              <w:t>序号</w:t>
            </w:r>
          </w:p>
        </w:tc>
        <w:tc>
          <w:tcPr>
            <w:tcW w:w="2906" w:type="dxa"/>
            <w:vAlign w:val="center"/>
          </w:tcPr>
          <w:p w14:paraId="06DAA6E1">
            <w:pPr>
              <w:bidi w:val="0"/>
              <w:jc w:val="center"/>
              <w:rPr>
                <w:rFonts w:hint="default"/>
                <w:color w:val="auto"/>
                <w:lang w:val="en-US" w:eastAsia="zh-CN"/>
              </w:rPr>
            </w:pPr>
            <w:r>
              <w:rPr>
                <w:rFonts w:hint="eastAsia"/>
                <w:color w:val="auto"/>
                <w:lang w:val="en-US" w:eastAsia="zh-CN"/>
              </w:rPr>
              <w:t>考核内容</w:t>
            </w:r>
          </w:p>
        </w:tc>
        <w:tc>
          <w:tcPr>
            <w:tcW w:w="774" w:type="dxa"/>
            <w:vAlign w:val="center"/>
          </w:tcPr>
          <w:p w14:paraId="369FE1A2">
            <w:pPr>
              <w:bidi w:val="0"/>
              <w:jc w:val="center"/>
              <w:rPr>
                <w:rFonts w:hint="eastAsia"/>
                <w:color w:val="auto"/>
                <w:lang w:val="en-US" w:eastAsia="zh-CN"/>
              </w:rPr>
            </w:pPr>
            <w:r>
              <w:rPr>
                <w:rFonts w:hint="eastAsia"/>
                <w:color w:val="auto"/>
                <w:lang w:val="en-US" w:eastAsia="zh-CN"/>
              </w:rPr>
              <w:t>分值</w:t>
            </w:r>
          </w:p>
        </w:tc>
        <w:tc>
          <w:tcPr>
            <w:tcW w:w="760" w:type="dxa"/>
            <w:vAlign w:val="center"/>
          </w:tcPr>
          <w:p w14:paraId="7FAC213F">
            <w:pPr>
              <w:bidi w:val="0"/>
              <w:jc w:val="center"/>
              <w:rPr>
                <w:color w:val="auto"/>
              </w:rPr>
            </w:pPr>
            <w:r>
              <w:rPr>
                <w:rFonts w:hint="eastAsia"/>
                <w:color w:val="auto"/>
                <w:lang w:val="en-US" w:eastAsia="zh-CN"/>
              </w:rPr>
              <w:t>得分</w:t>
            </w:r>
          </w:p>
        </w:tc>
        <w:tc>
          <w:tcPr>
            <w:tcW w:w="2773" w:type="dxa"/>
            <w:vAlign w:val="center"/>
          </w:tcPr>
          <w:p w14:paraId="75A9358A">
            <w:pPr>
              <w:bidi w:val="0"/>
              <w:jc w:val="center"/>
              <w:rPr>
                <w:color w:val="auto"/>
              </w:rPr>
            </w:pPr>
            <w:r>
              <w:rPr>
                <w:color w:val="auto"/>
              </w:rPr>
              <w:t>扣分参考</w:t>
            </w:r>
          </w:p>
        </w:tc>
        <w:tc>
          <w:tcPr>
            <w:tcW w:w="880" w:type="dxa"/>
            <w:vAlign w:val="center"/>
          </w:tcPr>
          <w:p w14:paraId="6087BD0A">
            <w:pPr>
              <w:bidi w:val="0"/>
              <w:jc w:val="center"/>
              <w:rPr>
                <w:color w:val="auto"/>
              </w:rPr>
            </w:pPr>
            <w:r>
              <w:rPr>
                <w:color w:val="auto"/>
              </w:rPr>
              <w:t>扣分</w:t>
            </w:r>
          </w:p>
          <w:p w14:paraId="6659882F">
            <w:pPr>
              <w:bidi w:val="0"/>
              <w:jc w:val="center"/>
              <w:rPr>
                <w:color w:val="auto"/>
              </w:rPr>
            </w:pPr>
            <w:r>
              <w:rPr>
                <w:color w:val="auto"/>
              </w:rPr>
              <w:t>原因</w:t>
            </w:r>
          </w:p>
        </w:tc>
      </w:tr>
      <w:tr w14:paraId="660C5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restart"/>
            <w:vAlign w:val="center"/>
          </w:tcPr>
          <w:p w14:paraId="4C4D05BD">
            <w:pPr>
              <w:bidi w:val="0"/>
              <w:jc w:val="center"/>
              <w:rPr>
                <w:rFonts w:hint="eastAsia" w:eastAsiaTheme="minorEastAsia"/>
                <w:color w:val="auto"/>
                <w:lang w:eastAsia="zh-CN"/>
              </w:rPr>
            </w:pPr>
          </w:p>
        </w:tc>
        <w:tc>
          <w:tcPr>
            <w:tcW w:w="547" w:type="dxa"/>
            <w:vAlign w:val="center"/>
          </w:tcPr>
          <w:p w14:paraId="2301A3F1">
            <w:pPr>
              <w:bidi w:val="0"/>
              <w:jc w:val="center"/>
              <w:rPr>
                <w:rFonts w:hint="eastAsia"/>
                <w:color w:val="auto"/>
                <w:lang w:val="en-US" w:eastAsia="zh-CN"/>
              </w:rPr>
            </w:pPr>
            <w:r>
              <w:rPr>
                <w:rFonts w:hint="eastAsia"/>
                <w:color w:val="auto"/>
                <w:lang w:val="en-US" w:eastAsia="zh-CN"/>
              </w:rPr>
              <w:t>3</w:t>
            </w:r>
          </w:p>
        </w:tc>
        <w:tc>
          <w:tcPr>
            <w:tcW w:w="2906" w:type="dxa"/>
            <w:vAlign w:val="center"/>
          </w:tcPr>
          <w:p w14:paraId="62EE4D7E">
            <w:pPr>
              <w:bidi w:val="0"/>
              <w:jc w:val="left"/>
              <w:rPr>
                <w:rFonts w:hint="eastAsia"/>
                <w:color w:val="auto"/>
              </w:rPr>
            </w:pPr>
            <w:r>
              <w:rPr>
                <w:rFonts w:hint="eastAsia"/>
                <w:color w:val="auto"/>
              </w:rPr>
              <w:t>未经保卫处领导审批同意，不</w:t>
            </w:r>
          </w:p>
          <w:p w14:paraId="2B4B1882">
            <w:pPr>
              <w:bidi w:val="0"/>
              <w:jc w:val="left"/>
              <w:rPr>
                <w:rFonts w:hint="eastAsia"/>
                <w:color w:val="auto"/>
              </w:rPr>
            </w:pPr>
            <w:r>
              <w:rPr>
                <w:rFonts w:hint="eastAsia"/>
                <w:color w:val="auto"/>
              </w:rPr>
              <w:t>得让他人查看或翻拍、提取视</w:t>
            </w:r>
          </w:p>
          <w:p w14:paraId="3A174B75">
            <w:pPr>
              <w:bidi w:val="0"/>
              <w:jc w:val="left"/>
              <w:rPr>
                <w:color w:val="auto"/>
              </w:rPr>
            </w:pPr>
            <w:r>
              <w:rPr>
                <w:rFonts w:hint="eastAsia"/>
                <w:color w:val="auto"/>
              </w:rPr>
              <w:t>频录像资料。</w:t>
            </w:r>
          </w:p>
        </w:tc>
        <w:tc>
          <w:tcPr>
            <w:tcW w:w="774" w:type="dxa"/>
            <w:vAlign w:val="center"/>
          </w:tcPr>
          <w:p w14:paraId="031AD218">
            <w:pPr>
              <w:bidi w:val="0"/>
              <w:jc w:val="center"/>
              <w:rPr>
                <w:rFonts w:hint="eastAsia"/>
                <w:color w:val="auto"/>
                <w:lang w:val="en-US" w:eastAsia="zh-CN"/>
              </w:rPr>
            </w:pPr>
            <w:r>
              <w:rPr>
                <w:rFonts w:hint="eastAsia"/>
                <w:color w:val="auto"/>
                <w:lang w:val="en-US" w:eastAsia="zh-CN"/>
              </w:rPr>
              <w:t>2</w:t>
            </w:r>
          </w:p>
        </w:tc>
        <w:tc>
          <w:tcPr>
            <w:tcW w:w="760" w:type="dxa"/>
            <w:vAlign w:val="center"/>
          </w:tcPr>
          <w:p w14:paraId="002BF264">
            <w:pPr>
              <w:bidi w:val="0"/>
              <w:jc w:val="center"/>
              <w:rPr>
                <w:color w:val="auto"/>
              </w:rPr>
            </w:pPr>
          </w:p>
        </w:tc>
        <w:tc>
          <w:tcPr>
            <w:tcW w:w="2773" w:type="dxa"/>
            <w:vAlign w:val="center"/>
          </w:tcPr>
          <w:p w14:paraId="442A45F7">
            <w:pPr>
              <w:bidi w:val="0"/>
              <w:rPr>
                <w:color w:val="auto"/>
              </w:rPr>
            </w:pPr>
            <w:r>
              <w:rPr>
                <w:rFonts w:hint="eastAsia"/>
                <w:color w:val="auto"/>
              </w:rPr>
              <w:t>未经保卫</w:t>
            </w:r>
            <w:r>
              <w:rPr>
                <w:rFonts w:hint="eastAsia"/>
                <w:color w:val="auto"/>
                <w:lang w:val="en-US" w:eastAsia="zh-CN"/>
              </w:rPr>
              <w:t>部门</w:t>
            </w:r>
            <w:r>
              <w:rPr>
                <w:rFonts w:hint="eastAsia"/>
                <w:color w:val="auto"/>
              </w:rPr>
              <w:t>领导审批同意，擅自允许他人查看或翻拍、提取视频录像资料，扣 2 分。</w:t>
            </w:r>
          </w:p>
        </w:tc>
        <w:tc>
          <w:tcPr>
            <w:tcW w:w="880" w:type="dxa"/>
            <w:vAlign w:val="center"/>
          </w:tcPr>
          <w:p w14:paraId="00D20A9F">
            <w:pPr>
              <w:bidi w:val="0"/>
              <w:jc w:val="center"/>
              <w:rPr>
                <w:color w:val="auto"/>
              </w:rPr>
            </w:pPr>
          </w:p>
        </w:tc>
      </w:tr>
      <w:tr w14:paraId="406B5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1DCC18CF">
            <w:pPr>
              <w:bidi w:val="0"/>
              <w:jc w:val="center"/>
              <w:rPr>
                <w:color w:val="auto"/>
              </w:rPr>
            </w:pPr>
          </w:p>
        </w:tc>
        <w:tc>
          <w:tcPr>
            <w:tcW w:w="547" w:type="dxa"/>
            <w:vAlign w:val="center"/>
          </w:tcPr>
          <w:p w14:paraId="50D296AC">
            <w:pPr>
              <w:bidi w:val="0"/>
              <w:jc w:val="center"/>
              <w:rPr>
                <w:rFonts w:hint="eastAsia"/>
                <w:color w:val="auto"/>
                <w:lang w:val="en-US" w:eastAsia="zh-CN"/>
              </w:rPr>
            </w:pPr>
            <w:r>
              <w:rPr>
                <w:rFonts w:hint="eastAsia"/>
                <w:color w:val="auto"/>
                <w:lang w:val="en-US" w:eastAsia="zh-CN"/>
              </w:rPr>
              <w:t>4</w:t>
            </w:r>
          </w:p>
        </w:tc>
        <w:tc>
          <w:tcPr>
            <w:tcW w:w="2906" w:type="dxa"/>
            <w:vAlign w:val="center"/>
          </w:tcPr>
          <w:p w14:paraId="0CE8DF8F">
            <w:pPr>
              <w:bidi w:val="0"/>
              <w:jc w:val="left"/>
              <w:rPr>
                <w:rFonts w:hint="eastAsia"/>
                <w:color w:val="auto"/>
              </w:rPr>
            </w:pPr>
            <w:r>
              <w:rPr>
                <w:rFonts w:hint="eastAsia"/>
                <w:color w:val="auto"/>
              </w:rPr>
              <w:t>能熟练使用操作系统、设施，</w:t>
            </w:r>
          </w:p>
          <w:p w14:paraId="7F7D461E">
            <w:pPr>
              <w:bidi w:val="0"/>
              <w:jc w:val="left"/>
              <w:rPr>
                <w:rFonts w:hint="eastAsia"/>
                <w:color w:val="auto"/>
              </w:rPr>
            </w:pPr>
            <w:r>
              <w:rPr>
                <w:rFonts w:hint="eastAsia"/>
                <w:color w:val="auto"/>
              </w:rPr>
              <w:t>掌握校园技防布控情况，积极</w:t>
            </w:r>
          </w:p>
          <w:p w14:paraId="5067F98C">
            <w:pPr>
              <w:bidi w:val="0"/>
              <w:jc w:val="left"/>
              <w:rPr>
                <w:color w:val="auto"/>
              </w:rPr>
            </w:pPr>
            <w:r>
              <w:rPr>
                <w:rFonts w:hint="eastAsia"/>
                <w:color w:val="auto"/>
              </w:rPr>
              <w:t>配合调查校园视频监控资料。</w:t>
            </w:r>
          </w:p>
        </w:tc>
        <w:tc>
          <w:tcPr>
            <w:tcW w:w="774" w:type="dxa"/>
            <w:vAlign w:val="center"/>
          </w:tcPr>
          <w:p w14:paraId="4EBA928F">
            <w:pPr>
              <w:bidi w:val="0"/>
              <w:jc w:val="center"/>
              <w:rPr>
                <w:rFonts w:hint="default"/>
                <w:color w:val="auto"/>
                <w:lang w:val="en-US" w:eastAsia="zh-CN"/>
              </w:rPr>
            </w:pPr>
            <w:r>
              <w:rPr>
                <w:rFonts w:hint="eastAsia"/>
                <w:color w:val="auto"/>
                <w:lang w:val="en-US" w:eastAsia="zh-CN"/>
              </w:rPr>
              <w:t>2</w:t>
            </w:r>
          </w:p>
        </w:tc>
        <w:tc>
          <w:tcPr>
            <w:tcW w:w="760" w:type="dxa"/>
            <w:vAlign w:val="center"/>
          </w:tcPr>
          <w:p w14:paraId="44D00630">
            <w:pPr>
              <w:bidi w:val="0"/>
              <w:jc w:val="center"/>
              <w:rPr>
                <w:color w:val="auto"/>
              </w:rPr>
            </w:pPr>
          </w:p>
        </w:tc>
        <w:tc>
          <w:tcPr>
            <w:tcW w:w="2773" w:type="dxa"/>
            <w:vAlign w:val="center"/>
          </w:tcPr>
          <w:p w14:paraId="24DB9BC4">
            <w:pPr>
              <w:bidi w:val="0"/>
              <w:jc w:val="left"/>
              <w:rPr>
                <w:color w:val="auto"/>
              </w:rPr>
            </w:pPr>
            <w:r>
              <w:rPr>
                <w:rFonts w:hint="eastAsia"/>
                <w:color w:val="auto"/>
              </w:rPr>
              <w:t>未熟练使用操作系统、设施，扣 1 分；不配合调查校园视频监控资料，扣 1 分。</w:t>
            </w:r>
          </w:p>
        </w:tc>
        <w:tc>
          <w:tcPr>
            <w:tcW w:w="880" w:type="dxa"/>
            <w:vAlign w:val="center"/>
          </w:tcPr>
          <w:p w14:paraId="38C4EC48">
            <w:pPr>
              <w:bidi w:val="0"/>
              <w:jc w:val="center"/>
              <w:rPr>
                <w:color w:val="auto"/>
              </w:rPr>
            </w:pPr>
          </w:p>
        </w:tc>
      </w:tr>
      <w:tr w14:paraId="6CA86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253" w:type="dxa"/>
            <w:vMerge w:val="continue"/>
            <w:vAlign w:val="center"/>
          </w:tcPr>
          <w:p w14:paraId="6EEA3EE4">
            <w:pPr>
              <w:bidi w:val="0"/>
              <w:jc w:val="center"/>
              <w:rPr>
                <w:color w:val="auto"/>
              </w:rPr>
            </w:pPr>
          </w:p>
        </w:tc>
        <w:tc>
          <w:tcPr>
            <w:tcW w:w="547" w:type="dxa"/>
            <w:vAlign w:val="center"/>
          </w:tcPr>
          <w:p w14:paraId="12CF7766">
            <w:pPr>
              <w:bidi w:val="0"/>
              <w:jc w:val="center"/>
              <w:rPr>
                <w:rFonts w:hint="eastAsia"/>
                <w:color w:val="auto"/>
                <w:lang w:val="en-US" w:eastAsia="zh-CN"/>
              </w:rPr>
            </w:pPr>
            <w:r>
              <w:rPr>
                <w:rFonts w:hint="eastAsia"/>
                <w:color w:val="auto"/>
                <w:lang w:val="en-US" w:eastAsia="zh-CN"/>
              </w:rPr>
              <w:t>5</w:t>
            </w:r>
          </w:p>
        </w:tc>
        <w:tc>
          <w:tcPr>
            <w:tcW w:w="2906" w:type="dxa"/>
            <w:vAlign w:val="center"/>
          </w:tcPr>
          <w:p w14:paraId="536D5F84">
            <w:pPr>
              <w:bidi w:val="0"/>
              <w:jc w:val="left"/>
              <w:rPr>
                <w:color w:val="auto"/>
              </w:rPr>
            </w:pPr>
            <w:r>
              <w:rPr>
                <w:rFonts w:hint="eastAsia"/>
                <w:color w:val="auto"/>
              </w:rPr>
              <w:t>辞退或调离保卫处监控中心岗位值班人员， 应提前一个月书面报告。</w:t>
            </w:r>
          </w:p>
        </w:tc>
        <w:tc>
          <w:tcPr>
            <w:tcW w:w="774" w:type="dxa"/>
            <w:vAlign w:val="center"/>
          </w:tcPr>
          <w:p w14:paraId="234163C8">
            <w:pPr>
              <w:bidi w:val="0"/>
              <w:jc w:val="center"/>
              <w:rPr>
                <w:rFonts w:hint="eastAsia" w:eastAsiaTheme="minorEastAsia"/>
                <w:color w:val="auto"/>
                <w:lang w:eastAsia="zh-CN"/>
              </w:rPr>
            </w:pPr>
            <w:r>
              <w:rPr>
                <w:rFonts w:hint="eastAsia"/>
                <w:color w:val="auto"/>
                <w:lang w:val="en-US" w:eastAsia="zh-CN"/>
              </w:rPr>
              <w:t>1</w:t>
            </w:r>
          </w:p>
        </w:tc>
        <w:tc>
          <w:tcPr>
            <w:tcW w:w="760" w:type="dxa"/>
            <w:vAlign w:val="center"/>
          </w:tcPr>
          <w:p w14:paraId="0540DCB8">
            <w:pPr>
              <w:bidi w:val="0"/>
              <w:jc w:val="center"/>
              <w:rPr>
                <w:color w:val="auto"/>
              </w:rPr>
            </w:pPr>
          </w:p>
        </w:tc>
        <w:tc>
          <w:tcPr>
            <w:tcW w:w="2773" w:type="dxa"/>
            <w:vAlign w:val="center"/>
          </w:tcPr>
          <w:p w14:paraId="223115FC">
            <w:pPr>
              <w:bidi w:val="0"/>
              <w:jc w:val="left"/>
              <w:rPr>
                <w:color w:val="auto"/>
              </w:rPr>
            </w:pPr>
            <w:r>
              <w:rPr>
                <w:rFonts w:hint="eastAsia"/>
                <w:color w:val="auto"/>
              </w:rPr>
              <w:t>辞退或调离保卫处监控中心岗位值班人员，未提前一个月书面报告，扣 1 分。</w:t>
            </w:r>
          </w:p>
        </w:tc>
        <w:tc>
          <w:tcPr>
            <w:tcW w:w="880" w:type="dxa"/>
            <w:vAlign w:val="center"/>
          </w:tcPr>
          <w:p w14:paraId="2C92C179">
            <w:pPr>
              <w:bidi w:val="0"/>
              <w:jc w:val="center"/>
              <w:rPr>
                <w:color w:val="auto"/>
              </w:rPr>
            </w:pPr>
          </w:p>
        </w:tc>
      </w:tr>
      <w:tr w14:paraId="18A03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558F5A2F">
            <w:pPr>
              <w:bidi w:val="0"/>
              <w:jc w:val="center"/>
              <w:rPr>
                <w:color w:val="auto"/>
              </w:rPr>
            </w:pPr>
          </w:p>
        </w:tc>
        <w:tc>
          <w:tcPr>
            <w:tcW w:w="547" w:type="dxa"/>
            <w:vAlign w:val="center"/>
          </w:tcPr>
          <w:p w14:paraId="403629F5">
            <w:pPr>
              <w:bidi w:val="0"/>
              <w:jc w:val="center"/>
              <w:rPr>
                <w:rFonts w:hint="default"/>
                <w:color w:val="auto"/>
                <w:lang w:val="en-US" w:eastAsia="zh-CN"/>
              </w:rPr>
            </w:pPr>
            <w:r>
              <w:rPr>
                <w:rFonts w:hint="eastAsia"/>
                <w:color w:val="auto"/>
                <w:lang w:val="en-US" w:eastAsia="zh-CN"/>
              </w:rPr>
              <w:t>6</w:t>
            </w:r>
          </w:p>
        </w:tc>
        <w:tc>
          <w:tcPr>
            <w:tcW w:w="2906" w:type="dxa"/>
            <w:vAlign w:val="center"/>
          </w:tcPr>
          <w:p w14:paraId="73E4D4F2">
            <w:pPr>
              <w:bidi w:val="0"/>
              <w:jc w:val="left"/>
              <w:rPr>
                <w:color w:val="auto"/>
              </w:rPr>
            </w:pPr>
            <w:r>
              <w:rPr>
                <w:rFonts w:hint="eastAsia"/>
                <w:color w:val="auto"/>
              </w:rPr>
              <w:t>岗位人员应认真记录设施设备运行情况。</w:t>
            </w:r>
          </w:p>
        </w:tc>
        <w:tc>
          <w:tcPr>
            <w:tcW w:w="774" w:type="dxa"/>
            <w:vAlign w:val="center"/>
          </w:tcPr>
          <w:p w14:paraId="1E21D843">
            <w:pPr>
              <w:bidi w:val="0"/>
              <w:jc w:val="center"/>
              <w:rPr>
                <w:rFonts w:hint="eastAsia" w:eastAsiaTheme="minorEastAsia"/>
                <w:color w:val="auto"/>
                <w:lang w:eastAsia="zh-CN"/>
              </w:rPr>
            </w:pPr>
            <w:r>
              <w:rPr>
                <w:rFonts w:hint="eastAsia"/>
                <w:color w:val="auto"/>
                <w:lang w:val="en-US" w:eastAsia="zh-CN"/>
              </w:rPr>
              <w:t>1</w:t>
            </w:r>
          </w:p>
        </w:tc>
        <w:tc>
          <w:tcPr>
            <w:tcW w:w="760" w:type="dxa"/>
            <w:vAlign w:val="center"/>
          </w:tcPr>
          <w:p w14:paraId="3AA23BBA">
            <w:pPr>
              <w:bidi w:val="0"/>
              <w:jc w:val="center"/>
              <w:rPr>
                <w:color w:val="auto"/>
              </w:rPr>
            </w:pPr>
          </w:p>
        </w:tc>
        <w:tc>
          <w:tcPr>
            <w:tcW w:w="2773" w:type="dxa"/>
            <w:vAlign w:val="center"/>
          </w:tcPr>
          <w:p w14:paraId="09B4BD9C">
            <w:pPr>
              <w:bidi w:val="0"/>
              <w:jc w:val="left"/>
              <w:rPr>
                <w:color w:val="auto"/>
              </w:rPr>
            </w:pPr>
            <w:r>
              <w:rPr>
                <w:rFonts w:hint="eastAsia"/>
                <w:color w:val="auto"/>
              </w:rPr>
              <w:t>岗位人员未记录设施设备运行情况，扣 1 分。</w:t>
            </w:r>
          </w:p>
        </w:tc>
        <w:tc>
          <w:tcPr>
            <w:tcW w:w="880" w:type="dxa"/>
            <w:vAlign w:val="center"/>
          </w:tcPr>
          <w:p w14:paraId="53A030E0">
            <w:pPr>
              <w:bidi w:val="0"/>
              <w:jc w:val="center"/>
              <w:rPr>
                <w:color w:val="auto"/>
              </w:rPr>
            </w:pPr>
          </w:p>
        </w:tc>
      </w:tr>
      <w:tr w14:paraId="6FB55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restart"/>
            <w:vAlign w:val="center"/>
          </w:tcPr>
          <w:p w14:paraId="3E5F69FE">
            <w:pPr>
              <w:bidi w:val="0"/>
              <w:jc w:val="left"/>
              <w:rPr>
                <w:rFonts w:hint="eastAsia" w:eastAsiaTheme="minorEastAsia"/>
                <w:color w:val="auto"/>
                <w:lang w:eastAsia="zh-CN"/>
              </w:rPr>
            </w:pPr>
            <w:r>
              <w:rPr>
                <w:rFonts w:hint="eastAsia"/>
                <w:color w:val="auto"/>
              </w:rPr>
              <w:t>（五）门卫和交通管理（20 分</w:t>
            </w:r>
            <w:r>
              <w:rPr>
                <w:rFonts w:hint="eastAsia"/>
                <w:color w:val="auto"/>
                <w:lang w:eastAsia="zh-CN"/>
              </w:rPr>
              <w:t>）</w:t>
            </w:r>
          </w:p>
        </w:tc>
        <w:tc>
          <w:tcPr>
            <w:tcW w:w="547" w:type="dxa"/>
            <w:vAlign w:val="center"/>
          </w:tcPr>
          <w:p w14:paraId="4F22D6B7">
            <w:pPr>
              <w:bidi w:val="0"/>
              <w:jc w:val="center"/>
              <w:rPr>
                <w:rFonts w:hint="default"/>
                <w:color w:val="auto"/>
                <w:lang w:val="en-US" w:eastAsia="zh-CN"/>
              </w:rPr>
            </w:pPr>
            <w:r>
              <w:rPr>
                <w:rFonts w:hint="eastAsia"/>
                <w:color w:val="auto"/>
                <w:lang w:val="en-US" w:eastAsia="zh-CN"/>
              </w:rPr>
              <w:t>1</w:t>
            </w:r>
          </w:p>
        </w:tc>
        <w:tc>
          <w:tcPr>
            <w:tcW w:w="2906" w:type="dxa"/>
            <w:vAlign w:val="center"/>
          </w:tcPr>
          <w:p w14:paraId="0D435672">
            <w:pPr>
              <w:bidi w:val="0"/>
              <w:rPr>
                <w:rFonts w:hint="eastAsia"/>
                <w:color w:val="auto"/>
              </w:rPr>
            </w:pPr>
            <w:r>
              <w:rPr>
                <w:rFonts w:hint="eastAsia"/>
                <w:color w:val="auto"/>
              </w:rPr>
              <w:t>严格执行门卫、交通管理规定做好来访车辆出入登记。</w:t>
            </w:r>
          </w:p>
        </w:tc>
        <w:tc>
          <w:tcPr>
            <w:tcW w:w="774" w:type="dxa"/>
            <w:vAlign w:val="center"/>
          </w:tcPr>
          <w:p w14:paraId="4C24F239">
            <w:pPr>
              <w:bidi w:val="0"/>
              <w:jc w:val="center"/>
              <w:rPr>
                <w:rFonts w:hint="default"/>
                <w:color w:val="auto"/>
                <w:lang w:val="en-US" w:eastAsia="zh-CN"/>
              </w:rPr>
            </w:pPr>
            <w:r>
              <w:rPr>
                <w:rFonts w:hint="eastAsia"/>
                <w:color w:val="auto"/>
                <w:lang w:val="en-US" w:eastAsia="zh-CN"/>
              </w:rPr>
              <w:t>2</w:t>
            </w:r>
          </w:p>
        </w:tc>
        <w:tc>
          <w:tcPr>
            <w:tcW w:w="760" w:type="dxa"/>
            <w:vAlign w:val="center"/>
          </w:tcPr>
          <w:p w14:paraId="229CF907">
            <w:pPr>
              <w:bidi w:val="0"/>
              <w:jc w:val="center"/>
              <w:rPr>
                <w:color w:val="auto"/>
              </w:rPr>
            </w:pPr>
          </w:p>
        </w:tc>
        <w:tc>
          <w:tcPr>
            <w:tcW w:w="2773" w:type="dxa"/>
            <w:vAlign w:val="center"/>
          </w:tcPr>
          <w:p w14:paraId="37E856B5">
            <w:pPr>
              <w:bidi w:val="0"/>
              <w:jc w:val="left"/>
              <w:rPr>
                <w:rFonts w:hint="eastAsia"/>
                <w:color w:val="auto"/>
              </w:rPr>
            </w:pPr>
            <w:r>
              <w:rPr>
                <w:rFonts w:hint="eastAsia"/>
                <w:color w:val="auto"/>
              </w:rPr>
              <w:t>未严格执行门卫、交通管理规定，扣 1 分；来访车辆未按要</w:t>
            </w:r>
          </w:p>
          <w:p w14:paraId="5FF7F872">
            <w:pPr>
              <w:bidi w:val="0"/>
              <w:jc w:val="left"/>
              <w:rPr>
                <w:rFonts w:hint="eastAsia"/>
                <w:color w:val="auto"/>
              </w:rPr>
            </w:pPr>
            <w:r>
              <w:rPr>
                <w:rFonts w:hint="eastAsia"/>
                <w:color w:val="auto"/>
              </w:rPr>
              <w:t>求做好出入登记，扣 1 分。</w:t>
            </w:r>
          </w:p>
        </w:tc>
        <w:tc>
          <w:tcPr>
            <w:tcW w:w="880" w:type="dxa"/>
            <w:vAlign w:val="center"/>
          </w:tcPr>
          <w:p w14:paraId="60B841C5">
            <w:pPr>
              <w:bidi w:val="0"/>
              <w:jc w:val="center"/>
              <w:rPr>
                <w:color w:val="auto"/>
              </w:rPr>
            </w:pPr>
          </w:p>
        </w:tc>
      </w:tr>
      <w:tr w14:paraId="11211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253" w:type="dxa"/>
            <w:vMerge w:val="continue"/>
            <w:vAlign w:val="center"/>
          </w:tcPr>
          <w:p w14:paraId="51D9242A">
            <w:pPr>
              <w:bidi w:val="0"/>
              <w:jc w:val="center"/>
              <w:rPr>
                <w:color w:val="auto"/>
              </w:rPr>
            </w:pPr>
          </w:p>
        </w:tc>
        <w:tc>
          <w:tcPr>
            <w:tcW w:w="547" w:type="dxa"/>
            <w:vAlign w:val="center"/>
          </w:tcPr>
          <w:p w14:paraId="2172F49E">
            <w:pPr>
              <w:bidi w:val="0"/>
              <w:jc w:val="center"/>
              <w:rPr>
                <w:rFonts w:hint="default"/>
                <w:color w:val="auto"/>
                <w:lang w:val="en-US" w:eastAsia="zh-CN"/>
              </w:rPr>
            </w:pPr>
            <w:r>
              <w:rPr>
                <w:rFonts w:hint="eastAsia"/>
                <w:color w:val="auto"/>
                <w:lang w:val="en-US" w:eastAsia="zh-CN"/>
              </w:rPr>
              <w:t>2</w:t>
            </w:r>
          </w:p>
        </w:tc>
        <w:tc>
          <w:tcPr>
            <w:tcW w:w="2906" w:type="dxa"/>
            <w:vAlign w:val="center"/>
          </w:tcPr>
          <w:p w14:paraId="3A01EF94">
            <w:pPr>
              <w:bidi w:val="0"/>
              <w:rPr>
                <w:rFonts w:hint="eastAsia"/>
                <w:color w:val="auto"/>
              </w:rPr>
            </w:pPr>
            <w:r>
              <w:rPr>
                <w:rFonts w:hint="eastAsia"/>
                <w:color w:val="auto"/>
              </w:rPr>
              <w:t>门卫岗位实行站岗值班。</w:t>
            </w:r>
          </w:p>
        </w:tc>
        <w:tc>
          <w:tcPr>
            <w:tcW w:w="774" w:type="dxa"/>
            <w:vAlign w:val="center"/>
          </w:tcPr>
          <w:p w14:paraId="68A7759E">
            <w:pPr>
              <w:bidi w:val="0"/>
              <w:jc w:val="center"/>
              <w:rPr>
                <w:rFonts w:hint="default"/>
                <w:color w:val="auto"/>
                <w:lang w:val="en-US" w:eastAsia="zh-CN"/>
              </w:rPr>
            </w:pPr>
            <w:r>
              <w:rPr>
                <w:rFonts w:hint="eastAsia"/>
                <w:color w:val="auto"/>
                <w:lang w:val="en-US" w:eastAsia="zh-CN"/>
              </w:rPr>
              <w:t>2</w:t>
            </w:r>
          </w:p>
        </w:tc>
        <w:tc>
          <w:tcPr>
            <w:tcW w:w="760" w:type="dxa"/>
            <w:vAlign w:val="center"/>
          </w:tcPr>
          <w:p w14:paraId="438AD8C3">
            <w:pPr>
              <w:bidi w:val="0"/>
              <w:jc w:val="center"/>
              <w:rPr>
                <w:color w:val="auto"/>
              </w:rPr>
            </w:pPr>
          </w:p>
        </w:tc>
        <w:tc>
          <w:tcPr>
            <w:tcW w:w="2773" w:type="dxa"/>
            <w:vAlign w:val="center"/>
          </w:tcPr>
          <w:p w14:paraId="57ED562A">
            <w:pPr>
              <w:bidi w:val="0"/>
              <w:jc w:val="left"/>
              <w:rPr>
                <w:rFonts w:hint="eastAsia"/>
                <w:color w:val="auto"/>
              </w:rPr>
            </w:pPr>
            <w:r>
              <w:rPr>
                <w:rFonts w:hint="eastAsia"/>
                <w:color w:val="auto"/>
              </w:rPr>
              <w:t>门卫岗位未按要求实行站岗值班，扣 2 分。</w:t>
            </w:r>
          </w:p>
        </w:tc>
        <w:tc>
          <w:tcPr>
            <w:tcW w:w="880" w:type="dxa"/>
            <w:vAlign w:val="center"/>
          </w:tcPr>
          <w:p w14:paraId="6D5A440C">
            <w:pPr>
              <w:bidi w:val="0"/>
              <w:jc w:val="center"/>
              <w:rPr>
                <w:color w:val="auto"/>
              </w:rPr>
            </w:pPr>
          </w:p>
        </w:tc>
      </w:tr>
      <w:tr w14:paraId="61245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5E159196">
            <w:pPr>
              <w:bidi w:val="0"/>
              <w:jc w:val="center"/>
              <w:rPr>
                <w:color w:val="auto"/>
              </w:rPr>
            </w:pPr>
          </w:p>
        </w:tc>
        <w:tc>
          <w:tcPr>
            <w:tcW w:w="547" w:type="dxa"/>
            <w:vAlign w:val="center"/>
          </w:tcPr>
          <w:p w14:paraId="21A42536">
            <w:pPr>
              <w:bidi w:val="0"/>
              <w:jc w:val="center"/>
              <w:rPr>
                <w:rFonts w:hint="default"/>
                <w:color w:val="auto"/>
                <w:lang w:val="en-US" w:eastAsia="zh-CN"/>
              </w:rPr>
            </w:pPr>
            <w:r>
              <w:rPr>
                <w:rFonts w:hint="eastAsia"/>
                <w:color w:val="auto"/>
                <w:lang w:val="en-US" w:eastAsia="zh-CN"/>
              </w:rPr>
              <w:t>3</w:t>
            </w:r>
          </w:p>
        </w:tc>
        <w:tc>
          <w:tcPr>
            <w:tcW w:w="2906" w:type="dxa"/>
            <w:vAlign w:val="center"/>
          </w:tcPr>
          <w:p w14:paraId="6992AE08">
            <w:pPr>
              <w:bidi w:val="0"/>
              <w:rPr>
                <w:rFonts w:hint="eastAsia"/>
                <w:color w:val="auto"/>
              </w:rPr>
            </w:pPr>
            <w:r>
              <w:rPr>
                <w:rFonts w:hint="eastAsia"/>
                <w:color w:val="auto"/>
              </w:rPr>
              <w:t>严格执行来访人员登记制度， 查验进出校园人员证件应先敬礼，使用礼貌用语，文明执勤</w:t>
            </w:r>
          </w:p>
        </w:tc>
        <w:tc>
          <w:tcPr>
            <w:tcW w:w="774" w:type="dxa"/>
            <w:vAlign w:val="center"/>
          </w:tcPr>
          <w:p w14:paraId="2E149CFF">
            <w:pPr>
              <w:bidi w:val="0"/>
              <w:jc w:val="center"/>
              <w:rPr>
                <w:rFonts w:hint="default"/>
                <w:color w:val="auto"/>
                <w:lang w:val="en-US" w:eastAsia="zh-CN"/>
              </w:rPr>
            </w:pPr>
            <w:r>
              <w:rPr>
                <w:rFonts w:hint="eastAsia"/>
                <w:color w:val="auto"/>
                <w:lang w:val="en-US" w:eastAsia="zh-CN"/>
              </w:rPr>
              <w:t>2</w:t>
            </w:r>
          </w:p>
        </w:tc>
        <w:tc>
          <w:tcPr>
            <w:tcW w:w="760" w:type="dxa"/>
            <w:vAlign w:val="center"/>
          </w:tcPr>
          <w:p w14:paraId="4753664A">
            <w:pPr>
              <w:bidi w:val="0"/>
              <w:jc w:val="center"/>
              <w:rPr>
                <w:color w:val="auto"/>
              </w:rPr>
            </w:pPr>
          </w:p>
        </w:tc>
        <w:tc>
          <w:tcPr>
            <w:tcW w:w="2773" w:type="dxa"/>
            <w:vAlign w:val="center"/>
          </w:tcPr>
          <w:p w14:paraId="306E849D">
            <w:pPr>
              <w:bidi w:val="0"/>
              <w:jc w:val="left"/>
              <w:rPr>
                <w:rFonts w:hint="eastAsia"/>
                <w:color w:val="auto"/>
              </w:rPr>
            </w:pPr>
            <w:r>
              <w:rPr>
                <w:rFonts w:hint="eastAsia"/>
                <w:color w:val="auto"/>
              </w:rPr>
              <w:t>未严格执行来访人员登记制度，扣 1 分；查验进出校园人员证件时未做到先敬礼，使用礼貌用语，文明执勤，扣 1 分。</w:t>
            </w:r>
          </w:p>
        </w:tc>
        <w:tc>
          <w:tcPr>
            <w:tcW w:w="880" w:type="dxa"/>
            <w:vAlign w:val="center"/>
          </w:tcPr>
          <w:p w14:paraId="3240086A">
            <w:pPr>
              <w:bidi w:val="0"/>
              <w:jc w:val="center"/>
              <w:rPr>
                <w:color w:val="auto"/>
              </w:rPr>
            </w:pPr>
          </w:p>
        </w:tc>
      </w:tr>
      <w:tr w14:paraId="449A5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7DB87137">
            <w:pPr>
              <w:bidi w:val="0"/>
              <w:jc w:val="center"/>
              <w:rPr>
                <w:color w:val="auto"/>
              </w:rPr>
            </w:pPr>
          </w:p>
        </w:tc>
        <w:tc>
          <w:tcPr>
            <w:tcW w:w="547" w:type="dxa"/>
            <w:vAlign w:val="center"/>
          </w:tcPr>
          <w:p w14:paraId="3AFC1D85">
            <w:pPr>
              <w:bidi w:val="0"/>
              <w:jc w:val="center"/>
              <w:rPr>
                <w:rFonts w:hint="default"/>
                <w:color w:val="auto"/>
                <w:lang w:val="en-US" w:eastAsia="zh-CN"/>
              </w:rPr>
            </w:pPr>
            <w:r>
              <w:rPr>
                <w:rFonts w:hint="eastAsia"/>
                <w:color w:val="auto"/>
                <w:lang w:val="en-US" w:eastAsia="zh-CN"/>
              </w:rPr>
              <w:t>4</w:t>
            </w:r>
          </w:p>
        </w:tc>
        <w:tc>
          <w:tcPr>
            <w:tcW w:w="2906" w:type="dxa"/>
            <w:vAlign w:val="center"/>
          </w:tcPr>
          <w:p w14:paraId="7D84E36D">
            <w:pPr>
              <w:bidi w:val="0"/>
              <w:rPr>
                <w:rFonts w:hint="eastAsia"/>
                <w:color w:val="auto"/>
              </w:rPr>
            </w:pPr>
            <w:r>
              <w:rPr>
                <w:rFonts w:hint="eastAsia"/>
                <w:color w:val="auto"/>
              </w:rPr>
              <w:t>接到校园及周边涉及师生员工的交通事故报告，需及时报警并报告值班干部。</w:t>
            </w:r>
          </w:p>
        </w:tc>
        <w:tc>
          <w:tcPr>
            <w:tcW w:w="774" w:type="dxa"/>
            <w:vAlign w:val="center"/>
          </w:tcPr>
          <w:p w14:paraId="72997377">
            <w:pPr>
              <w:bidi w:val="0"/>
              <w:jc w:val="center"/>
              <w:rPr>
                <w:rFonts w:hint="default"/>
                <w:color w:val="auto"/>
                <w:lang w:val="en-US" w:eastAsia="zh-CN"/>
              </w:rPr>
            </w:pPr>
            <w:r>
              <w:rPr>
                <w:rFonts w:hint="eastAsia"/>
                <w:color w:val="auto"/>
                <w:lang w:val="en-US" w:eastAsia="zh-CN"/>
              </w:rPr>
              <w:t>2</w:t>
            </w:r>
          </w:p>
        </w:tc>
        <w:tc>
          <w:tcPr>
            <w:tcW w:w="760" w:type="dxa"/>
            <w:vAlign w:val="center"/>
          </w:tcPr>
          <w:p w14:paraId="2F750215">
            <w:pPr>
              <w:bidi w:val="0"/>
              <w:jc w:val="center"/>
              <w:rPr>
                <w:color w:val="auto"/>
              </w:rPr>
            </w:pPr>
          </w:p>
        </w:tc>
        <w:tc>
          <w:tcPr>
            <w:tcW w:w="2773" w:type="dxa"/>
            <w:vAlign w:val="center"/>
          </w:tcPr>
          <w:p w14:paraId="301CE7A2">
            <w:pPr>
              <w:bidi w:val="0"/>
              <w:jc w:val="left"/>
              <w:rPr>
                <w:rFonts w:hint="eastAsia"/>
                <w:color w:val="auto"/>
              </w:rPr>
            </w:pPr>
            <w:r>
              <w:rPr>
                <w:rFonts w:hint="eastAsia"/>
                <w:color w:val="auto"/>
              </w:rPr>
              <w:t>接到校园及周边涉及师生员工的交通事故报告，未及时报警报告，扣 2 分。</w:t>
            </w:r>
          </w:p>
        </w:tc>
        <w:tc>
          <w:tcPr>
            <w:tcW w:w="880" w:type="dxa"/>
            <w:vAlign w:val="center"/>
          </w:tcPr>
          <w:p w14:paraId="44173762">
            <w:pPr>
              <w:bidi w:val="0"/>
              <w:jc w:val="center"/>
              <w:rPr>
                <w:color w:val="auto"/>
              </w:rPr>
            </w:pPr>
          </w:p>
        </w:tc>
      </w:tr>
      <w:tr w14:paraId="643BC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289DD1D1">
            <w:pPr>
              <w:bidi w:val="0"/>
              <w:jc w:val="center"/>
              <w:rPr>
                <w:color w:val="auto"/>
              </w:rPr>
            </w:pPr>
          </w:p>
        </w:tc>
        <w:tc>
          <w:tcPr>
            <w:tcW w:w="547" w:type="dxa"/>
            <w:vAlign w:val="center"/>
          </w:tcPr>
          <w:p w14:paraId="4B4E1EB8">
            <w:pPr>
              <w:bidi w:val="0"/>
              <w:jc w:val="center"/>
              <w:rPr>
                <w:rFonts w:hint="default"/>
                <w:color w:val="auto"/>
                <w:lang w:val="en-US" w:eastAsia="zh-CN"/>
              </w:rPr>
            </w:pPr>
            <w:r>
              <w:rPr>
                <w:rFonts w:hint="eastAsia"/>
                <w:color w:val="auto"/>
                <w:lang w:val="en-US" w:eastAsia="zh-CN"/>
              </w:rPr>
              <w:t>5</w:t>
            </w:r>
          </w:p>
        </w:tc>
        <w:tc>
          <w:tcPr>
            <w:tcW w:w="2906" w:type="dxa"/>
            <w:vAlign w:val="center"/>
          </w:tcPr>
          <w:p w14:paraId="7FD68C7C">
            <w:pPr>
              <w:bidi w:val="0"/>
              <w:rPr>
                <w:rFonts w:hint="eastAsia" w:eastAsiaTheme="minorEastAsia"/>
                <w:color w:val="auto"/>
                <w:lang w:val="en-US" w:eastAsia="zh-CN"/>
              </w:rPr>
            </w:pPr>
            <w:r>
              <w:rPr>
                <w:rFonts w:hint="eastAsia" w:eastAsiaTheme="minorEastAsia"/>
                <w:color w:val="auto"/>
                <w:lang w:val="en-US" w:eastAsia="zh-CN"/>
              </w:rPr>
              <w:t>对违反校园交通管理规定的车辆，需报交警部门处理的， 应及时报告值班干部。</w:t>
            </w:r>
          </w:p>
        </w:tc>
        <w:tc>
          <w:tcPr>
            <w:tcW w:w="774" w:type="dxa"/>
            <w:vAlign w:val="center"/>
          </w:tcPr>
          <w:p w14:paraId="4EA107F3">
            <w:pPr>
              <w:bidi w:val="0"/>
              <w:jc w:val="center"/>
              <w:rPr>
                <w:rFonts w:hint="default"/>
                <w:color w:val="auto"/>
                <w:lang w:val="en-US" w:eastAsia="zh-CN"/>
              </w:rPr>
            </w:pPr>
            <w:r>
              <w:rPr>
                <w:rFonts w:hint="eastAsia"/>
                <w:color w:val="auto"/>
                <w:lang w:val="en-US" w:eastAsia="zh-CN"/>
              </w:rPr>
              <w:t>2</w:t>
            </w:r>
          </w:p>
        </w:tc>
        <w:tc>
          <w:tcPr>
            <w:tcW w:w="760" w:type="dxa"/>
            <w:vAlign w:val="center"/>
          </w:tcPr>
          <w:p w14:paraId="5DB39F39">
            <w:pPr>
              <w:bidi w:val="0"/>
              <w:jc w:val="center"/>
              <w:rPr>
                <w:color w:val="auto"/>
              </w:rPr>
            </w:pPr>
          </w:p>
        </w:tc>
        <w:tc>
          <w:tcPr>
            <w:tcW w:w="2773" w:type="dxa"/>
            <w:vAlign w:val="center"/>
          </w:tcPr>
          <w:p w14:paraId="184128A1">
            <w:pPr>
              <w:bidi w:val="0"/>
              <w:jc w:val="left"/>
              <w:rPr>
                <w:rFonts w:hint="eastAsia"/>
                <w:color w:val="auto"/>
              </w:rPr>
            </w:pPr>
            <w:r>
              <w:rPr>
                <w:rFonts w:hint="eastAsia"/>
                <w:color w:val="auto"/>
              </w:rPr>
              <w:t>对违反校园交通管理规定的车辆，需报交警部门处理，未及时报告，扣 2 分。</w:t>
            </w:r>
          </w:p>
        </w:tc>
        <w:tc>
          <w:tcPr>
            <w:tcW w:w="880" w:type="dxa"/>
            <w:vAlign w:val="center"/>
          </w:tcPr>
          <w:p w14:paraId="3FF65C12">
            <w:pPr>
              <w:bidi w:val="0"/>
              <w:jc w:val="center"/>
              <w:rPr>
                <w:color w:val="auto"/>
              </w:rPr>
            </w:pPr>
          </w:p>
        </w:tc>
      </w:tr>
      <w:tr w14:paraId="740D5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3BC67D15">
            <w:pPr>
              <w:bidi w:val="0"/>
              <w:jc w:val="center"/>
              <w:rPr>
                <w:color w:val="auto"/>
              </w:rPr>
            </w:pPr>
          </w:p>
        </w:tc>
        <w:tc>
          <w:tcPr>
            <w:tcW w:w="547" w:type="dxa"/>
            <w:vAlign w:val="center"/>
          </w:tcPr>
          <w:p w14:paraId="4DD28F64">
            <w:pPr>
              <w:bidi w:val="0"/>
              <w:jc w:val="center"/>
              <w:rPr>
                <w:rFonts w:hint="default"/>
                <w:color w:val="auto"/>
                <w:lang w:val="en-US" w:eastAsia="zh-CN"/>
              </w:rPr>
            </w:pPr>
            <w:r>
              <w:rPr>
                <w:rFonts w:hint="eastAsia"/>
                <w:color w:val="auto"/>
                <w:lang w:val="en-US" w:eastAsia="zh-CN"/>
              </w:rPr>
              <w:t>6</w:t>
            </w:r>
          </w:p>
        </w:tc>
        <w:tc>
          <w:tcPr>
            <w:tcW w:w="2906" w:type="dxa"/>
            <w:vAlign w:val="center"/>
          </w:tcPr>
          <w:p w14:paraId="115DB191">
            <w:pPr>
              <w:bidi w:val="0"/>
              <w:rPr>
                <w:rFonts w:hint="eastAsia"/>
                <w:color w:val="auto"/>
              </w:rPr>
            </w:pPr>
            <w:r>
              <w:rPr>
                <w:rFonts w:hint="eastAsia"/>
                <w:color w:val="auto"/>
              </w:rPr>
              <w:t>配合做好校园的交通指挥，重要活动期间做好交通疏导工作。</w:t>
            </w:r>
          </w:p>
        </w:tc>
        <w:tc>
          <w:tcPr>
            <w:tcW w:w="774" w:type="dxa"/>
            <w:vAlign w:val="center"/>
          </w:tcPr>
          <w:p w14:paraId="016A17F0">
            <w:pPr>
              <w:bidi w:val="0"/>
              <w:jc w:val="center"/>
              <w:rPr>
                <w:rFonts w:hint="default"/>
                <w:color w:val="auto"/>
                <w:lang w:val="en-US" w:eastAsia="zh-CN"/>
              </w:rPr>
            </w:pPr>
            <w:r>
              <w:rPr>
                <w:rFonts w:hint="eastAsia"/>
                <w:color w:val="auto"/>
                <w:lang w:val="en-US" w:eastAsia="zh-CN"/>
              </w:rPr>
              <w:t>1</w:t>
            </w:r>
          </w:p>
        </w:tc>
        <w:tc>
          <w:tcPr>
            <w:tcW w:w="760" w:type="dxa"/>
            <w:vAlign w:val="center"/>
          </w:tcPr>
          <w:p w14:paraId="1825B0C9">
            <w:pPr>
              <w:bidi w:val="0"/>
              <w:jc w:val="center"/>
              <w:rPr>
                <w:color w:val="auto"/>
              </w:rPr>
            </w:pPr>
          </w:p>
        </w:tc>
        <w:tc>
          <w:tcPr>
            <w:tcW w:w="2773" w:type="dxa"/>
            <w:vAlign w:val="center"/>
          </w:tcPr>
          <w:p w14:paraId="1BC24EF9">
            <w:pPr>
              <w:bidi w:val="0"/>
              <w:jc w:val="left"/>
              <w:rPr>
                <w:rFonts w:hint="eastAsia"/>
                <w:color w:val="auto"/>
              </w:rPr>
            </w:pPr>
            <w:r>
              <w:rPr>
                <w:rFonts w:hint="eastAsia"/>
                <w:color w:val="auto"/>
              </w:rPr>
              <w:t>未积极配合做好校园的交通指挥，重要活动期间做好交通疏导工作，扣 1 分。</w:t>
            </w:r>
          </w:p>
        </w:tc>
        <w:tc>
          <w:tcPr>
            <w:tcW w:w="880" w:type="dxa"/>
            <w:vAlign w:val="center"/>
          </w:tcPr>
          <w:p w14:paraId="631A5309">
            <w:pPr>
              <w:bidi w:val="0"/>
              <w:jc w:val="center"/>
              <w:rPr>
                <w:color w:val="auto"/>
              </w:rPr>
            </w:pPr>
          </w:p>
        </w:tc>
      </w:tr>
      <w:tr w14:paraId="5793F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253" w:type="dxa"/>
            <w:vMerge w:val="continue"/>
            <w:vAlign w:val="center"/>
          </w:tcPr>
          <w:p w14:paraId="2218D19D">
            <w:pPr>
              <w:bidi w:val="0"/>
              <w:jc w:val="center"/>
              <w:rPr>
                <w:color w:val="auto"/>
              </w:rPr>
            </w:pPr>
          </w:p>
        </w:tc>
        <w:tc>
          <w:tcPr>
            <w:tcW w:w="547" w:type="dxa"/>
            <w:vAlign w:val="center"/>
          </w:tcPr>
          <w:p w14:paraId="2B833437">
            <w:pPr>
              <w:bidi w:val="0"/>
              <w:jc w:val="center"/>
              <w:rPr>
                <w:rFonts w:hint="default"/>
                <w:color w:val="auto"/>
                <w:lang w:val="en-US" w:eastAsia="zh-CN"/>
              </w:rPr>
            </w:pPr>
            <w:r>
              <w:rPr>
                <w:rFonts w:hint="eastAsia"/>
                <w:color w:val="auto"/>
                <w:lang w:val="en-US" w:eastAsia="zh-CN"/>
              </w:rPr>
              <w:t>7</w:t>
            </w:r>
          </w:p>
        </w:tc>
        <w:tc>
          <w:tcPr>
            <w:tcW w:w="2906" w:type="dxa"/>
            <w:vAlign w:val="center"/>
          </w:tcPr>
          <w:p w14:paraId="58A93641">
            <w:pPr>
              <w:bidi w:val="0"/>
              <w:rPr>
                <w:rFonts w:hint="eastAsia"/>
                <w:color w:val="auto"/>
              </w:rPr>
            </w:pPr>
            <w:r>
              <w:rPr>
                <w:rFonts w:hint="eastAsia"/>
                <w:color w:val="auto"/>
              </w:rPr>
              <w:t>保护交通事故现场，报告并协助交警部门处理交通事故。</w:t>
            </w:r>
          </w:p>
        </w:tc>
        <w:tc>
          <w:tcPr>
            <w:tcW w:w="774" w:type="dxa"/>
            <w:vAlign w:val="center"/>
          </w:tcPr>
          <w:p w14:paraId="04B282B1">
            <w:pPr>
              <w:bidi w:val="0"/>
              <w:jc w:val="center"/>
              <w:rPr>
                <w:rFonts w:hint="default"/>
                <w:color w:val="auto"/>
                <w:lang w:val="en-US" w:eastAsia="zh-CN"/>
              </w:rPr>
            </w:pPr>
            <w:r>
              <w:rPr>
                <w:rFonts w:hint="eastAsia"/>
                <w:color w:val="auto"/>
                <w:lang w:val="en-US" w:eastAsia="zh-CN"/>
              </w:rPr>
              <w:t>1</w:t>
            </w:r>
          </w:p>
        </w:tc>
        <w:tc>
          <w:tcPr>
            <w:tcW w:w="760" w:type="dxa"/>
            <w:vAlign w:val="center"/>
          </w:tcPr>
          <w:p w14:paraId="10EA69D0">
            <w:pPr>
              <w:bidi w:val="0"/>
              <w:jc w:val="center"/>
              <w:rPr>
                <w:color w:val="auto"/>
              </w:rPr>
            </w:pPr>
          </w:p>
        </w:tc>
        <w:tc>
          <w:tcPr>
            <w:tcW w:w="2773" w:type="dxa"/>
            <w:vAlign w:val="center"/>
          </w:tcPr>
          <w:p w14:paraId="354B636B">
            <w:pPr>
              <w:bidi w:val="0"/>
              <w:jc w:val="left"/>
              <w:rPr>
                <w:rFonts w:hint="eastAsia"/>
                <w:color w:val="auto"/>
              </w:rPr>
            </w:pPr>
            <w:r>
              <w:rPr>
                <w:rFonts w:hint="eastAsia"/>
                <w:color w:val="auto"/>
              </w:rPr>
              <w:t>未按要求保护交通事故现场， 报告并协助交警部门处理交通事故，扣 1 分。</w:t>
            </w:r>
          </w:p>
        </w:tc>
        <w:tc>
          <w:tcPr>
            <w:tcW w:w="880" w:type="dxa"/>
            <w:vAlign w:val="center"/>
          </w:tcPr>
          <w:p w14:paraId="2BC3845E">
            <w:pPr>
              <w:bidi w:val="0"/>
              <w:jc w:val="center"/>
              <w:rPr>
                <w:color w:val="auto"/>
              </w:rPr>
            </w:pPr>
          </w:p>
        </w:tc>
      </w:tr>
      <w:tr w14:paraId="399B0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6548B6E9">
            <w:pPr>
              <w:bidi w:val="0"/>
              <w:jc w:val="center"/>
              <w:rPr>
                <w:color w:val="auto"/>
              </w:rPr>
            </w:pPr>
          </w:p>
        </w:tc>
        <w:tc>
          <w:tcPr>
            <w:tcW w:w="547" w:type="dxa"/>
            <w:vAlign w:val="center"/>
          </w:tcPr>
          <w:p w14:paraId="30FFF705">
            <w:pPr>
              <w:bidi w:val="0"/>
              <w:jc w:val="center"/>
              <w:rPr>
                <w:rFonts w:hint="default"/>
                <w:color w:val="auto"/>
                <w:lang w:val="en-US" w:eastAsia="zh-CN"/>
              </w:rPr>
            </w:pPr>
            <w:r>
              <w:rPr>
                <w:rFonts w:hint="eastAsia"/>
                <w:color w:val="auto"/>
                <w:lang w:val="en-US" w:eastAsia="zh-CN"/>
              </w:rPr>
              <w:t>8</w:t>
            </w:r>
          </w:p>
        </w:tc>
        <w:tc>
          <w:tcPr>
            <w:tcW w:w="2906" w:type="dxa"/>
            <w:vAlign w:val="center"/>
          </w:tcPr>
          <w:p w14:paraId="6FE800EB">
            <w:pPr>
              <w:bidi w:val="0"/>
              <w:rPr>
                <w:rFonts w:hint="eastAsia"/>
                <w:color w:val="auto"/>
              </w:rPr>
            </w:pPr>
            <w:r>
              <w:rPr>
                <w:rFonts w:hint="eastAsia"/>
                <w:color w:val="auto"/>
              </w:rPr>
              <w:t>禁止无牌、无证车辆进入校园行驶。</w:t>
            </w:r>
          </w:p>
        </w:tc>
        <w:tc>
          <w:tcPr>
            <w:tcW w:w="774" w:type="dxa"/>
            <w:vAlign w:val="center"/>
          </w:tcPr>
          <w:p w14:paraId="2F64E523">
            <w:pPr>
              <w:bidi w:val="0"/>
              <w:jc w:val="center"/>
              <w:rPr>
                <w:rFonts w:hint="default"/>
                <w:color w:val="auto"/>
                <w:lang w:val="en-US" w:eastAsia="zh-CN"/>
              </w:rPr>
            </w:pPr>
            <w:r>
              <w:rPr>
                <w:rFonts w:hint="eastAsia"/>
                <w:color w:val="auto"/>
                <w:lang w:val="en-US" w:eastAsia="zh-CN"/>
              </w:rPr>
              <w:t>2</w:t>
            </w:r>
          </w:p>
        </w:tc>
        <w:tc>
          <w:tcPr>
            <w:tcW w:w="760" w:type="dxa"/>
            <w:vAlign w:val="center"/>
          </w:tcPr>
          <w:p w14:paraId="6FB477A2">
            <w:pPr>
              <w:bidi w:val="0"/>
              <w:jc w:val="center"/>
              <w:rPr>
                <w:color w:val="auto"/>
              </w:rPr>
            </w:pPr>
          </w:p>
        </w:tc>
        <w:tc>
          <w:tcPr>
            <w:tcW w:w="2773" w:type="dxa"/>
            <w:vAlign w:val="center"/>
          </w:tcPr>
          <w:p w14:paraId="7DBE8C79">
            <w:pPr>
              <w:bidi w:val="0"/>
              <w:jc w:val="left"/>
              <w:rPr>
                <w:rFonts w:hint="eastAsia"/>
                <w:color w:val="auto"/>
              </w:rPr>
            </w:pPr>
            <w:r>
              <w:rPr>
                <w:rFonts w:hint="eastAsia"/>
                <w:color w:val="auto"/>
              </w:rPr>
              <w:t>擅自放行无牌、无证车辆进入校园行驶，扣 2 分。</w:t>
            </w:r>
          </w:p>
        </w:tc>
        <w:tc>
          <w:tcPr>
            <w:tcW w:w="880" w:type="dxa"/>
            <w:vAlign w:val="center"/>
          </w:tcPr>
          <w:p w14:paraId="3F787FE3">
            <w:pPr>
              <w:bidi w:val="0"/>
              <w:jc w:val="center"/>
              <w:rPr>
                <w:color w:val="auto"/>
              </w:rPr>
            </w:pPr>
          </w:p>
        </w:tc>
      </w:tr>
      <w:tr w14:paraId="4CD25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253" w:type="dxa"/>
            <w:vMerge w:val="continue"/>
            <w:vAlign w:val="center"/>
          </w:tcPr>
          <w:p w14:paraId="19CB7A3A">
            <w:pPr>
              <w:bidi w:val="0"/>
              <w:jc w:val="center"/>
              <w:rPr>
                <w:color w:val="auto"/>
              </w:rPr>
            </w:pPr>
          </w:p>
        </w:tc>
        <w:tc>
          <w:tcPr>
            <w:tcW w:w="547" w:type="dxa"/>
            <w:vAlign w:val="center"/>
          </w:tcPr>
          <w:p w14:paraId="77EA274F">
            <w:pPr>
              <w:bidi w:val="0"/>
              <w:jc w:val="center"/>
              <w:rPr>
                <w:rFonts w:hint="default"/>
                <w:color w:val="auto"/>
                <w:lang w:val="en-US" w:eastAsia="zh-CN"/>
              </w:rPr>
            </w:pPr>
            <w:r>
              <w:rPr>
                <w:rFonts w:hint="eastAsia"/>
                <w:color w:val="auto"/>
                <w:lang w:val="en-US" w:eastAsia="zh-CN"/>
              </w:rPr>
              <w:t>9</w:t>
            </w:r>
          </w:p>
        </w:tc>
        <w:tc>
          <w:tcPr>
            <w:tcW w:w="2906" w:type="dxa"/>
            <w:vAlign w:val="center"/>
          </w:tcPr>
          <w:p w14:paraId="462A2E6D">
            <w:pPr>
              <w:bidi w:val="0"/>
              <w:rPr>
                <w:rFonts w:hint="eastAsia"/>
                <w:color w:val="auto"/>
              </w:rPr>
            </w:pPr>
            <w:r>
              <w:rPr>
                <w:rFonts w:hint="eastAsia"/>
                <w:color w:val="auto"/>
              </w:rPr>
              <w:t>严格按照学校要求做好校门管理工作，禁止未报备的校外车辆、人员进入校园；禁止未报</w:t>
            </w:r>
          </w:p>
          <w:p w14:paraId="1210275C">
            <w:pPr>
              <w:bidi w:val="0"/>
              <w:rPr>
                <w:rFonts w:hint="eastAsia"/>
                <w:color w:val="auto"/>
              </w:rPr>
            </w:pPr>
            <w:r>
              <w:rPr>
                <w:rFonts w:hint="eastAsia"/>
                <w:color w:val="auto"/>
              </w:rPr>
              <w:t>备的货物、设备等运离校园。</w:t>
            </w:r>
          </w:p>
        </w:tc>
        <w:tc>
          <w:tcPr>
            <w:tcW w:w="774" w:type="dxa"/>
            <w:vAlign w:val="center"/>
          </w:tcPr>
          <w:p w14:paraId="5B8B240A">
            <w:pPr>
              <w:bidi w:val="0"/>
              <w:jc w:val="center"/>
              <w:rPr>
                <w:rFonts w:hint="default"/>
                <w:color w:val="auto"/>
                <w:lang w:val="en-US" w:eastAsia="zh-CN"/>
              </w:rPr>
            </w:pPr>
            <w:r>
              <w:rPr>
                <w:rFonts w:hint="eastAsia"/>
                <w:color w:val="auto"/>
                <w:lang w:val="en-US" w:eastAsia="zh-CN"/>
              </w:rPr>
              <w:t>6</w:t>
            </w:r>
          </w:p>
        </w:tc>
        <w:tc>
          <w:tcPr>
            <w:tcW w:w="760" w:type="dxa"/>
            <w:vAlign w:val="center"/>
          </w:tcPr>
          <w:p w14:paraId="05E93DBB">
            <w:pPr>
              <w:bidi w:val="0"/>
              <w:jc w:val="center"/>
              <w:rPr>
                <w:color w:val="auto"/>
              </w:rPr>
            </w:pPr>
          </w:p>
        </w:tc>
        <w:tc>
          <w:tcPr>
            <w:tcW w:w="2773" w:type="dxa"/>
            <w:vAlign w:val="center"/>
          </w:tcPr>
          <w:p w14:paraId="7FF036DE">
            <w:pPr>
              <w:bidi w:val="0"/>
              <w:jc w:val="left"/>
              <w:rPr>
                <w:rFonts w:hint="eastAsia"/>
                <w:color w:val="auto"/>
              </w:rPr>
            </w:pPr>
            <w:r>
              <w:rPr>
                <w:rFonts w:hint="eastAsia"/>
                <w:color w:val="auto"/>
              </w:rPr>
              <w:t>岗位人员履职不到位让未报备的校外车辆、人员进入校园，扣 3 分；让未报备的货物、</w:t>
            </w:r>
          </w:p>
          <w:p w14:paraId="4A63E2F3">
            <w:pPr>
              <w:bidi w:val="0"/>
              <w:jc w:val="left"/>
              <w:rPr>
                <w:rFonts w:hint="eastAsia"/>
                <w:color w:val="auto"/>
              </w:rPr>
            </w:pPr>
            <w:r>
              <w:rPr>
                <w:rFonts w:hint="eastAsia"/>
                <w:color w:val="auto"/>
              </w:rPr>
              <w:t>设备等运离校园，扣 3 分。</w:t>
            </w:r>
          </w:p>
        </w:tc>
        <w:tc>
          <w:tcPr>
            <w:tcW w:w="880" w:type="dxa"/>
            <w:vAlign w:val="center"/>
          </w:tcPr>
          <w:p w14:paraId="6CD93114">
            <w:pPr>
              <w:bidi w:val="0"/>
              <w:jc w:val="center"/>
              <w:rPr>
                <w:color w:val="auto"/>
              </w:rPr>
            </w:pPr>
          </w:p>
        </w:tc>
      </w:tr>
    </w:tbl>
    <w:p w14:paraId="56AF44DD">
      <w:pPr>
        <w:rPr>
          <w:color w:val="auto"/>
          <w:sz w:val="24"/>
          <w:szCs w:val="24"/>
        </w:rPr>
      </w:pPr>
    </w:p>
    <w:p w14:paraId="445C19EA">
      <w:pPr>
        <w:rPr>
          <w:color w:val="auto"/>
          <w:sz w:val="24"/>
          <w:szCs w:val="24"/>
        </w:rPr>
      </w:pPr>
    </w:p>
    <w:p w14:paraId="1092EA62">
      <w:pPr>
        <w:rPr>
          <w:color w:val="auto"/>
          <w:sz w:val="24"/>
          <w:szCs w:val="24"/>
        </w:rPr>
      </w:pPr>
    </w:p>
    <w:p w14:paraId="4381AE0E">
      <w:pPr>
        <w:rPr>
          <w:color w:val="auto"/>
          <w:sz w:val="24"/>
          <w:szCs w:val="24"/>
        </w:rPr>
      </w:pPr>
    </w:p>
    <w:tbl>
      <w:tblPr>
        <w:tblStyle w:val="4"/>
        <w:tblW w:w="9893" w:type="dxa"/>
        <w:tblInd w:w="-6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53"/>
        <w:gridCol w:w="547"/>
        <w:gridCol w:w="2906"/>
        <w:gridCol w:w="774"/>
        <w:gridCol w:w="760"/>
        <w:gridCol w:w="2666"/>
        <w:gridCol w:w="987"/>
      </w:tblGrid>
      <w:tr w14:paraId="323B6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9893" w:type="dxa"/>
            <w:gridSpan w:val="7"/>
            <w:vAlign w:val="center"/>
          </w:tcPr>
          <w:p w14:paraId="22D502B6">
            <w:pPr>
              <w:bidi w:val="0"/>
              <w:jc w:val="both"/>
              <w:rPr>
                <w:color w:val="auto"/>
              </w:rPr>
            </w:pPr>
            <w:r>
              <w:rPr>
                <w:rFonts w:hint="eastAsia"/>
                <w:b/>
                <w:bCs/>
                <w:color w:val="auto"/>
                <w:sz w:val="24"/>
                <w:szCs w:val="24"/>
              </w:rPr>
              <w:t>学院天河校区、南苑、北苑和海珠校区安保服务管理</w:t>
            </w:r>
            <w:r>
              <w:rPr>
                <w:rFonts w:hint="eastAsia"/>
                <w:b/>
                <w:bCs/>
                <w:color w:val="auto"/>
                <w:sz w:val="24"/>
                <w:szCs w:val="24"/>
                <w:lang w:val="en-US" w:eastAsia="zh-CN"/>
              </w:rPr>
              <w:t>月度</w:t>
            </w:r>
            <w:r>
              <w:rPr>
                <w:rFonts w:hint="eastAsia"/>
                <w:b/>
                <w:bCs/>
                <w:color w:val="auto"/>
                <w:sz w:val="24"/>
                <w:szCs w:val="24"/>
              </w:rPr>
              <w:t>考核评分表</w:t>
            </w:r>
          </w:p>
        </w:tc>
      </w:tr>
      <w:tr w14:paraId="4C0B8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Align w:val="center"/>
          </w:tcPr>
          <w:p w14:paraId="42CB84E2">
            <w:pPr>
              <w:bidi w:val="0"/>
              <w:jc w:val="center"/>
              <w:rPr>
                <w:rFonts w:hint="default"/>
                <w:color w:val="auto"/>
                <w:lang w:val="en-US" w:eastAsia="zh-CN"/>
              </w:rPr>
            </w:pPr>
            <w:r>
              <w:rPr>
                <w:rFonts w:hint="eastAsia"/>
                <w:color w:val="auto"/>
                <w:lang w:val="en-US" w:eastAsia="zh-CN"/>
              </w:rPr>
              <w:t>考核项目</w:t>
            </w:r>
          </w:p>
        </w:tc>
        <w:tc>
          <w:tcPr>
            <w:tcW w:w="547" w:type="dxa"/>
            <w:vAlign w:val="center"/>
          </w:tcPr>
          <w:p w14:paraId="0333DAEA">
            <w:pPr>
              <w:bidi w:val="0"/>
              <w:jc w:val="center"/>
              <w:rPr>
                <w:rFonts w:hint="default"/>
                <w:color w:val="auto"/>
                <w:lang w:val="en-US" w:eastAsia="zh-CN"/>
              </w:rPr>
            </w:pPr>
            <w:r>
              <w:rPr>
                <w:rFonts w:hint="eastAsia"/>
                <w:color w:val="auto"/>
                <w:lang w:val="en-US" w:eastAsia="zh-CN"/>
              </w:rPr>
              <w:t>序号</w:t>
            </w:r>
          </w:p>
        </w:tc>
        <w:tc>
          <w:tcPr>
            <w:tcW w:w="2906" w:type="dxa"/>
            <w:vAlign w:val="center"/>
          </w:tcPr>
          <w:p w14:paraId="2FA2DCA3">
            <w:pPr>
              <w:bidi w:val="0"/>
              <w:jc w:val="center"/>
              <w:rPr>
                <w:rFonts w:hint="default"/>
                <w:color w:val="auto"/>
                <w:lang w:val="en-US" w:eastAsia="zh-CN"/>
              </w:rPr>
            </w:pPr>
            <w:r>
              <w:rPr>
                <w:rFonts w:hint="eastAsia"/>
                <w:color w:val="auto"/>
                <w:lang w:val="en-US" w:eastAsia="zh-CN"/>
              </w:rPr>
              <w:t>考核内容</w:t>
            </w:r>
          </w:p>
        </w:tc>
        <w:tc>
          <w:tcPr>
            <w:tcW w:w="774" w:type="dxa"/>
            <w:vAlign w:val="center"/>
          </w:tcPr>
          <w:p w14:paraId="2D0E10A5">
            <w:pPr>
              <w:bidi w:val="0"/>
              <w:jc w:val="center"/>
              <w:rPr>
                <w:rFonts w:hint="eastAsia"/>
                <w:color w:val="auto"/>
                <w:lang w:val="en-US" w:eastAsia="zh-CN"/>
              </w:rPr>
            </w:pPr>
            <w:r>
              <w:rPr>
                <w:rFonts w:hint="eastAsia"/>
                <w:color w:val="auto"/>
                <w:lang w:val="en-US" w:eastAsia="zh-CN"/>
              </w:rPr>
              <w:t>分值</w:t>
            </w:r>
          </w:p>
        </w:tc>
        <w:tc>
          <w:tcPr>
            <w:tcW w:w="760" w:type="dxa"/>
            <w:vAlign w:val="center"/>
          </w:tcPr>
          <w:p w14:paraId="6CA29626">
            <w:pPr>
              <w:bidi w:val="0"/>
              <w:jc w:val="center"/>
              <w:rPr>
                <w:color w:val="auto"/>
              </w:rPr>
            </w:pPr>
            <w:r>
              <w:rPr>
                <w:rFonts w:hint="eastAsia"/>
                <w:color w:val="auto"/>
                <w:lang w:val="en-US" w:eastAsia="zh-CN"/>
              </w:rPr>
              <w:t>得分</w:t>
            </w:r>
          </w:p>
        </w:tc>
        <w:tc>
          <w:tcPr>
            <w:tcW w:w="2666" w:type="dxa"/>
            <w:vAlign w:val="center"/>
          </w:tcPr>
          <w:p w14:paraId="55E1C372">
            <w:pPr>
              <w:bidi w:val="0"/>
              <w:jc w:val="center"/>
              <w:rPr>
                <w:color w:val="auto"/>
              </w:rPr>
            </w:pPr>
            <w:r>
              <w:rPr>
                <w:color w:val="auto"/>
              </w:rPr>
              <w:t>扣分参考</w:t>
            </w:r>
          </w:p>
        </w:tc>
        <w:tc>
          <w:tcPr>
            <w:tcW w:w="987" w:type="dxa"/>
            <w:vAlign w:val="center"/>
          </w:tcPr>
          <w:p w14:paraId="57E870E5">
            <w:pPr>
              <w:bidi w:val="0"/>
              <w:jc w:val="center"/>
              <w:rPr>
                <w:color w:val="auto"/>
              </w:rPr>
            </w:pPr>
            <w:r>
              <w:rPr>
                <w:color w:val="auto"/>
              </w:rPr>
              <w:t>扣分</w:t>
            </w:r>
          </w:p>
          <w:p w14:paraId="1C24A076">
            <w:pPr>
              <w:bidi w:val="0"/>
              <w:jc w:val="center"/>
              <w:rPr>
                <w:color w:val="auto"/>
              </w:rPr>
            </w:pPr>
            <w:r>
              <w:rPr>
                <w:color w:val="auto"/>
              </w:rPr>
              <w:t>原因</w:t>
            </w:r>
          </w:p>
        </w:tc>
      </w:tr>
      <w:tr w14:paraId="0E622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Align w:val="center"/>
          </w:tcPr>
          <w:p w14:paraId="5DAA4187">
            <w:pPr>
              <w:bidi w:val="0"/>
              <w:jc w:val="center"/>
              <w:rPr>
                <w:rFonts w:hint="eastAsia"/>
                <w:color w:val="auto"/>
                <w:lang w:val="en-US" w:eastAsia="zh-CN"/>
              </w:rPr>
            </w:pPr>
          </w:p>
        </w:tc>
        <w:tc>
          <w:tcPr>
            <w:tcW w:w="8640" w:type="dxa"/>
            <w:gridSpan w:val="6"/>
            <w:vAlign w:val="center"/>
          </w:tcPr>
          <w:p w14:paraId="503CF31A">
            <w:pPr>
              <w:bidi w:val="0"/>
              <w:jc w:val="left"/>
              <w:rPr>
                <w:rFonts w:hint="eastAsia"/>
                <w:color w:val="auto"/>
              </w:rPr>
            </w:pPr>
            <w:r>
              <w:rPr>
                <w:rFonts w:hint="eastAsia"/>
                <w:color w:val="auto"/>
              </w:rPr>
              <w:t>注：若出现以下情况之一，扣除本项 20 分：因保安公司监管不力、岗位人员履职不到</w:t>
            </w:r>
          </w:p>
          <w:p w14:paraId="4AE65E73">
            <w:pPr>
              <w:bidi w:val="0"/>
              <w:jc w:val="left"/>
              <w:rPr>
                <w:color w:val="auto"/>
              </w:rPr>
            </w:pPr>
            <w:r>
              <w:rPr>
                <w:rFonts w:hint="eastAsia"/>
                <w:color w:val="auto"/>
              </w:rPr>
              <w:t>位发生较大交通安全事故。</w:t>
            </w:r>
          </w:p>
        </w:tc>
      </w:tr>
      <w:tr w14:paraId="52414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restart"/>
            <w:vAlign w:val="center"/>
          </w:tcPr>
          <w:p w14:paraId="4F9E2B43">
            <w:pPr>
              <w:bidi w:val="0"/>
              <w:jc w:val="center"/>
              <w:rPr>
                <w:rFonts w:hint="eastAsia" w:eastAsiaTheme="minorEastAsia"/>
                <w:color w:val="auto"/>
                <w:lang w:eastAsia="zh-CN"/>
              </w:rPr>
            </w:pPr>
            <w:r>
              <w:rPr>
                <w:rFonts w:hint="eastAsia" w:eastAsiaTheme="minorEastAsia"/>
                <w:color w:val="auto"/>
                <w:lang w:eastAsia="zh-CN"/>
              </w:rPr>
              <w:t>（六）校园秩序管理（15 分）</w:t>
            </w:r>
          </w:p>
          <w:p w14:paraId="30D899BD">
            <w:pPr>
              <w:bidi w:val="0"/>
              <w:jc w:val="left"/>
              <w:rPr>
                <w:rFonts w:hint="eastAsia" w:eastAsiaTheme="minorEastAsia"/>
                <w:color w:val="auto"/>
                <w:lang w:eastAsia="zh-CN"/>
              </w:rPr>
            </w:pPr>
          </w:p>
        </w:tc>
        <w:tc>
          <w:tcPr>
            <w:tcW w:w="547" w:type="dxa"/>
            <w:vAlign w:val="center"/>
          </w:tcPr>
          <w:p w14:paraId="26016FC6">
            <w:pPr>
              <w:bidi w:val="0"/>
              <w:jc w:val="center"/>
              <w:rPr>
                <w:rFonts w:hint="eastAsia"/>
                <w:color w:val="auto"/>
                <w:lang w:val="en-US" w:eastAsia="zh-CN"/>
              </w:rPr>
            </w:pPr>
            <w:r>
              <w:rPr>
                <w:rFonts w:hint="eastAsia"/>
                <w:color w:val="auto"/>
                <w:lang w:val="en-US" w:eastAsia="zh-CN"/>
              </w:rPr>
              <w:t>1</w:t>
            </w:r>
          </w:p>
        </w:tc>
        <w:tc>
          <w:tcPr>
            <w:tcW w:w="2906" w:type="dxa"/>
            <w:vAlign w:val="center"/>
          </w:tcPr>
          <w:p w14:paraId="6416ECEB">
            <w:pPr>
              <w:bidi w:val="0"/>
              <w:jc w:val="left"/>
              <w:rPr>
                <w:rFonts w:hint="eastAsia"/>
                <w:color w:val="auto"/>
              </w:rPr>
            </w:pPr>
            <w:r>
              <w:rPr>
                <w:rFonts w:hint="eastAsia"/>
                <w:color w:val="auto"/>
              </w:rPr>
              <w:t>防范邪教等非法组织渗透破坏活动，发现非法活动应及时报告，并协助取证、收缴违法宣</w:t>
            </w:r>
          </w:p>
          <w:p w14:paraId="57637EAE">
            <w:pPr>
              <w:bidi w:val="0"/>
              <w:jc w:val="left"/>
              <w:rPr>
                <w:color w:val="auto"/>
              </w:rPr>
            </w:pPr>
            <w:r>
              <w:rPr>
                <w:rFonts w:hint="eastAsia"/>
                <w:color w:val="auto"/>
              </w:rPr>
              <w:t>传品。</w:t>
            </w:r>
          </w:p>
        </w:tc>
        <w:tc>
          <w:tcPr>
            <w:tcW w:w="774" w:type="dxa"/>
            <w:vAlign w:val="center"/>
          </w:tcPr>
          <w:p w14:paraId="359CEB51">
            <w:pPr>
              <w:bidi w:val="0"/>
              <w:jc w:val="center"/>
              <w:rPr>
                <w:rFonts w:hint="eastAsia"/>
                <w:color w:val="auto"/>
                <w:lang w:val="en-US" w:eastAsia="zh-CN"/>
              </w:rPr>
            </w:pPr>
            <w:r>
              <w:rPr>
                <w:rFonts w:hint="eastAsia"/>
                <w:color w:val="auto"/>
                <w:lang w:val="en-US" w:eastAsia="zh-CN"/>
              </w:rPr>
              <w:t>7</w:t>
            </w:r>
          </w:p>
        </w:tc>
        <w:tc>
          <w:tcPr>
            <w:tcW w:w="760" w:type="dxa"/>
            <w:vAlign w:val="center"/>
          </w:tcPr>
          <w:p w14:paraId="0000D27E">
            <w:pPr>
              <w:bidi w:val="0"/>
              <w:jc w:val="center"/>
              <w:rPr>
                <w:color w:val="auto"/>
              </w:rPr>
            </w:pPr>
          </w:p>
        </w:tc>
        <w:tc>
          <w:tcPr>
            <w:tcW w:w="2666" w:type="dxa"/>
            <w:vAlign w:val="center"/>
          </w:tcPr>
          <w:p w14:paraId="6EC16134">
            <w:pPr>
              <w:bidi w:val="0"/>
              <w:rPr>
                <w:color w:val="auto"/>
              </w:rPr>
            </w:pPr>
            <w:r>
              <w:rPr>
                <w:rFonts w:hint="eastAsia"/>
                <w:color w:val="auto"/>
              </w:rPr>
              <w:t>发现非法活动未及时报告，扣3 分；未及时协助取证、收缴违法宣传品，扣 4 分。</w:t>
            </w:r>
          </w:p>
        </w:tc>
        <w:tc>
          <w:tcPr>
            <w:tcW w:w="987" w:type="dxa"/>
            <w:vAlign w:val="center"/>
          </w:tcPr>
          <w:p w14:paraId="15F98498">
            <w:pPr>
              <w:bidi w:val="0"/>
              <w:jc w:val="center"/>
              <w:rPr>
                <w:color w:val="auto"/>
              </w:rPr>
            </w:pPr>
          </w:p>
        </w:tc>
      </w:tr>
      <w:tr w14:paraId="1E39B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6A904C4F">
            <w:pPr>
              <w:bidi w:val="0"/>
              <w:jc w:val="center"/>
              <w:rPr>
                <w:color w:val="auto"/>
              </w:rPr>
            </w:pPr>
          </w:p>
        </w:tc>
        <w:tc>
          <w:tcPr>
            <w:tcW w:w="547" w:type="dxa"/>
            <w:vAlign w:val="center"/>
          </w:tcPr>
          <w:p w14:paraId="1CF6273C">
            <w:pPr>
              <w:bidi w:val="0"/>
              <w:jc w:val="center"/>
              <w:rPr>
                <w:rFonts w:hint="default"/>
                <w:color w:val="auto"/>
                <w:lang w:val="en-US" w:eastAsia="zh-CN"/>
              </w:rPr>
            </w:pPr>
            <w:r>
              <w:rPr>
                <w:rFonts w:hint="eastAsia"/>
                <w:color w:val="auto"/>
                <w:lang w:val="en-US" w:eastAsia="zh-CN"/>
              </w:rPr>
              <w:t>2</w:t>
            </w:r>
          </w:p>
        </w:tc>
        <w:tc>
          <w:tcPr>
            <w:tcW w:w="2906" w:type="dxa"/>
            <w:vAlign w:val="center"/>
          </w:tcPr>
          <w:p w14:paraId="6A261E11">
            <w:pPr>
              <w:bidi w:val="0"/>
              <w:jc w:val="left"/>
              <w:rPr>
                <w:color w:val="auto"/>
              </w:rPr>
            </w:pPr>
            <w:r>
              <w:rPr>
                <w:rFonts w:hint="eastAsia"/>
                <w:color w:val="auto"/>
              </w:rPr>
              <w:t>发现反动宣传标语， 非法宗教宣传品，应及时取证、处理。</w:t>
            </w:r>
          </w:p>
        </w:tc>
        <w:tc>
          <w:tcPr>
            <w:tcW w:w="774" w:type="dxa"/>
            <w:vAlign w:val="center"/>
          </w:tcPr>
          <w:p w14:paraId="283BC95E">
            <w:pPr>
              <w:bidi w:val="0"/>
              <w:jc w:val="center"/>
              <w:rPr>
                <w:rFonts w:hint="default"/>
                <w:color w:val="auto"/>
                <w:lang w:val="en-US" w:eastAsia="zh-CN"/>
              </w:rPr>
            </w:pPr>
            <w:r>
              <w:rPr>
                <w:rFonts w:hint="eastAsia"/>
                <w:color w:val="auto"/>
                <w:lang w:val="en-US" w:eastAsia="zh-CN"/>
              </w:rPr>
              <w:t>2</w:t>
            </w:r>
          </w:p>
        </w:tc>
        <w:tc>
          <w:tcPr>
            <w:tcW w:w="760" w:type="dxa"/>
            <w:vAlign w:val="center"/>
          </w:tcPr>
          <w:p w14:paraId="24B8D891">
            <w:pPr>
              <w:bidi w:val="0"/>
              <w:jc w:val="center"/>
              <w:rPr>
                <w:color w:val="auto"/>
              </w:rPr>
            </w:pPr>
          </w:p>
        </w:tc>
        <w:tc>
          <w:tcPr>
            <w:tcW w:w="2666" w:type="dxa"/>
            <w:vAlign w:val="center"/>
          </w:tcPr>
          <w:p w14:paraId="2C10F2BB">
            <w:pPr>
              <w:bidi w:val="0"/>
              <w:jc w:val="left"/>
              <w:rPr>
                <w:color w:val="auto"/>
              </w:rPr>
            </w:pPr>
            <w:r>
              <w:rPr>
                <w:rFonts w:hint="eastAsia"/>
                <w:color w:val="auto"/>
              </w:rPr>
              <w:t>发现反动宣传标语，非法宗教宣传品， 未及时取证、处理扣 2 分。</w:t>
            </w:r>
          </w:p>
        </w:tc>
        <w:tc>
          <w:tcPr>
            <w:tcW w:w="987" w:type="dxa"/>
            <w:vAlign w:val="center"/>
          </w:tcPr>
          <w:p w14:paraId="2F890BF8">
            <w:pPr>
              <w:bidi w:val="0"/>
              <w:jc w:val="center"/>
              <w:rPr>
                <w:color w:val="auto"/>
              </w:rPr>
            </w:pPr>
          </w:p>
        </w:tc>
      </w:tr>
      <w:tr w14:paraId="52971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7D640D16">
            <w:pPr>
              <w:bidi w:val="0"/>
              <w:jc w:val="center"/>
              <w:rPr>
                <w:color w:val="auto"/>
              </w:rPr>
            </w:pPr>
          </w:p>
        </w:tc>
        <w:tc>
          <w:tcPr>
            <w:tcW w:w="547" w:type="dxa"/>
            <w:vAlign w:val="center"/>
          </w:tcPr>
          <w:p w14:paraId="12F5767E">
            <w:pPr>
              <w:bidi w:val="0"/>
              <w:jc w:val="center"/>
              <w:rPr>
                <w:rFonts w:hint="default"/>
                <w:color w:val="auto"/>
                <w:lang w:val="en-US" w:eastAsia="zh-CN"/>
              </w:rPr>
            </w:pPr>
            <w:r>
              <w:rPr>
                <w:rFonts w:hint="eastAsia"/>
                <w:color w:val="auto"/>
                <w:lang w:val="en-US" w:eastAsia="zh-CN"/>
              </w:rPr>
              <w:t>3</w:t>
            </w:r>
          </w:p>
        </w:tc>
        <w:tc>
          <w:tcPr>
            <w:tcW w:w="2906" w:type="dxa"/>
            <w:vAlign w:val="center"/>
          </w:tcPr>
          <w:p w14:paraId="413D241E">
            <w:pPr>
              <w:bidi w:val="0"/>
              <w:jc w:val="left"/>
              <w:rPr>
                <w:color w:val="auto"/>
              </w:rPr>
            </w:pPr>
            <w:r>
              <w:rPr>
                <w:rFonts w:hint="eastAsia"/>
                <w:color w:val="auto"/>
              </w:rPr>
              <w:t>发现非法游行集会等行为， 应及时上报、取证、处置。</w:t>
            </w:r>
          </w:p>
        </w:tc>
        <w:tc>
          <w:tcPr>
            <w:tcW w:w="774" w:type="dxa"/>
            <w:vAlign w:val="center"/>
          </w:tcPr>
          <w:p w14:paraId="026E2AF3">
            <w:pPr>
              <w:bidi w:val="0"/>
              <w:jc w:val="center"/>
              <w:rPr>
                <w:rFonts w:hint="eastAsia" w:eastAsiaTheme="minorEastAsia"/>
                <w:color w:val="auto"/>
                <w:lang w:eastAsia="zh-CN"/>
              </w:rPr>
            </w:pPr>
            <w:r>
              <w:rPr>
                <w:rFonts w:hint="eastAsia"/>
                <w:color w:val="auto"/>
                <w:lang w:val="en-US" w:eastAsia="zh-CN"/>
              </w:rPr>
              <w:t>2</w:t>
            </w:r>
          </w:p>
        </w:tc>
        <w:tc>
          <w:tcPr>
            <w:tcW w:w="760" w:type="dxa"/>
            <w:vAlign w:val="center"/>
          </w:tcPr>
          <w:p w14:paraId="0483D151">
            <w:pPr>
              <w:bidi w:val="0"/>
              <w:jc w:val="center"/>
              <w:rPr>
                <w:color w:val="auto"/>
              </w:rPr>
            </w:pPr>
          </w:p>
        </w:tc>
        <w:tc>
          <w:tcPr>
            <w:tcW w:w="2666" w:type="dxa"/>
            <w:vAlign w:val="center"/>
          </w:tcPr>
          <w:p w14:paraId="2525EE40">
            <w:pPr>
              <w:bidi w:val="0"/>
              <w:jc w:val="left"/>
              <w:rPr>
                <w:color w:val="auto"/>
              </w:rPr>
            </w:pPr>
            <w:r>
              <w:rPr>
                <w:rFonts w:hint="eastAsia"/>
                <w:color w:val="auto"/>
              </w:rPr>
              <w:t>发现非法游行集会等行为， 未及时上报、取证、处置， 扣2 分。</w:t>
            </w:r>
          </w:p>
        </w:tc>
        <w:tc>
          <w:tcPr>
            <w:tcW w:w="987" w:type="dxa"/>
            <w:vAlign w:val="center"/>
          </w:tcPr>
          <w:p w14:paraId="0D06BE94">
            <w:pPr>
              <w:bidi w:val="0"/>
              <w:jc w:val="center"/>
              <w:rPr>
                <w:color w:val="auto"/>
              </w:rPr>
            </w:pPr>
          </w:p>
        </w:tc>
      </w:tr>
      <w:tr w14:paraId="17C63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6E5E4221">
            <w:pPr>
              <w:bidi w:val="0"/>
              <w:jc w:val="center"/>
              <w:rPr>
                <w:color w:val="auto"/>
              </w:rPr>
            </w:pPr>
          </w:p>
        </w:tc>
        <w:tc>
          <w:tcPr>
            <w:tcW w:w="547" w:type="dxa"/>
            <w:vAlign w:val="center"/>
          </w:tcPr>
          <w:p w14:paraId="66331B6E">
            <w:pPr>
              <w:bidi w:val="0"/>
              <w:jc w:val="center"/>
              <w:rPr>
                <w:rFonts w:hint="default"/>
                <w:color w:val="auto"/>
                <w:lang w:val="en-US" w:eastAsia="zh-CN"/>
              </w:rPr>
            </w:pPr>
            <w:r>
              <w:rPr>
                <w:rFonts w:hint="eastAsia"/>
                <w:color w:val="auto"/>
                <w:lang w:val="en-US" w:eastAsia="zh-CN"/>
              </w:rPr>
              <w:t>4</w:t>
            </w:r>
          </w:p>
        </w:tc>
        <w:tc>
          <w:tcPr>
            <w:tcW w:w="2906" w:type="dxa"/>
            <w:vAlign w:val="center"/>
          </w:tcPr>
          <w:p w14:paraId="4A66E074">
            <w:pPr>
              <w:bidi w:val="0"/>
              <w:jc w:val="left"/>
              <w:rPr>
                <w:color w:val="auto"/>
              </w:rPr>
            </w:pPr>
            <w:r>
              <w:rPr>
                <w:rFonts w:hint="eastAsia"/>
                <w:color w:val="auto"/>
              </w:rPr>
              <w:t>发现在校园倾倒余泥、建筑垃圾等破坏校园环境和设施等行为，应及时制止。</w:t>
            </w:r>
          </w:p>
        </w:tc>
        <w:tc>
          <w:tcPr>
            <w:tcW w:w="774" w:type="dxa"/>
            <w:vAlign w:val="center"/>
          </w:tcPr>
          <w:p w14:paraId="6A05D8DA">
            <w:pPr>
              <w:bidi w:val="0"/>
              <w:jc w:val="center"/>
              <w:rPr>
                <w:rFonts w:hint="eastAsia" w:eastAsiaTheme="minorEastAsia"/>
                <w:color w:val="auto"/>
                <w:lang w:eastAsia="zh-CN"/>
              </w:rPr>
            </w:pPr>
            <w:r>
              <w:rPr>
                <w:rFonts w:hint="eastAsia"/>
                <w:color w:val="auto"/>
                <w:lang w:val="en-US" w:eastAsia="zh-CN"/>
              </w:rPr>
              <w:t>1</w:t>
            </w:r>
          </w:p>
        </w:tc>
        <w:tc>
          <w:tcPr>
            <w:tcW w:w="760" w:type="dxa"/>
            <w:vAlign w:val="center"/>
          </w:tcPr>
          <w:p w14:paraId="6B6FE5FA">
            <w:pPr>
              <w:bidi w:val="0"/>
              <w:jc w:val="center"/>
              <w:rPr>
                <w:color w:val="auto"/>
              </w:rPr>
            </w:pPr>
          </w:p>
        </w:tc>
        <w:tc>
          <w:tcPr>
            <w:tcW w:w="2666" w:type="dxa"/>
            <w:vAlign w:val="center"/>
          </w:tcPr>
          <w:p w14:paraId="74E1F3C2">
            <w:pPr>
              <w:bidi w:val="0"/>
              <w:jc w:val="left"/>
              <w:rPr>
                <w:color w:val="auto"/>
              </w:rPr>
            </w:pPr>
            <w:r>
              <w:rPr>
                <w:rFonts w:hint="eastAsia"/>
                <w:color w:val="auto"/>
              </w:rPr>
              <w:t>发现在校园倾倒余泥、建筑垃圾等破坏校园环境和设施等行为，未及时制止， 扣 1 分</w:t>
            </w:r>
          </w:p>
        </w:tc>
        <w:tc>
          <w:tcPr>
            <w:tcW w:w="987" w:type="dxa"/>
            <w:vAlign w:val="center"/>
          </w:tcPr>
          <w:p w14:paraId="02C27990">
            <w:pPr>
              <w:bidi w:val="0"/>
              <w:jc w:val="center"/>
              <w:rPr>
                <w:color w:val="auto"/>
              </w:rPr>
            </w:pPr>
          </w:p>
        </w:tc>
      </w:tr>
      <w:tr w14:paraId="3D42E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46BD03B2">
            <w:pPr>
              <w:bidi w:val="0"/>
              <w:jc w:val="left"/>
              <w:rPr>
                <w:rFonts w:hint="eastAsia" w:eastAsiaTheme="minorEastAsia"/>
                <w:color w:val="auto"/>
                <w:lang w:eastAsia="zh-CN"/>
              </w:rPr>
            </w:pPr>
          </w:p>
        </w:tc>
        <w:tc>
          <w:tcPr>
            <w:tcW w:w="547" w:type="dxa"/>
            <w:vAlign w:val="center"/>
          </w:tcPr>
          <w:p w14:paraId="4CA9D68C">
            <w:pPr>
              <w:bidi w:val="0"/>
              <w:jc w:val="center"/>
              <w:rPr>
                <w:rFonts w:hint="default"/>
                <w:color w:val="auto"/>
                <w:lang w:val="en-US" w:eastAsia="zh-CN"/>
              </w:rPr>
            </w:pPr>
            <w:r>
              <w:rPr>
                <w:rFonts w:hint="eastAsia"/>
                <w:color w:val="auto"/>
                <w:lang w:val="en-US" w:eastAsia="zh-CN"/>
              </w:rPr>
              <w:t>5</w:t>
            </w:r>
          </w:p>
        </w:tc>
        <w:tc>
          <w:tcPr>
            <w:tcW w:w="2906" w:type="dxa"/>
            <w:vAlign w:val="center"/>
          </w:tcPr>
          <w:p w14:paraId="7DE9993D">
            <w:pPr>
              <w:bidi w:val="0"/>
              <w:rPr>
                <w:rFonts w:hint="eastAsia"/>
                <w:color w:val="auto"/>
              </w:rPr>
            </w:pPr>
            <w:r>
              <w:rPr>
                <w:rFonts w:hint="eastAsia"/>
                <w:color w:val="auto"/>
              </w:rPr>
              <w:t>发现捡破烂、违规收废品、遛狗等行为，应及时劝离。</w:t>
            </w:r>
          </w:p>
        </w:tc>
        <w:tc>
          <w:tcPr>
            <w:tcW w:w="774" w:type="dxa"/>
            <w:vAlign w:val="center"/>
          </w:tcPr>
          <w:p w14:paraId="2D5FCE15">
            <w:pPr>
              <w:bidi w:val="0"/>
              <w:jc w:val="center"/>
              <w:rPr>
                <w:rFonts w:hint="default"/>
                <w:color w:val="auto"/>
                <w:lang w:val="en-US" w:eastAsia="zh-CN"/>
              </w:rPr>
            </w:pPr>
            <w:r>
              <w:rPr>
                <w:rFonts w:hint="eastAsia"/>
                <w:color w:val="auto"/>
                <w:lang w:val="en-US" w:eastAsia="zh-CN"/>
              </w:rPr>
              <w:t>1</w:t>
            </w:r>
          </w:p>
        </w:tc>
        <w:tc>
          <w:tcPr>
            <w:tcW w:w="760" w:type="dxa"/>
            <w:vAlign w:val="center"/>
          </w:tcPr>
          <w:p w14:paraId="1264950A">
            <w:pPr>
              <w:bidi w:val="0"/>
              <w:jc w:val="center"/>
              <w:rPr>
                <w:color w:val="auto"/>
              </w:rPr>
            </w:pPr>
          </w:p>
        </w:tc>
        <w:tc>
          <w:tcPr>
            <w:tcW w:w="2666" w:type="dxa"/>
            <w:vAlign w:val="center"/>
          </w:tcPr>
          <w:p w14:paraId="72CB8D2C">
            <w:pPr>
              <w:bidi w:val="0"/>
              <w:jc w:val="left"/>
              <w:rPr>
                <w:rFonts w:hint="eastAsia"/>
                <w:color w:val="auto"/>
              </w:rPr>
            </w:pPr>
            <w:r>
              <w:rPr>
                <w:rFonts w:hint="eastAsia"/>
                <w:color w:val="auto"/>
              </w:rPr>
              <w:t>发现捡破烂、违规收废品、遛狗等行为， 未及时劝离， 扣1 分。</w:t>
            </w:r>
          </w:p>
        </w:tc>
        <w:tc>
          <w:tcPr>
            <w:tcW w:w="987" w:type="dxa"/>
            <w:vAlign w:val="center"/>
          </w:tcPr>
          <w:p w14:paraId="1FD15BE7">
            <w:pPr>
              <w:bidi w:val="0"/>
              <w:jc w:val="center"/>
              <w:rPr>
                <w:color w:val="auto"/>
              </w:rPr>
            </w:pPr>
          </w:p>
        </w:tc>
      </w:tr>
      <w:tr w14:paraId="48E23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2F6B42EF">
            <w:pPr>
              <w:bidi w:val="0"/>
              <w:jc w:val="center"/>
              <w:rPr>
                <w:color w:val="auto"/>
              </w:rPr>
            </w:pPr>
          </w:p>
        </w:tc>
        <w:tc>
          <w:tcPr>
            <w:tcW w:w="547" w:type="dxa"/>
            <w:vAlign w:val="center"/>
          </w:tcPr>
          <w:p w14:paraId="1BF6EBE2">
            <w:pPr>
              <w:bidi w:val="0"/>
              <w:jc w:val="center"/>
              <w:rPr>
                <w:rFonts w:hint="default"/>
                <w:color w:val="auto"/>
                <w:lang w:val="en-US" w:eastAsia="zh-CN"/>
              </w:rPr>
            </w:pPr>
            <w:r>
              <w:rPr>
                <w:rFonts w:hint="eastAsia"/>
                <w:color w:val="auto"/>
                <w:lang w:val="en-US" w:eastAsia="zh-CN"/>
              </w:rPr>
              <w:t>6</w:t>
            </w:r>
          </w:p>
        </w:tc>
        <w:tc>
          <w:tcPr>
            <w:tcW w:w="2906" w:type="dxa"/>
            <w:vAlign w:val="center"/>
          </w:tcPr>
          <w:p w14:paraId="434BDA27">
            <w:pPr>
              <w:bidi w:val="0"/>
              <w:rPr>
                <w:rFonts w:hint="eastAsia"/>
                <w:color w:val="auto"/>
              </w:rPr>
            </w:pPr>
            <w:r>
              <w:rPr>
                <w:rFonts w:hint="eastAsia"/>
                <w:color w:val="auto"/>
              </w:rPr>
              <w:t>发现乱摆卖、乱张贴、乱涂画</w:t>
            </w:r>
          </w:p>
          <w:p w14:paraId="35EE3244">
            <w:pPr>
              <w:bidi w:val="0"/>
              <w:rPr>
                <w:rFonts w:hint="eastAsia"/>
                <w:color w:val="auto"/>
              </w:rPr>
            </w:pPr>
            <w:r>
              <w:rPr>
                <w:rFonts w:hint="eastAsia"/>
                <w:color w:val="auto"/>
              </w:rPr>
              <w:t>攀树摘果、践踏草坪等行为， 应及时制止。</w:t>
            </w:r>
          </w:p>
        </w:tc>
        <w:tc>
          <w:tcPr>
            <w:tcW w:w="774" w:type="dxa"/>
            <w:vAlign w:val="center"/>
          </w:tcPr>
          <w:p w14:paraId="37802BEE">
            <w:pPr>
              <w:bidi w:val="0"/>
              <w:jc w:val="center"/>
              <w:rPr>
                <w:rFonts w:hint="default"/>
                <w:color w:val="auto"/>
                <w:lang w:val="en-US" w:eastAsia="zh-CN"/>
              </w:rPr>
            </w:pPr>
            <w:r>
              <w:rPr>
                <w:rFonts w:hint="eastAsia"/>
                <w:color w:val="auto"/>
                <w:lang w:val="en-US" w:eastAsia="zh-CN"/>
              </w:rPr>
              <w:t>1</w:t>
            </w:r>
          </w:p>
        </w:tc>
        <w:tc>
          <w:tcPr>
            <w:tcW w:w="760" w:type="dxa"/>
            <w:vAlign w:val="center"/>
          </w:tcPr>
          <w:p w14:paraId="675C90C3">
            <w:pPr>
              <w:bidi w:val="0"/>
              <w:jc w:val="center"/>
              <w:rPr>
                <w:color w:val="auto"/>
              </w:rPr>
            </w:pPr>
          </w:p>
        </w:tc>
        <w:tc>
          <w:tcPr>
            <w:tcW w:w="2666" w:type="dxa"/>
            <w:vAlign w:val="center"/>
          </w:tcPr>
          <w:p w14:paraId="2057398B">
            <w:pPr>
              <w:bidi w:val="0"/>
              <w:jc w:val="left"/>
              <w:rPr>
                <w:rFonts w:hint="eastAsia"/>
                <w:color w:val="auto"/>
              </w:rPr>
            </w:pPr>
            <w:r>
              <w:rPr>
                <w:rFonts w:hint="eastAsia"/>
                <w:color w:val="auto"/>
              </w:rPr>
              <w:t>发现乱摆卖、乱张贴、乱涂画攀树摘果、践踏草坪等行为， 未及时制止， 扣 1 分。</w:t>
            </w:r>
          </w:p>
        </w:tc>
        <w:tc>
          <w:tcPr>
            <w:tcW w:w="987" w:type="dxa"/>
            <w:vAlign w:val="center"/>
          </w:tcPr>
          <w:p w14:paraId="700D9468">
            <w:pPr>
              <w:bidi w:val="0"/>
              <w:jc w:val="center"/>
              <w:rPr>
                <w:color w:val="auto"/>
              </w:rPr>
            </w:pPr>
          </w:p>
        </w:tc>
      </w:tr>
      <w:tr w14:paraId="59F61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Merge w:val="continue"/>
            <w:vAlign w:val="center"/>
          </w:tcPr>
          <w:p w14:paraId="3A55FF87">
            <w:pPr>
              <w:bidi w:val="0"/>
              <w:jc w:val="center"/>
              <w:rPr>
                <w:color w:val="auto"/>
              </w:rPr>
            </w:pPr>
          </w:p>
        </w:tc>
        <w:tc>
          <w:tcPr>
            <w:tcW w:w="547" w:type="dxa"/>
            <w:vAlign w:val="center"/>
          </w:tcPr>
          <w:p w14:paraId="2563DB49">
            <w:pPr>
              <w:bidi w:val="0"/>
              <w:jc w:val="center"/>
              <w:rPr>
                <w:rFonts w:hint="default"/>
                <w:color w:val="auto"/>
                <w:lang w:val="en-US" w:eastAsia="zh-CN"/>
              </w:rPr>
            </w:pPr>
            <w:r>
              <w:rPr>
                <w:rFonts w:hint="eastAsia"/>
                <w:color w:val="auto"/>
                <w:lang w:val="en-US" w:eastAsia="zh-CN"/>
              </w:rPr>
              <w:t>7</w:t>
            </w:r>
          </w:p>
        </w:tc>
        <w:tc>
          <w:tcPr>
            <w:tcW w:w="2906" w:type="dxa"/>
            <w:vAlign w:val="center"/>
          </w:tcPr>
          <w:p w14:paraId="72602C44">
            <w:pPr>
              <w:bidi w:val="0"/>
              <w:rPr>
                <w:rFonts w:hint="eastAsia"/>
                <w:color w:val="auto"/>
              </w:rPr>
            </w:pPr>
            <w:r>
              <w:rPr>
                <w:rFonts w:hint="eastAsia"/>
                <w:color w:val="auto"/>
              </w:rPr>
              <w:t>指挥机动车辆有序停放，自行</w:t>
            </w:r>
          </w:p>
          <w:p w14:paraId="64B0A124">
            <w:pPr>
              <w:bidi w:val="0"/>
              <w:rPr>
                <w:rFonts w:hint="eastAsia"/>
                <w:color w:val="auto"/>
              </w:rPr>
            </w:pPr>
            <w:r>
              <w:rPr>
                <w:rFonts w:hint="eastAsia"/>
                <w:color w:val="auto"/>
              </w:rPr>
              <w:t>车、电动车摆放整齐， 维护校园交通秩序。</w:t>
            </w:r>
          </w:p>
        </w:tc>
        <w:tc>
          <w:tcPr>
            <w:tcW w:w="774" w:type="dxa"/>
            <w:vAlign w:val="center"/>
          </w:tcPr>
          <w:p w14:paraId="2851541F">
            <w:pPr>
              <w:bidi w:val="0"/>
              <w:jc w:val="center"/>
              <w:rPr>
                <w:rFonts w:hint="default"/>
                <w:color w:val="auto"/>
                <w:lang w:val="en-US" w:eastAsia="zh-CN"/>
              </w:rPr>
            </w:pPr>
            <w:r>
              <w:rPr>
                <w:rFonts w:hint="eastAsia"/>
                <w:color w:val="auto"/>
                <w:lang w:val="en-US" w:eastAsia="zh-CN"/>
              </w:rPr>
              <w:t>1</w:t>
            </w:r>
          </w:p>
        </w:tc>
        <w:tc>
          <w:tcPr>
            <w:tcW w:w="760" w:type="dxa"/>
            <w:vAlign w:val="center"/>
          </w:tcPr>
          <w:p w14:paraId="0DE9D6FD">
            <w:pPr>
              <w:bidi w:val="0"/>
              <w:jc w:val="center"/>
              <w:rPr>
                <w:color w:val="auto"/>
              </w:rPr>
            </w:pPr>
          </w:p>
        </w:tc>
        <w:tc>
          <w:tcPr>
            <w:tcW w:w="2666" w:type="dxa"/>
            <w:vAlign w:val="center"/>
          </w:tcPr>
          <w:p w14:paraId="0CAA78B5">
            <w:pPr>
              <w:bidi w:val="0"/>
              <w:jc w:val="left"/>
              <w:rPr>
                <w:rFonts w:hint="eastAsia"/>
                <w:color w:val="auto"/>
              </w:rPr>
            </w:pPr>
            <w:r>
              <w:rPr>
                <w:rFonts w:hint="eastAsia"/>
                <w:color w:val="auto"/>
              </w:rPr>
              <w:t>未做好机动车辆、自行车、电动车有序停放工作，扣 1 分。</w:t>
            </w:r>
          </w:p>
        </w:tc>
        <w:tc>
          <w:tcPr>
            <w:tcW w:w="987" w:type="dxa"/>
            <w:vAlign w:val="center"/>
          </w:tcPr>
          <w:p w14:paraId="06EB3E7A">
            <w:pPr>
              <w:bidi w:val="0"/>
              <w:jc w:val="center"/>
              <w:rPr>
                <w:color w:val="auto"/>
              </w:rPr>
            </w:pPr>
          </w:p>
        </w:tc>
      </w:tr>
      <w:tr w14:paraId="1E294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53" w:type="dxa"/>
            <w:vAlign w:val="center"/>
          </w:tcPr>
          <w:p w14:paraId="3A4300D6">
            <w:pPr>
              <w:bidi w:val="0"/>
              <w:jc w:val="center"/>
              <w:rPr>
                <w:color w:val="auto"/>
              </w:rPr>
            </w:pPr>
          </w:p>
        </w:tc>
        <w:tc>
          <w:tcPr>
            <w:tcW w:w="8640" w:type="dxa"/>
            <w:gridSpan w:val="6"/>
            <w:vAlign w:val="center"/>
          </w:tcPr>
          <w:p w14:paraId="38451636">
            <w:pPr>
              <w:bidi w:val="0"/>
              <w:jc w:val="left"/>
              <w:rPr>
                <w:rFonts w:hint="eastAsia"/>
                <w:color w:val="auto"/>
              </w:rPr>
            </w:pPr>
            <w:r>
              <w:rPr>
                <w:rFonts w:hint="eastAsia"/>
                <w:color w:val="auto"/>
              </w:rPr>
              <w:t>注： 若出现以下情况之一， 扣除本项 15 分： 因保安公司监管不力、岗位人员履职</w:t>
            </w:r>
          </w:p>
          <w:p w14:paraId="553552CD">
            <w:pPr>
              <w:bidi w:val="0"/>
              <w:jc w:val="left"/>
              <w:rPr>
                <w:color w:val="auto"/>
              </w:rPr>
            </w:pPr>
            <w:r>
              <w:rPr>
                <w:rFonts w:hint="eastAsia"/>
                <w:color w:val="auto"/>
              </w:rPr>
              <w:t>不到位造成重大不良政治影响或造成严重影响校园安全稳定事件。</w:t>
            </w:r>
          </w:p>
        </w:tc>
      </w:tr>
      <w:tr w14:paraId="76853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6" w:hRule="atLeast"/>
        </w:trPr>
        <w:tc>
          <w:tcPr>
            <w:tcW w:w="9893" w:type="dxa"/>
            <w:gridSpan w:val="7"/>
            <w:vAlign w:val="center"/>
          </w:tcPr>
          <w:p w14:paraId="0B354C42">
            <w:pPr>
              <w:bidi w:val="0"/>
              <w:rPr>
                <w:rFonts w:hint="eastAsia"/>
                <w:color w:val="auto"/>
              </w:rPr>
            </w:pPr>
          </w:p>
          <w:p w14:paraId="57441A13">
            <w:pPr>
              <w:bidi w:val="0"/>
              <w:rPr>
                <w:rFonts w:hint="eastAsia"/>
                <w:color w:val="auto"/>
              </w:rPr>
            </w:pPr>
          </w:p>
          <w:p w14:paraId="1D4E9933">
            <w:pPr>
              <w:bidi w:val="0"/>
              <w:rPr>
                <w:rFonts w:hint="eastAsia"/>
                <w:color w:val="auto"/>
              </w:rPr>
            </w:pPr>
            <w:r>
              <w:rPr>
                <w:rFonts w:hint="eastAsia"/>
                <w:color w:val="auto"/>
              </w:rPr>
              <w:t>本月考评综合得分</w:t>
            </w:r>
            <w:r>
              <w:rPr>
                <w:rFonts w:hint="eastAsia"/>
                <w:color w:val="auto"/>
                <w:lang w:eastAsia="zh-CN"/>
              </w:rPr>
              <w:t>：</w:t>
            </w:r>
            <w:r>
              <w:rPr>
                <w:rFonts w:hint="eastAsia"/>
                <w:color w:val="auto"/>
              </w:rPr>
              <w:t>（</w:t>
            </w:r>
            <w:r>
              <w:rPr>
                <w:rFonts w:hint="eastAsia"/>
                <w:color w:val="auto"/>
              </w:rPr>
              <w:tab/>
            </w:r>
            <w:r>
              <w:rPr>
                <w:rFonts w:hint="eastAsia"/>
                <w:color w:val="auto"/>
                <w:lang w:val="en-US" w:eastAsia="zh-CN"/>
              </w:rPr>
              <w:t xml:space="preserve">      </w:t>
            </w:r>
            <w:r>
              <w:rPr>
                <w:rFonts w:hint="eastAsia"/>
                <w:color w:val="auto"/>
              </w:rPr>
              <w:t>）分</w:t>
            </w:r>
          </w:p>
          <w:p w14:paraId="6EE2941C">
            <w:pPr>
              <w:bidi w:val="0"/>
              <w:rPr>
                <w:rFonts w:hint="eastAsia"/>
                <w:color w:val="auto"/>
              </w:rPr>
            </w:pPr>
          </w:p>
          <w:p w14:paraId="0B0A3E89">
            <w:pPr>
              <w:bidi w:val="0"/>
              <w:rPr>
                <w:rFonts w:hint="eastAsia"/>
                <w:color w:val="auto"/>
              </w:rPr>
            </w:pPr>
          </w:p>
          <w:p w14:paraId="63904BEC">
            <w:pPr>
              <w:bidi w:val="0"/>
              <w:rPr>
                <w:rFonts w:hint="eastAsia"/>
                <w:color w:val="auto"/>
              </w:rPr>
            </w:pPr>
          </w:p>
          <w:p w14:paraId="10B94AD2">
            <w:pPr>
              <w:bidi w:val="0"/>
              <w:rPr>
                <w:rFonts w:hint="eastAsia"/>
                <w:color w:val="auto"/>
              </w:rPr>
            </w:pPr>
            <w:r>
              <w:rPr>
                <w:rFonts w:hint="eastAsia"/>
                <w:color w:val="auto"/>
              </w:rPr>
              <w:t>考评小组</w:t>
            </w:r>
            <w:r>
              <w:rPr>
                <w:rFonts w:hint="eastAsia"/>
                <w:color w:val="auto"/>
                <w:lang w:eastAsia="zh-CN"/>
              </w:rPr>
              <w:t>（</w:t>
            </w:r>
            <w:r>
              <w:rPr>
                <w:rFonts w:hint="eastAsia"/>
                <w:color w:val="auto"/>
              </w:rPr>
              <w:t>签名</w:t>
            </w:r>
            <w:r>
              <w:rPr>
                <w:rFonts w:hint="eastAsia"/>
                <w:color w:val="auto"/>
                <w:lang w:eastAsia="zh-CN"/>
              </w:rPr>
              <w:t>）：</w:t>
            </w:r>
          </w:p>
          <w:p w14:paraId="1F916D0C">
            <w:pPr>
              <w:bidi w:val="0"/>
              <w:rPr>
                <w:rFonts w:hint="eastAsia" w:eastAsiaTheme="minorEastAsia"/>
                <w:color w:val="auto"/>
                <w:lang w:val="en-US" w:eastAsia="zh-CN"/>
              </w:rPr>
            </w:pPr>
          </w:p>
          <w:p w14:paraId="6D8D3BA9">
            <w:pPr>
              <w:bidi w:val="0"/>
              <w:rPr>
                <w:rFonts w:hint="eastAsia"/>
                <w:color w:val="auto"/>
              </w:rPr>
            </w:pPr>
          </w:p>
          <w:p w14:paraId="7535691C">
            <w:pPr>
              <w:bidi w:val="0"/>
              <w:rPr>
                <w:rFonts w:hint="eastAsia"/>
                <w:color w:val="auto"/>
              </w:rPr>
            </w:pPr>
          </w:p>
          <w:p w14:paraId="5F6EAEB0">
            <w:pPr>
              <w:bidi w:val="0"/>
              <w:rPr>
                <w:rFonts w:hint="eastAsia"/>
                <w:color w:val="auto"/>
              </w:rPr>
            </w:pPr>
          </w:p>
          <w:p w14:paraId="117260D8">
            <w:pPr>
              <w:bidi w:val="0"/>
              <w:rPr>
                <w:rFonts w:hint="eastAsia"/>
                <w:color w:val="auto"/>
              </w:rPr>
            </w:pPr>
            <w:r>
              <w:rPr>
                <w:rFonts w:hint="eastAsia"/>
                <w:color w:val="auto"/>
              </w:rPr>
              <w:t>监督人</w:t>
            </w:r>
            <w:r>
              <w:rPr>
                <w:rFonts w:hint="eastAsia"/>
                <w:color w:val="auto"/>
                <w:lang w:eastAsia="zh-CN"/>
              </w:rPr>
              <w:t>（</w:t>
            </w:r>
            <w:r>
              <w:rPr>
                <w:rFonts w:hint="eastAsia"/>
                <w:color w:val="auto"/>
              </w:rPr>
              <w:t>签名</w:t>
            </w:r>
            <w:r>
              <w:rPr>
                <w:rFonts w:hint="eastAsia"/>
                <w:color w:val="auto"/>
                <w:lang w:eastAsia="zh-CN"/>
              </w:rPr>
              <w:t>）</w:t>
            </w:r>
            <w:r>
              <w:rPr>
                <w:rFonts w:hint="eastAsia"/>
                <w:color w:val="auto"/>
              </w:rPr>
              <w:t>:</w:t>
            </w:r>
            <w:r>
              <w:rPr>
                <w:rFonts w:hint="eastAsia"/>
                <w:color w:val="auto"/>
              </w:rPr>
              <w:tab/>
            </w:r>
            <w:r>
              <w:rPr>
                <w:rFonts w:hint="eastAsia"/>
                <w:color w:val="auto"/>
                <w:lang w:val="en-US" w:eastAsia="zh-CN"/>
              </w:rPr>
              <w:t xml:space="preserve">                                  </w:t>
            </w:r>
            <w:r>
              <w:rPr>
                <w:rFonts w:hint="eastAsia"/>
                <w:color w:val="auto"/>
              </w:rPr>
              <w:t>考评时间</w:t>
            </w:r>
            <w:r>
              <w:rPr>
                <w:rFonts w:hint="eastAsia"/>
                <w:color w:val="auto"/>
                <w:lang w:eastAsia="zh-CN"/>
              </w:rPr>
              <w:t>：</w:t>
            </w:r>
            <w:r>
              <w:rPr>
                <w:rFonts w:hint="eastAsia"/>
                <w:color w:val="auto"/>
              </w:rPr>
              <w:tab/>
            </w:r>
            <w:r>
              <w:rPr>
                <w:rFonts w:hint="eastAsia"/>
                <w:color w:val="auto"/>
                <w:lang w:val="en-US" w:eastAsia="zh-CN"/>
              </w:rPr>
              <w:t xml:space="preserve">         </w:t>
            </w:r>
            <w:r>
              <w:rPr>
                <w:rFonts w:hint="eastAsia"/>
                <w:color w:val="auto"/>
              </w:rPr>
              <w:t>年</w:t>
            </w:r>
            <w:r>
              <w:rPr>
                <w:rFonts w:hint="eastAsia"/>
                <w:color w:val="auto"/>
              </w:rPr>
              <w:tab/>
            </w:r>
            <w:r>
              <w:rPr>
                <w:rFonts w:hint="eastAsia"/>
                <w:color w:val="auto"/>
                <w:lang w:val="en-US" w:eastAsia="zh-CN"/>
              </w:rPr>
              <w:t xml:space="preserve">    </w:t>
            </w:r>
            <w:r>
              <w:rPr>
                <w:rFonts w:hint="eastAsia"/>
                <w:color w:val="auto"/>
              </w:rPr>
              <w:t>月</w:t>
            </w:r>
            <w:r>
              <w:rPr>
                <w:rFonts w:hint="eastAsia"/>
                <w:color w:val="auto"/>
              </w:rPr>
              <w:tab/>
            </w:r>
            <w:r>
              <w:rPr>
                <w:rFonts w:hint="eastAsia"/>
                <w:color w:val="auto"/>
                <w:lang w:val="en-US" w:eastAsia="zh-CN"/>
              </w:rPr>
              <w:t xml:space="preserve">  </w:t>
            </w:r>
            <w:r>
              <w:rPr>
                <w:rFonts w:hint="eastAsia"/>
                <w:color w:val="auto"/>
              </w:rPr>
              <w:t>日</w:t>
            </w:r>
          </w:p>
          <w:p w14:paraId="1DEB95EE">
            <w:pPr>
              <w:bidi w:val="0"/>
              <w:rPr>
                <w:rFonts w:hint="default" w:eastAsiaTheme="minorEastAsia"/>
                <w:color w:val="auto"/>
                <w:lang w:val="en-US" w:eastAsia="zh-CN"/>
              </w:rPr>
            </w:pPr>
            <w:r>
              <w:rPr>
                <w:rFonts w:hint="eastAsia"/>
                <w:color w:val="auto"/>
                <w:lang w:val="en-US" w:eastAsia="zh-CN"/>
              </w:rPr>
              <w:t xml:space="preserve">  </w:t>
            </w:r>
          </w:p>
          <w:p w14:paraId="2B6DDCAC">
            <w:pPr>
              <w:bidi w:val="0"/>
              <w:rPr>
                <w:rFonts w:hint="eastAsia"/>
                <w:color w:val="auto"/>
              </w:rPr>
            </w:pPr>
          </w:p>
          <w:p w14:paraId="47AD388B">
            <w:pPr>
              <w:bidi w:val="0"/>
              <w:rPr>
                <w:rFonts w:hint="eastAsia"/>
                <w:color w:val="auto"/>
              </w:rPr>
            </w:pPr>
          </w:p>
          <w:p w14:paraId="64FC380B">
            <w:pPr>
              <w:bidi w:val="0"/>
              <w:rPr>
                <w:rFonts w:hint="eastAsia"/>
                <w:color w:val="auto"/>
              </w:rPr>
            </w:pPr>
          </w:p>
        </w:tc>
      </w:tr>
    </w:tbl>
    <w:p w14:paraId="77B845B1">
      <w:pPr>
        <w:rPr>
          <w:color w:val="auto"/>
          <w:sz w:val="24"/>
          <w:szCs w:val="24"/>
        </w:rPr>
      </w:pPr>
    </w:p>
    <w:p w14:paraId="1496696D">
      <w:pPr>
        <w:keepNext w:val="0"/>
        <w:keepLines w:val="0"/>
        <w:pageBreakBefore w:val="0"/>
        <w:widowControl w:val="0"/>
        <w:kinsoku/>
        <w:wordWrap/>
        <w:overflowPunct/>
        <w:topLinePunct w:val="0"/>
        <w:bidi w:val="0"/>
        <w:adjustRightInd/>
        <w:snapToGrid/>
        <w:spacing w:line="400" w:lineRule="exact"/>
        <w:ind w:firstLine="422"/>
        <w:jc w:val="left"/>
        <w:textAlignment w:val="auto"/>
        <w:rPr>
          <w:b/>
          <w:color w:val="auto"/>
          <w:sz w:val="24"/>
          <w:szCs w:val="24"/>
        </w:rPr>
      </w:pPr>
    </w:p>
    <w:p w14:paraId="09FD9195">
      <w:pPr>
        <w:keepNext w:val="0"/>
        <w:keepLines w:val="0"/>
        <w:pageBreakBefore w:val="0"/>
        <w:widowControl w:val="0"/>
        <w:kinsoku/>
        <w:wordWrap/>
        <w:overflowPunct/>
        <w:topLinePunct w:val="0"/>
        <w:bidi w:val="0"/>
        <w:adjustRightInd/>
        <w:snapToGrid/>
        <w:spacing w:line="400" w:lineRule="exact"/>
        <w:jc w:val="left"/>
        <w:textAlignment w:val="auto"/>
        <w:rPr>
          <w:b/>
          <w:color w:val="auto"/>
          <w:sz w:val="24"/>
          <w:szCs w:val="24"/>
        </w:rPr>
      </w:pPr>
      <w:r>
        <w:rPr>
          <w:b/>
          <w:color w:val="auto"/>
          <w:sz w:val="24"/>
          <w:szCs w:val="24"/>
        </w:rPr>
        <w:t>附件：</w:t>
      </w:r>
    </w:p>
    <w:p w14:paraId="26B4FE4F">
      <w:pPr>
        <w:keepNext w:val="0"/>
        <w:keepLines w:val="0"/>
        <w:pageBreakBefore w:val="0"/>
        <w:widowControl w:val="0"/>
        <w:kinsoku/>
        <w:wordWrap/>
        <w:overflowPunct/>
        <w:topLinePunct w:val="0"/>
        <w:bidi w:val="0"/>
        <w:adjustRightInd/>
        <w:snapToGrid/>
        <w:spacing w:line="400" w:lineRule="exact"/>
        <w:jc w:val="center"/>
        <w:textAlignment w:val="auto"/>
        <w:rPr>
          <w:b/>
          <w:color w:val="auto"/>
          <w:sz w:val="32"/>
          <w:szCs w:val="32"/>
        </w:rPr>
      </w:pPr>
      <w:r>
        <w:rPr>
          <w:b/>
          <w:color w:val="auto"/>
          <w:sz w:val="32"/>
          <w:szCs w:val="32"/>
        </w:rPr>
        <w:t>人员安保服务项目经验表</w:t>
      </w:r>
    </w:p>
    <w:p w14:paraId="4653530B">
      <w:pPr>
        <w:keepNext w:val="0"/>
        <w:keepLines w:val="0"/>
        <w:pageBreakBefore w:val="0"/>
        <w:widowControl w:val="0"/>
        <w:kinsoku/>
        <w:wordWrap/>
        <w:overflowPunct/>
        <w:topLinePunct w:val="0"/>
        <w:bidi w:val="0"/>
        <w:adjustRightInd/>
        <w:snapToGrid/>
        <w:spacing w:line="400" w:lineRule="exact"/>
        <w:jc w:val="center"/>
        <w:textAlignment w:val="auto"/>
        <w:rPr>
          <w:b/>
          <w:color w:val="auto"/>
          <w:sz w:val="32"/>
          <w:szCs w:val="32"/>
        </w:rPr>
      </w:pPr>
    </w:p>
    <w:tbl>
      <w:tblPr>
        <w:tblStyle w:val="3"/>
        <w:tblW w:w="0" w:type="auto"/>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1661"/>
        <w:gridCol w:w="1661"/>
        <w:gridCol w:w="1661"/>
        <w:gridCol w:w="1661"/>
        <w:gridCol w:w="1661"/>
      </w:tblGrid>
      <w:tr w14:paraId="596A2D8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305" w:type="dxa"/>
            <w:gridSpan w:val="5"/>
            <w:tcBorders>
              <w:top w:val="single" w:color="000000" w:sz="4" w:space="0"/>
              <w:left w:val="single" w:color="000000" w:sz="4" w:space="0"/>
              <w:bottom w:val="single" w:color="000000" w:sz="4" w:space="0"/>
              <w:right w:val="single" w:color="000000" w:sz="4" w:space="0"/>
            </w:tcBorders>
            <w:vAlign w:val="top"/>
          </w:tcPr>
          <w:p w14:paraId="5D713525">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b/>
                <w:color w:val="auto"/>
                <w:sz w:val="24"/>
                <w:szCs w:val="24"/>
              </w:rPr>
              <w:t>人员安保服务项目经验</w:t>
            </w:r>
          </w:p>
        </w:tc>
      </w:tr>
      <w:tr w14:paraId="6E2FC95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661" w:type="dxa"/>
            <w:tcBorders>
              <w:top w:val="nil"/>
              <w:left w:val="single" w:color="000000" w:sz="4" w:space="0"/>
              <w:bottom w:val="single" w:color="000000" w:sz="4" w:space="0"/>
              <w:right w:val="single" w:color="000000" w:sz="4" w:space="0"/>
            </w:tcBorders>
            <w:vAlign w:val="top"/>
          </w:tcPr>
          <w:p w14:paraId="0CEE7881">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r>
              <w:rPr>
                <w:b/>
                <w:color w:val="auto"/>
                <w:sz w:val="24"/>
                <w:szCs w:val="24"/>
              </w:rPr>
              <w:t>起止时间</w:t>
            </w:r>
          </w:p>
        </w:tc>
        <w:tc>
          <w:tcPr>
            <w:tcW w:w="1661" w:type="dxa"/>
            <w:tcBorders>
              <w:top w:val="nil"/>
              <w:left w:val="nil"/>
              <w:bottom w:val="single" w:color="000000" w:sz="4" w:space="0"/>
              <w:right w:val="single" w:color="000000" w:sz="4" w:space="0"/>
            </w:tcBorders>
            <w:vAlign w:val="top"/>
          </w:tcPr>
          <w:p w14:paraId="45857CDA">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r>
              <w:rPr>
                <w:b/>
                <w:color w:val="auto"/>
                <w:sz w:val="24"/>
                <w:szCs w:val="24"/>
              </w:rPr>
              <w:t>所供职单位</w:t>
            </w:r>
          </w:p>
        </w:tc>
        <w:tc>
          <w:tcPr>
            <w:tcW w:w="1661" w:type="dxa"/>
            <w:tcBorders>
              <w:top w:val="nil"/>
              <w:left w:val="nil"/>
              <w:bottom w:val="single" w:color="000000" w:sz="4" w:space="0"/>
              <w:right w:val="single" w:color="000000" w:sz="4" w:space="0"/>
            </w:tcBorders>
            <w:vAlign w:val="top"/>
          </w:tcPr>
          <w:p w14:paraId="1CFC5EA3">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r>
              <w:rPr>
                <w:b/>
                <w:color w:val="auto"/>
                <w:sz w:val="24"/>
                <w:szCs w:val="24"/>
              </w:rPr>
              <w:t>安保服务项目名称</w:t>
            </w:r>
          </w:p>
        </w:tc>
        <w:tc>
          <w:tcPr>
            <w:tcW w:w="1661" w:type="dxa"/>
            <w:tcBorders>
              <w:top w:val="nil"/>
              <w:left w:val="nil"/>
              <w:bottom w:val="single" w:color="000000" w:sz="4" w:space="0"/>
              <w:right w:val="single" w:color="000000" w:sz="4" w:space="0"/>
            </w:tcBorders>
            <w:vAlign w:val="top"/>
          </w:tcPr>
          <w:p w14:paraId="7250AA8F">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r>
              <w:rPr>
                <w:b/>
                <w:color w:val="auto"/>
                <w:sz w:val="24"/>
                <w:szCs w:val="24"/>
              </w:rPr>
              <w:t>岗位</w:t>
            </w:r>
          </w:p>
        </w:tc>
        <w:tc>
          <w:tcPr>
            <w:tcW w:w="1661" w:type="dxa"/>
            <w:tcBorders>
              <w:top w:val="nil"/>
              <w:left w:val="nil"/>
              <w:bottom w:val="single" w:color="000000" w:sz="4" w:space="0"/>
              <w:right w:val="single" w:color="000000" w:sz="4" w:space="0"/>
            </w:tcBorders>
            <w:vAlign w:val="top"/>
          </w:tcPr>
          <w:p w14:paraId="7911C27D">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r>
              <w:rPr>
                <w:b/>
                <w:color w:val="auto"/>
                <w:sz w:val="24"/>
                <w:szCs w:val="24"/>
              </w:rPr>
              <w:t>负责工作内容</w:t>
            </w:r>
          </w:p>
        </w:tc>
      </w:tr>
      <w:tr w14:paraId="5DE6854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661" w:type="dxa"/>
            <w:tcBorders>
              <w:top w:val="nil"/>
              <w:left w:val="single" w:color="000000" w:sz="4" w:space="0"/>
              <w:bottom w:val="single" w:color="000000" w:sz="4" w:space="0"/>
              <w:right w:val="single" w:color="000000" w:sz="4" w:space="0"/>
            </w:tcBorders>
            <w:vAlign w:val="top"/>
          </w:tcPr>
          <w:p w14:paraId="09E16CB9">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c>
          <w:tcPr>
            <w:tcW w:w="1661" w:type="dxa"/>
            <w:tcBorders>
              <w:top w:val="nil"/>
              <w:left w:val="nil"/>
              <w:bottom w:val="single" w:color="000000" w:sz="4" w:space="0"/>
              <w:right w:val="single" w:color="000000" w:sz="4" w:space="0"/>
            </w:tcBorders>
            <w:vAlign w:val="top"/>
          </w:tcPr>
          <w:p w14:paraId="2867E2D0">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c>
          <w:tcPr>
            <w:tcW w:w="1661" w:type="dxa"/>
            <w:tcBorders>
              <w:top w:val="nil"/>
              <w:left w:val="nil"/>
              <w:bottom w:val="single" w:color="000000" w:sz="4" w:space="0"/>
              <w:right w:val="single" w:color="000000" w:sz="4" w:space="0"/>
            </w:tcBorders>
            <w:vAlign w:val="top"/>
          </w:tcPr>
          <w:p w14:paraId="3886D45B">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c>
          <w:tcPr>
            <w:tcW w:w="1661" w:type="dxa"/>
            <w:tcBorders>
              <w:top w:val="nil"/>
              <w:left w:val="nil"/>
              <w:bottom w:val="single" w:color="000000" w:sz="4" w:space="0"/>
              <w:right w:val="single" w:color="000000" w:sz="4" w:space="0"/>
            </w:tcBorders>
            <w:vAlign w:val="top"/>
          </w:tcPr>
          <w:p w14:paraId="54AC84C4">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c>
          <w:tcPr>
            <w:tcW w:w="1661" w:type="dxa"/>
            <w:tcBorders>
              <w:top w:val="nil"/>
              <w:left w:val="nil"/>
              <w:bottom w:val="single" w:color="000000" w:sz="4" w:space="0"/>
              <w:right w:val="single" w:color="000000" w:sz="4" w:space="0"/>
            </w:tcBorders>
            <w:vAlign w:val="top"/>
          </w:tcPr>
          <w:p w14:paraId="19F5DA95">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r>
      <w:tr w14:paraId="1A3CEE3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661" w:type="dxa"/>
            <w:tcBorders>
              <w:top w:val="nil"/>
              <w:left w:val="single" w:color="000000" w:sz="4" w:space="0"/>
              <w:bottom w:val="single" w:color="000000" w:sz="4" w:space="0"/>
              <w:right w:val="single" w:color="000000" w:sz="4" w:space="0"/>
            </w:tcBorders>
            <w:vAlign w:val="top"/>
          </w:tcPr>
          <w:p w14:paraId="37523DF0">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c>
          <w:tcPr>
            <w:tcW w:w="1661" w:type="dxa"/>
            <w:tcBorders>
              <w:top w:val="nil"/>
              <w:left w:val="nil"/>
              <w:bottom w:val="single" w:color="000000" w:sz="4" w:space="0"/>
              <w:right w:val="single" w:color="000000" w:sz="4" w:space="0"/>
            </w:tcBorders>
            <w:vAlign w:val="top"/>
          </w:tcPr>
          <w:p w14:paraId="724B1C46">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c>
          <w:tcPr>
            <w:tcW w:w="1661" w:type="dxa"/>
            <w:tcBorders>
              <w:top w:val="nil"/>
              <w:left w:val="nil"/>
              <w:bottom w:val="single" w:color="000000" w:sz="4" w:space="0"/>
              <w:right w:val="single" w:color="000000" w:sz="4" w:space="0"/>
            </w:tcBorders>
            <w:vAlign w:val="top"/>
          </w:tcPr>
          <w:p w14:paraId="7965F743">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c>
          <w:tcPr>
            <w:tcW w:w="1661" w:type="dxa"/>
            <w:tcBorders>
              <w:top w:val="nil"/>
              <w:left w:val="nil"/>
              <w:bottom w:val="single" w:color="000000" w:sz="4" w:space="0"/>
              <w:right w:val="single" w:color="000000" w:sz="4" w:space="0"/>
            </w:tcBorders>
            <w:vAlign w:val="top"/>
          </w:tcPr>
          <w:p w14:paraId="46A249A2">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c>
          <w:tcPr>
            <w:tcW w:w="1661" w:type="dxa"/>
            <w:tcBorders>
              <w:top w:val="nil"/>
              <w:left w:val="nil"/>
              <w:bottom w:val="single" w:color="000000" w:sz="4" w:space="0"/>
              <w:right w:val="single" w:color="000000" w:sz="4" w:space="0"/>
            </w:tcBorders>
            <w:vAlign w:val="top"/>
          </w:tcPr>
          <w:p w14:paraId="26C73748">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r>
      <w:tr w14:paraId="6BB30AC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661" w:type="dxa"/>
            <w:tcBorders>
              <w:top w:val="nil"/>
              <w:left w:val="single" w:color="000000" w:sz="4" w:space="0"/>
              <w:bottom w:val="single" w:color="000000" w:sz="4" w:space="0"/>
              <w:right w:val="single" w:color="000000" w:sz="4" w:space="0"/>
            </w:tcBorders>
            <w:vAlign w:val="top"/>
          </w:tcPr>
          <w:p w14:paraId="2D9B333F">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c>
          <w:tcPr>
            <w:tcW w:w="1661" w:type="dxa"/>
            <w:tcBorders>
              <w:top w:val="nil"/>
              <w:left w:val="nil"/>
              <w:bottom w:val="single" w:color="000000" w:sz="4" w:space="0"/>
              <w:right w:val="single" w:color="000000" w:sz="4" w:space="0"/>
            </w:tcBorders>
            <w:vAlign w:val="top"/>
          </w:tcPr>
          <w:p w14:paraId="01B42A5F">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c>
          <w:tcPr>
            <w:tcW w:w="1661" w:type="dxa"/>
            <w:tcBorders>
              <w:top w:val="nil"/>
              <w:left w:val="nil"/>
              <w:bottom w:val="single" w:color="000000" w:sz="4" w:space="0"/>
              <w:right w:val="single" w:color="000000" w:sz="4" w:space="0"/>
            </w:tcBorders>
            <w:vAlign w:val="top"/>
          </w:tcPr>
          <w:p w14:paraId="49516CC0">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c>
          <w:tcPr>
            <w:tcW w:w="1661" w:type="dxa"/>
            <w:tcBorders>
              <w:top w:val="nil"/>
              <w:left w:val="nil"/>
              <w:bottom w:val="single" w:color="000000" w:sz="4" w:space="0"/>
              <w:right w:val="single" w:color="000000" w:sz="4" w:space="0"/>
            </w:tcBorders>
            <w:vAlign w:val="top"/>
          </w:tcPr>
          <w:p w14:paraId="46289E13">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c>
          <w:tcPr>
            <w:tcW w:w="1661" w:type="dxa"/>
            <w:tcBorders>
              <w:top w:val="nil"/>
              <w:left w:val="nil"/>
              <w:bottom w:val="single" w:color="000000" w:sz="4" w:space="0"/>
              <w:right w:val="single" w:color="000000" w:sz="4" w:space="0"/>
            </w:tcBorders>
            <w:vAlign w:val="top"/>
          </w:tcPr>
          <w:p w14:paraId="3354506F">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r>
    </w:tbl>
    <w:p w14:paraId="1FA16C4F">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21B6FA20">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6507BEA9">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5A85F45A">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6E01AB45">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690098C5">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2477E712">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2C348848">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430EF451">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61FFCA1A">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39DB5B7D">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1A0DFC9E">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7A9D0EBA">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79E3E173">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573D483D">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0DE2A0CF">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6CFB90F9">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4A8C4146">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7338140E">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3A04C7D5">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2E92315E">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7046CF11">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4A078EDD">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634B359C">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60724692">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71874467">
      <w:pPr>
        <w:keepNext w:val="0"/>
        <w:keepLines w:val="0"/>
        <w:pageBreakBefore w:val="0"/>
        <w:widowControl w:val="0"/>
        <w:kinsoku/>
        <w:wordWrap/>
        <w:overflowPunct/>
        <w:topLinePunct w:val="0"/>
        <w:bidi w:val="0"/>
        <w:adjustRightInd/>
        <w:snapToGrid/>
        <w:spacing w:line="400" w:lineRule="exact"/>
        <w:jc w:val="both"/>
        <w:textAlignment w:val="auto"/>
        <w:rPr>
          <w:b/>
          <w:color w:val="auto"/>
          <w:sz w:val="24"/>
          <w:szCs w:val="24"/>
        </w:rPr>
      </w:pPr>
    </w:p>
    <w:p w14:paraId="53EB323B">
      <w:pPr>
        <w:keepNext w:val="0"/>
        <w:keepLines w:val="0"/>
        <w:pageBreakBefore w:val="0"/>
        <w:widowControl w:val="0"/>
        <w:kinsoku/>
        <w:wordWrap/>
        <w:overflowPunct/>
        <w:topLinePunct w:val="0"/>
        <w:bidi w:val="0"/>
        <w:adjustRightInd/>
        <w:snapToGrid/>
        <w:spacing w:line="400" w:lineRule="exact"/>
        <w:jc w:val="both"/>
        <w:textAlignment w:val="auto"/>
        <w:rPr>
          <w:b/>
          <w:color w:val="auto"/>
          <w:sz w:val="24"/>
          <w:szCs w:val="24"/>
        </w:rPr>
      </w:pPr>
    </w:p>
    <w:p w14:paraId="0BD2F6D6">
      <w:pPr>
        <w:keepNext w:val="0"/>
        <w:keepLines w:val="0"/>
        <w:pageBreakBefore w:val="0"/>
        <w:widowControl w:val="0"/>
        <w:kinsoku/>
        <w:wordWrap/>
        <w:overflowPunct/>
        <w:topLinePunct w:val="0"/>
        <w:bidi w:val="0"/>
        <w:adjustRightInd/>
        <w:snapToGrid/>
        <w:spacing w:line="400" w:lineRule="exact"/>
        <w:jc w:val="both"/>
        <w:textAlignment w:val="auto"/>
        <w:rPr>
          <w:b/>
          <w:color w:val="auto"/>
          <w:sz w:val="24"/>
          <w:szCs w:val="24"/>
        </w:rPr>
      </w:pPr>
      <w:r>
        <w:rPr>
          <w:b/>
          <w:color w:val="auto"/>
          <w:sz w:val="24"/>
          <w:szCs w:val="24"/>
        </w:rPr>
        <w:t>（选用）附件：</w:t>
      </w:r>
    </w:p>
    <w:p w14:paraId="2C7E4819">
      <w:pPr>
        <w:keepNext w:val="0"/>
        <w:keepLines w:val="0"/>
        <w:pageBreakBefore w:val="0"/>
        <w:widowControl w:val="0"/>
        <w:kinsoku/>
        <w:wordWrap/>
        <w:overflowPunct/>
        <w:topLinePunct w:val="0"/>
        <w:bidi w:val="0"/>
        <w:adjustRightInd/>
        <w:snapToGrid/>
        <w:spacing w:line="400" w:lineRule="exact"/>
        <w:jc w:val="center"/>
        <w:textAlignment w:val="auto"/>
        <w:rPr>
          <w:b/>
          <w:color w:val="auto"/>
          <w:sz w:val="36"/>
          <w:szCs w:val="36"/>
        </w:rPr>
      </w:pPr>
      <w:r>
        <w:rPr>
          <w:b/>
          <w:color w:val="auto"/>
          <w:sz w:val="36"/>
          <w:szCs w:val="36"/>
        </w:rPr>
        <w:t>设备及专业技术能力情况表</w:t>
      </w:r>
    </w:p>
    <w:p w14:paraId="37671C99">
      <w:pPr>
        <w:keepNext w:val="0"/>
        <w:keepLines w:val="0"/>
        <w:pageBreakBefore w:val="0"/>
        <w:widowControl w:val="0"/>
        <w:kinsoku/>
        <w:wordWrap/>
        <w:overflowPunct/>
        <w:topLinePunct w:val="0"/>
        <w:bidi w:val="0"/>
        <w:adjustRightInd/>
        <w:snapToGrid/>
        <w:spacing w:line="400" w:lineRule="exact"/>
        <w:jc w:val="center"/>
        <w:textAlignment w:val="auto"/>
        <w:rPr>
          <w:b/>
          <w:color w:val="auto"/>
          <w:sz w:val="36"/>
          <w:szCs w:val="36"/>
        </w:rPr>
      </w:pPr>
    </w:p>
    <w:tbl>
      <w:tblPr>
        <w:tblStyle w:val="3"/>
        <w:tblW w:w="0" w:type="auto"/>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755"/>
        <w:gridCol w:w="3775"/>
        <w:gridCol w:w="1458"/>
        <w:gridCol w:w="2318"/>
      </w:tblGrid>
      <w:tr w14:paraId="199A851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306" w:type="dxa"/>
            <w:gridSpan w:val="4"/>
            <w:tcBorders>
              <w:top w:val="single" w:color="000000" w:sz="4" w:space="0"/>
              <w:left w:val="single" w:color="000000" w:sz="4" w:space="0"/>
              <w:bottom w:val="single" w:color="000000" w:sz="4" w:space="0"/>
              <w:right w:val="single" w:color="000000" w:sz="4" w:space="0"/>
            </w:tcBorders>
            <w:vAlign w:val="top"/>
          </w:tcPr>
          <w:p w14:paraId="38C93D8D">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r>
              <w:rPr>
                <w:b/>
                <w:color w:val="auto"/>
                <w:sz w:val="24"/>
                <w:szCs w:val="24"/>
              </w:rPr>
              <w:t>我单位为本项目实施提供以下设备和专业技术人员：</w:t>
            </w:r>
          </w:p>
        </w:tc>
      </w:tr>
      <w:tr w14:paraId="31C2ED6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55" w:type="dxa"/>
            <w:tcBorders>
              <w:top w:val="nil"/>
              <w:left w:val="single" w:color="000000" w:sz="4" w:space="0"/>
              <w:bottom w:val="single" w:color="000000" w:sz="4" w:space="0"/>
              <w:right w:val="single" w:color="000000" w:sz="4" w:space="0"/>
            </w:tcBorders>
            <w:vAlign w:val="top"/>
          </w:tcPr>
          <w:p w14:paraId="2F2B670A">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b/>
                <w:color w:val="auto"/>
                <w:sz w:val="24"/>
                <w:szCs w:val="24"/>
              </w:rPr>
              <w:t>序号</w:t>
            </w:r>
          </w:p>
        </w:tc>
        <w:tc>
          <w:tcPr>
            <w:tcW w:w="3775" w:type="dxa"/>
            <w:tcBorders>
              <w:top w:val="nil"/>
              <w:left w:val="nil"/>
              <w:bottom w:val="single" w:color="000000" w:sz="4" w:space="0"/>
              <w:right w:val="single" w:color="000000" w:sz="4" w:space="0"/>
            </w:tcBorders>
            <w:vAlign w:val="top"/>
          </w:tcPr>
          <w:p w14:paraId="1DE04F05">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b/>
                <w:color w:val="auto"/>
                <w:sz w:val="24"/>
                <w:szCs w:val="24"/>
              </w:rPr>
              <w:t>设备名称或专业技术人员</w:t>
            </w:r>
          </w:p>
        </w:tc>
        <w:tc>
          <w:tcPr>
            <w:tcW w:w="1458" w:type="dxa"/>
            <w:tcBorders>
              <w:top w:val="nil"/>
              <w:left w:val="nil"/>
              <w:bottom w:val="single" w:color="000000" w:sz="4" w:space="0"/>
              <w:right w:val="single" w:color="000000" w:sz="4" w:space="0"/>
            </w:tcBorders>
            <w:vAlign w:val="top"/>
          </w:tcPr>
          <w:p w14:paraId="3A6C99F1">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b/>
                <w:color w:val="auto"/>
                <w:sz w:val="24"/>
                <w:szCs w:val="24"/>
              </w:rPr>
              <w:t>数量及单位</w:t>
            </w:r>
          </w:p>
        </w:tc>
        <w:tc>
          <w:tcPr>
            <w:tcW w:w="2318" w:type="dxa"/>
            <w:tcBorders>
              <w:top w:val="nil"/>
              <w:left w:val="nil"/>
              <w:bottom w:val="single" w:color="000000" w:sz="4" w:space="0"/>
              <w:right w:val="single" w:color="000000" w:sz="4" w:space="0"/>
            </w:tcBorders>
            <w:vAlign w:val="top"/>
          </w:tcPr>
          <w:p w14:paraId="35354F19">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b/>
                <w:color w:val="auto"/>
                <w:sz w:val="24"/>
                <w:szCs w:val="24"/>
              </w:rPr>
              <w:t>备注</w:t>
            </w:r>
          </w:p>
        </w:tc>
      </w:tr>
      <w:tr w14:paraId="05825B2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55" w:type="dxa"/>
            <w:tcBorders>
              <w:top w:val="nil"/>
              <w:left w:val="single" w:color="000000" w:sz="4" w:space="0"/>
              <w:bottom w:val="single" w:color="000000" w:sz="4" w:space="0"/>
              <w:right w:val="single" w:color="000000" w:sz="4" w:space="0"/>
            </w:tcBorders>
            <w:vAlign w:val="top"/>
          </w:tcPr>
          <w:p w14:paraId="1C1ABC4C">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1</w:t>
            </w:r>
          </w:p>
        </w:tc>
        <w:tc>
          <w:tcPr>
            <w:tcW w:w="3775" w:type="dxa"/>
            <w:tcBorders>
              <w:top w:val="nil"/>
              <w:left w:val="nil"/>
              <w:bottom w:val="single" w:color="000000" w:sz="4" w:space="0"/>
              <w:right w:val="single" w:color="000000" w:sz="4" w:space="0"/>
            </w:tcBorders>
            <w:vAlign w:val="top"/>
          </w:tcPr>
          <w:p w14:paraId="4DB8D752">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tc>
        <w:tc>
          <w:tcPr>
            <w:tcW w:w="1458" w:type="dxa"/>
            <w:tcBorders>
              <w:top w:val="nil"/>
              <w:left w:val="nil"/>
              <w:bottom w:val="single" w:color="000000" w:sz="4" w:space="0"/>
              <w:right w:val="single" w:color="000000" w:sz="4" w:space="0"/>
            </w:tcBorders>
            <w:vAlign w:val="top"/>
          </w:tcPr>
          <w:p w14:paraId="64F29BD2">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tc>
        <w:tc>
          <w:tcPr>
            <w:tcW w:w="2318" w:type="dxa"/>
            <w:tcBorders>
              <w:top w:val="nil"/>
              <w:left w:val="nil"/>
              <w:bottom w:val="single" w:color="000000" w:sz="4" w:space="0"/>
              <w:right w:val="single" w:color="000000" w:sz="4" w:space="0"/>
            </w:tcBorders>
            <w:vAlign w:val="top"/>
          </w:tcPr>
          <w:p w14:paraId="1F736E92">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tc>
      </w:tr>
      <w:tr w14:paraId="7B88872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55" w:type="dxa"/>
            <w:tcBorders>
              <w:top w:val="nil"/>
              <w:left w:val="single" w:color="000000" w:sz="4" w:space="0"/>
              <w:bottom w:val="single" w:color="000000" w:sz="4" w:space="0"/>
              <w:right w:val="single" w:color="000000" w:sz="4" w:space="0"/>
            </w:tcBorders>
            <w:vAlign w:val="top"/>
          </w:tcPr>
          <w:p w14:paraId="5C3F2F86">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2</w:t>
            </w:r>
          </w:p>
        </w:tc>
        <w:tc>
          <w:tcPr>
            <w:tcW w:w="3775" w:type="dxa"/>
            <w:tcBorders>
              <w:top w:val="nil"/>
              <w:left w:val="nil"/>
              <w:bottom w:val="single" w:color="000000" w:sz="4" w:space="0"/>
              <w:right w:val="single" w:color="000000" w:sz="4" w:space="0"/>
            </w:tcBorders>
            <w:vAlign w:val="top"/>
          </w:tcPr>
          <w:p w14:paraId="4CB2B10B">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tc>
        <w:tc>
          <w:tcPr>
            <w:tcW w:w="1458" w:type="dxa"/>
            <w:tcBorders>
              <w:top w:val="nil"/>
              <w:left w:val="nil"/>
              <w:bottom w:val="single" w:color="000000" w:sz="4" w:space="0"/>
              <w:right w:val="single" w:color="000000" w:sz="4" w:space="0"/>
            </w:tcBorders>
            <w:vAlign w:val="top"/>
          </w:tcPr>
          <w:p w14:paraId="653E5073">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tc>
        <w:tc>
          <w:tcPr>
            <w:tcW w:w="2318" w:type="dxa"/>
            <w:tcBorders>
              <w:top w:val="nil"/>
              <w:left w:val="nil"/>
              <w:bottom w:val="single" w:color="000000" w:sz="4" w:space="0"/>
              <w:right w:val="single" w:color="000000" w:sz="4" w:space="0"/>
            </w:tcBorders>
            <w:vAlign w:val="top"/>
          </w:tcPr>
          <w:p w14:paraId="71214292">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tc>
      </w:tr>
      <w:tr w14:paraId="3F6AF23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55" w:type="dxa"/>
            <w:tcBorders>
              <w:top w:val="nil"/>
              <w:left w:val="single" w:color="000000" w:sz="4" w:space="0"/>
              <w:bottom w:val="single" w:color="000000" w:sz="4" w:space="0"/>
              <w:right w:val="single" w:color="000000" w:sz="4" w:space="0"/>
            </w:tcBorders>
            <w:vAlign w:val="top"/>
          </w:tcPr>
          <w:p w14:paraId="774640CC">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3</w:t>
            </w:r>
          </w:p>
        </w:tc>
        <w:tc>
          <w:tcPr>
            <w:tcW w:w="3775" w:type="dxa"/>
            <w:tcBorders>
              <w:top w:val="nil"/>
              <w:left w:val="nil"/>
              <w:bottom w:val="single" w:color="000000" w:sz="4" w:space="0"/>
              <w:right w:val="single" w:color="000000" w:sz="4" w:space="0"/>
            </w:tcBorders>
            <w:vAlign w:val="top"/>
          </w:tcPr>
          <w:p w14:paraId="105B69CE">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tc>
        <w:tc>
          <w:tcPr>
            <w:tcW w:w="1458" w:type="dxa"/>
            <w:tcBorders>
              <w:top w:val="nil"/>
              <w:left w:val="nil"/>
              <w:bottom w:val="single" w:color="000000" w:sz="4" w:space="0"/>
              <w:right w:val="single" w:color="000000" w:sz="4" w:space="0"/>
            </w:tcBorders>
            <w:vAlign w:val="top"/>
          </w:tcPr>
          <w:p w14:paraId="3AEC2E0A">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tc>
        <w:tc>
          <w:tcPr>
            <w:tcW w:w="2318" w:type="dxa"/>
            <w:tcBorders>
              <w:top w:val="nil"/>
              <w:left w:val="nil"/>
              <w:bottom w:val="single" w:color="000000" w:sz="4" w:space="0"/>
              <w:right w:val="single" w:color="000000" w:sz="4" w:space="0"/>
            </w:tcBorders>
            <w:vAlign w:val="top"/>
          </w:tcPr>
          <w:p w14:paraId="125235C8">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tc>
      </w:tr>
      <w:tr w14:paraId="68DA91F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55" w:type="dxa"/>
            <w:tcBorders>
              <w:top w:val="nil"/>
              <w:left w:val="single" w:color="000000" w:sz="4" w:space="0"/>
              <w:bottom w:val="single" w:color="000000" w:sz="4" w:space="0"/>
              <w:right w:val="single" w:color="000000" w:sz="4" w:space="0"/>
            </w:tcBorders>
            <w:vAlign w:val="top"/>
          </w:tcPr>
          <w:p w14:paraId="5380E6FD">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w:t>
            </w:r>
          </w:p>
        </w:tc>
        <w:tc>
          <w:tcPr>
            <w:tcW w:w="3775" w:type="dxa"/>
            <w:tcBorders>
              <w:top w:val="nil"/>
              <w:left w:val="nil"/>
              <w:bottom w:val="single" w:color="000000" w:sz="4" w:space="0"/>
              <w:right w:val="single" w:color="000000" w:sz="4" w:space="0"/>
            </w:tcBorders>
            <w:vAlign w:val="top"/>
          </w:tcPr>
          <w:p w14:paraId="3E007AE3">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tc>
        <w:tc>
          <w:tcPr>
            <w:tcW w:w="1458" w:type="dxa"/>
            <w:tcBorders>
              <w:top w:val="nil"/>
              <w:left w:val="nil"/>
              <w:bottom w:val="single" w:color="000000" w:sz="4" w:space="0"/>
              <w:right w:val="single" w:color="000000" w:sz="4" w:space="0"/>
            </w:tcBorders>
            <w:vAlign w:val="top"/>
          </w:tcPr>
          <w:p w14:paraId="3F6DC8E6">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tc>
        <w:tc>
          <w:tcPr>
            <w:tcW w:w="2318" w:type="dxa"/>
            <w:tcBorders>
              <w:top w:val="nil"/>
              <w:left w:val="nil"/>
              <w:bottom w:val="single" w:color="000000" w:sz="4" w:space="0"/>
              <w:right w:val="single" w:color="000000" w:sz="4" w:space="0"/>
            </w:tcBorders>
            <w:vAlign w:val="top"/>
          </w:tcPr>
          <w:p w14:paraId="44595791">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tc>
      </w:tr>
    </w:tbl>
    <w:p w14:paraId="4FC74855">
      <w:pPr>
        <w:keepNext w:val="0"/>
        <w:keepLines w:val="0"/>
        <w:pageBreakBefore w:val="0"/>
        <w:widowControl w:val="0"/>
        <w:kinsoku/>
        <w:wordWrap/>
        <w:overflowPunct/>
        <w:topLinePunct w:val="0"/>
        <w:bidi w:val="0"/>
        <w:adjustRightInd/>
        <w:snapToGrid/>
        <w:spacing w:line="400" w:lineRule="exact"/>
        <w:jc w:val="both"/>
        <w:textAlignment w:val="auto"/>
        <w:rPr>
          <w:color w:val="auto"/>
          <w:sz w:val="24"/>
          <w:szCs w:val="24"/>
        </w:rPr>
      </w:pPr>
    </w:p>
    <w:p w14:paraId="42FC48BE">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18982A0F">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2B566074">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732A774B">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07D10891">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5FDF34AA">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4BC92C14">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5DC7EF13">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7F73CBCA">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74F96F00">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04BA6400">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23EB371F">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2B03A66C">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3D1077F4">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7514D633">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7C865E30">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464205F3">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25E46EF2">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198D70B8">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22AFB15A">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76F4796B">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22BC102C">
      <w:pPr>
        <w:keepNext w:val="0"/>
        <w:keepLines w:val="0"/>
        <w:pageBreakBefore w:val="0"/>
        <w:widowControl w:val="0"/>
        <w:kinsoku/>
        <w:wordWrap/>
        <w:overflowPunct/>
        <w:topLinePunct w:val="0"/>
        <w:bidi w:val="0"/>
        <w:adjustRightInd/>
        <w:snapToGrid/>
        <w:spacing w:line="400" w:lineRule="exact"/>
        <w:ind w:firstLine="480"/>
        <w:textAlignment w:val="auto"/>
        <w:rPr>
          <w:color w:val="auto"/>
          <w:sz w:val="24"/>
          <w:szCs w:val="24"/>
        </w:rPr>
      </w:pPr>
    </w:p>
    <w:p w14:paraId="3D00000F">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43E5EE3D">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r>
        <w:rPr>
          <w:color w:val="auto"/>
          <w:sz w:val="24"/>
          <w:szCs w:val="24"/>
        </w:rPr>
        <w:t>采购包1学院安保服务项目）</w:t>
      </w:r>
      <w:r>
        <w:rPr>
          <w:b/>
          <w:color w:val="auto"/>
          <w:sz w:val="24"/>
          <w:szCs w:val="24"/>
        </w:rPr>
        <w:t>1.主要商务要求</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706"/>
        <w:gridCol w:w="6816"/>
      </w:tblGrid>
      <w:tr w14:paraId="16CD1F1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vAlign w:val="center"/>
          </w:tcPr>
          <w:p w14:paraId="2ECF7116">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标的提供的</w:t>
            </w:r>
          </w:p>
          <w:p w14:paraId="4D9C9C4C">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时间</w:t>
            </w:r>
          </w:p>
        </w:tc>
        <w:tc>
          <w:tcPr>
            <w:tcW w:w="4153" w:type="dxa"/>
            <w:vAlign w:val="center"/>
          </w:tcPr>
          <w:p w14:paraId="7969316B">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202</w:t>
            </w:r>
            <w:r>
              <w:rPr>
                <w:rFonts w:hint="eastAsia"/>
                <w:color w:val="auto"/>
                <w:sz w:val="24"/>
                <w:szCs w:val="24"/>
                <w:lang w:val="en-US" w:eastAsia="zh-CN"/>
              </w:rPr>
              <w:t>6</w:t>
            </w:r>
            <w:r>
              <w:rPr>
                <w:color w:val="auto"/>
                <w:sz w:val="24"/>
                <w:szCs w:val="24"/>
              </w:rPr>
              <w:t>年</w:t>
            </w:r>
            <w:r>
              <w:rPr>
                <w:rFonts w:hint="eastAsia"/>
                <w:color w:val="auto"/>
                <w:sz w:val="24"/>
                <w:szCs w:val="24"/>
                <w:lang w:val="en-US" w:eastAsia="zh-CN"/>
              </w:rPr>
              <w:t>9</w:t>
            </w:r>
            <w:r>
              <w:rPr>
                <w:color w:val="auto"/>
                <w:sz w:val="24"/>
                <w:szCs w:val="24"/>
              </w:rPr>
              <w:t>月</w:t>
            </w:r>
            <w:r>
              <w:rPr>
                <w:rFonts w:hint="eastAsia"/>
                <w:color w:val="auto"/>
                <w:sz w:val="24"/>
                <w:szCs w:val="24"/>
                <w:lang w:val="en-US" w:eastAsia="zh-CN"/>
              </w:rPr>
              <w:t>30</w:t>
            </w:r>
            <w:r>
              <w:rPr>
                <w:color w:val="auto"/>
                <w:sz w:val="24"/>
                <w:szCs w:val="24"/>
              </w:rPr>
              <w:t>日起-</w:t>
            </w:r>
            <w:r>
              <w:rPr>
                <w:rFonts w:hint="eastAsia"/>
                <w:color w:val="auto"/>
                <w:sz w:val="24"/>
                <w:szCs w:val="24"/>
                <w:lang w:val="en-US" w:eastAsia="zh-CN"/>
              </w:rPr>
              <w:t xml:space="preserve">    </w:t>
            </w:r>
            <w:r>
              <w:rPr>
                <w:color w:val="auto"/>
                <w:sz w:val="24"/>
                <w:szCs w:val="24"/>
              </w:rPr>
              <w:t>年</w:t>
            </w:r>
            <w:r>
              <w:rPr>
                <w:rFonts w:hint="eastAsia"/>
                <w:color w:val="auto"/>
                <w:sz w:val="24"/>
                <w:szCs w:val="24"/>
                <w:lang w:val="en-US" w:eastAsia="zh-CN"/>
              </w:rPr>
              <w:t xml:space="preserve">    </w:t>
            </w:r>
            <w:r>
              <w:rPr>
                <w:color w:val="auto"/>
                <w:sz w:val="24"/>
                <w:szCs w:val="24"/>
              </w:rPr>
              <w:t>月</w:t>
            </w:r>
            <w:r>
              <w:rPr>
                <w:rFonts w:hint="eastAsia"/>
                <w:color w:val="auto"/>
                <w:sz w:val="24"/>
                <w:szCs w:val="24"/>
                <w:lang w:val="en-US" w:eastAsia="zh-CN"/>
              </w:rPr>
              <w:t xml:space="preserve">    </w:t>
            </w:r>
            <w:r>
              <w:rPr>
                <w:color w:val="auto"/>
                <w:sz w:val="24"/>
                <w:szCs w:val="24"/>
              </w:rPr>
              <w:t>日</w:t>
            </w:r>
          </w:p>
        </w:tc>
      </w:tr>
      <w:tr w14:paraId="5BF8A1D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vAlign w:val="center"/>
          </w:tcPr>
          <w:p w14:paraId="0DF6DC23">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标的提供的</w:t>
            </w:r>
          </w:p>
          <w:p w14:paraId="18939184">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地点</w:t>
            </w:r>
          </w:p>
        </w:tc>
        <w:tc>
          <w:tcPr>
            <w:tcW w:w="4153" w:type="dxa"/>
            <w:vAlign w:val="center"/>
          </w:tcPr>
          <w:p w14:paraId="62BF5E08">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学院天河校区</w:t>
            </w:r>
            <w:r>
              <w:rPr>
                <w:rFonts w:hint="eastAsia"/>
                <w:color w:val="auto"/>
                <w:sz w:val="24"/>
                <w:szCs w:val="24"/>
                <w:lang w:eastAsia="zh-CN"/>
              </w:rPr>
              <w:t>、</w:t>
            </w:r>
            <w:r>
              <w:rPr>
                <w:rFonts w:hint="eastAsia"/>
                <w:color w:val="auto"/>
                <w:sz w:val="24"/>
                <w:szCs w:val="24"/>
                <w:lang w:val="en-US" w:eastAsia="zh-CN"/>
              </w:rPr>
              <w:t>南苑和北苑</w:t>
            </w:r>
            <w:r>
              <w:rPr>
                <w:color w:val="auto"/>
                <w:sz w:val="24"/>
                <w:szCs w:val="24"/>
              </w:rPr>
              <w:t>及海珠校区</w:t>
            </w:r>
          </w:p>
        </w:tc>
      </w:tr>
      <w:tr w14:paraId="5B6D5ED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vAlign w:val="center"/>
          </w:tcPr>
          <w:p w14:paraId="35B2D19D">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付款方式</w:t>
            </w:r>
          </w:p>
        </w:tc>
        <w:tc>
          <w:tcPr>
            <w:tcW w:w="4153" w:type="dxa"/>
          </w:tcPr>
          <w:p w14:paraId="76D54214">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r>
              <w:rPr>
                <w:color w:val="auto"/>
                <w:sz w:val="24"/>
                <w:szCs w:val="24"/>
              </w:rPr>
              <w:t>1期：支付比例100%,1.服务费用支付方式：采购人于下月的15日前向中标人支付上月保安服务费。中标人应在采购人办理付款手续前5个工作日内，提供采购人考核结果等额的正式发票，以便采购人及时办理付款手续。（如中标人为中小企业，采购人于合同签定之日且收到发票后15日内向中标人支付当年合同总额的30%。）</w:t>
            </w:r>
          </w:p>
        </w:tc>
      </w:tr>
      <w:tr w14:paraId="3334434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vAlign w:val="center"/>
          </w:tcPr>
          <w:p w14:paraId="74524C91">
            <w:pPr>
              <w:keepNext w:val="0"/>
              <w:keepLines w:val="0"/>
              <w:pageBreakBefore w:val="0"/>
              <w:widowControl w:val="0"/>
              <w:kinsoku/>
              <w:wordWrap/>
              <w:overflowPunct/>
              <w:topLinePunct w:val="0"/>
              <w:autoSpaceDE w:val="0"/>
              <w:autoSpaceDN w:val="0"/>
              <w:bidi w:val="0"/>
              <w:adjustRightInd/>
              <w:snapToGrid/>
              <w:spacing w:line="400" w:lineRule="exact"/>
              <w:jc w:val="center"/>
              <w:textAlignment w:val="auto"/>
              <w:rPr>
                <w:color w:val="auto"/>
                <w:sz w:val="24"/>
                <w:szCs w:val="24"/>
              </w:rPr>
            </w:pPr>
            <w:r>
              <w:rPr>
                <w:rFonts w:hint="eastAsia" w:asciiTheme="majorEastAsia" w:hAnsiTheme="majorEastAsia" w:eastAsiaTheme="majorEastAsia" w:cstheme="majorEastAsia"/>
                <w:i w:val="0"/>
                <w:iCs w:val="0"/>
                <w:caps w:val="0"/>
                <w:color w:val="auto"/>
                <w:spacing w:val="4"/>
                <w:sz w:val="24"/>
                <w:szCs w:val="24"/>
                <w:shd w:val="clear" w:fill="FFFFFF"/>
              </w:rPr>
              <w:t>考核、验收与退出机制</w:t>
            </w:r>
          </w:p>
          <w:p w14:paraId="5288BA16">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p>
        </w:tc>
        <w:tc>
          <w:tcPr>
            <w:tcW w:w="4153" w:type="dxa"/>
          </w:tcPr>
          <w:p w14:paraId="6484C798">
            <w:pPr>
              <w:bidi w:val="0"/>
              <w:rPr>
                <w:color w:val="auto"/>
                <w:sz w:val="24"/>
                <w:szCs w:val="24"/>
              </w:rPr>
            </w:pPr>
            <w:r>
              <w:rPr>
                <w:color w:val="auto"/>
                <w:sz w:val="24"/>
                <w:szCs w:val="24"/>
              </w:rPr>
              <w:t>1期：</w:t>
            </w:r>
            <w:r>
              <w:rPr>
                <w:color w:val="auto"/>
                <w:sz w:val="24"/>
                <w:szCs w:val="24"/>
                <w:lang w:val="en-US" w:eastAsia="zh-CN"/>
              </w:rPr>
              <w:t>1.</w:t>
            </w:r>
            <w:r>
              <w:rPr>
                <w:color w:val="auto"/>
                <w:sz w:val="24"/>
                <w:szCs w:val="24"/>
              </w:rPr>
              <w:t>考核机制与费用挂钩</w:t>
            </w:r>
          </w:p>
          <w:p w14:paraId="3BDB39F7">
            <w:pPr>
              <w:bidi w:val="0"/>
              <w:rPr>
                <w:rFonts w:hint="default"/>
                <w:color w:val="auto"/>
                <w:sz w:val="24"/>
                <w:szCs w:val="24"/>
                <w:lang w:val="en-US" w:eastAsia="zh-CN"/>
              </w:rPr>
            </w:pPr>
            <w:r>
              <w:rPr>
                <w:color w:val="auto"/>
                <w:sz w:val="24"/>
                <w:szCs w:val="24"/>
              </w:rPr>
              <w:t>实行“月度+年度+满意度”多维考核，结果直接挂钩服务费支付：</w:t>
            </w:r>
            <w:r>
              <w:rPr>
                <w:color w:val="auto"/>
                <w:sz w:val="24"/>
                <w:szCs w:val="24"/>
              </w:rPr>
              <w:br w:type="textWrapping"/>
            </w:r>
            <w:r>
              <w:rPr>
                <w:color w:val="auto"/>
                <w:sz w:val="24"/>
                <w:szCs w:val="24"/>
              </w:rPr>
              <w:t>（1）月度考评（权重40%）：重点考核在岗人数、响应速度及校园秩序。得分≥90分全额支付；80-89分支付95%；70-79分支付90%；低于70分视为严重不合格，当月服务费不予支付，并扣除5%履约保证金。</w:t>
            </w:r>
            <w:r>
              <w:rPr>
                <w:color w:val="auto"/>
                <w:sz w:val="24"/>
                <w:szCs w:val="24"/>
              </w:rPr>
              <w:br w:type="textWrapping"/>
            </w:r>
            <w:r>
              <w:rPr>
                <w:color w:val="auto"/>
                <w:sz w:val="24"/>
                <w:szCs w:val="24"/>
              </w:rPr>
              <w:t>（2）年度与满意度（权重60%）：每学年末进行年度考核及满意度调查。实行“一票否决制”，若发生重大责任事故（如火灾、恶性案件）或监守自盗，采购人有权单方解除合同并追究法律责任。</w:t>
            </w:r>
            <w:r>
              <w:rPr>
                <w:color w:val="auto"/>
                <w:sz w:val="24"/>
                <w:szCs w:val="24"/>
              </w:rPr>
              <w:br w:type="textWrapping"/>
            </w:r>
            <w:r>
              <w:rPr>
                <w:color w:val="auto"/>
                <w:sz w:val="24"/>
                <w:szCs w:val="24"/>
              </w:rPr>
              <w:t>（3）末位淘汰：保安员满意度连续两次低于70分或被实名投诉经查实的，中标人须在3个工作日内无条件更换人员。</w:t>
            </w:r>
            <w:r>
              <w:rPr>
                <w:color w:val="auto"/>
                <w:sz w:val="24"/>
                <w:szCs w:val="24"/>
              </w:rPr>
              <w:br w:type="textWrapping"/>
            </w:r>
            <w:r>
              <w:rPr>
                <w:rFonts w:hint="eastAsia"/>
                <w:color w:val="auto"/>
                <w:sz w:val="24"/>
                <w:szCs w:val="24"/>
              </w:rPr>
              <w:t>（4）考核实施与量化扣罚：本考核由保卫部门负责，每月参照《学院安保服务考核评分表》（见附件）对中标人的服务质量进行评分。考核结果直接与当月安保服务费结算挂钩：若月度考核得分低于</w:t>
            </w:r>
            <w:r>
              <w:rPr>
                <w:rFonts w:hint="eastAsia"/>
                <w:color w:val="auto"/>
                <w:sz w:val="24"/>
                <w:szCs w:val="24"/>
                <w:lang w:val="en-US" w:eastAsia="zh-CN"/>
              </w:rPr>
              <w:t>9</w:t>
            </w:r>
            <w:r>
              <w:rPr>
                <w:rFonts w:hint="eastAsia"/>
                <w:color w:val="auto"/>
                <w:sz w:val="24"/>
                <w:szCs w:val="24"/>
              </w:rPr>
              <w:t>0分，采购人有权从当月安保服务费中扣除</w:t>
            </w:r>
            <w:r>
              <w:rPr>
                <w:rFonts w:hint="eastAsia"/>
                <w:color w:val="auto"/>
                <w:sz w:val="24"/>
                <w:szCs w:val="24"/>
                <w:lang w:val="en-US" w:eastAsia="zh-CN"/>
              </w:rPr>
              <w:t>人民币</w:t>
            </w:r>
            <w:r>
              <w:rPr>
                <w:rFonts w:hint="eastAsia"/>
                <w:color w:val="auto"/>
                <w:sz w:val="24"/>
                <w:szCs w:val="24"/>
              </w:rPr>
              <w:t>2000元作为违约金；若连续两个月考核得分低于</w:t>
            </w:r>
            <w:r>
              <w:rPr>
                <w:rFonts w:hint="eastAsia"/>
                <w:color w:val="auto"/>
                <w:sz w:val="24"/>
                <w:szCs w:val="24"/>
                <w:lang w:val="en-US" w:eastAsia="zh-CN"/>
              </w:rPr>
              <w:t>9</w:t>
            </w:r>
            <w:r>
              <w:rPr>
                <w:rFonts w:hint="eastAsia"/>
                <w:color w:val="auto"/>
                <w:sz w:val="24"/>
                <w:szCs w:val="24"/>
              </w:rPr>
              <w:t>0分，采购人有权单方解除合同。</w:t>
            </w:r>
          </w:p>
          <w:p w14:paraId="226E7ED2">
            <w:pPr>
              <w:bidi w:val="0"/>
              <w:rPr>
                <w:color w:val="auto"/>
                <w:sz w:val="24"/>
                <w:szCs w:val="24"/>
              </w:rPr>
            </w:pPr>
            <w:r>
              <w:rPr>
                <w:color w:val="auto"/>
                <w:sz w:val="24"/>
                <w:szCs w:val="24"/>
              </w:rPr>
              <w:t>2. 多层次退出与清退机制</w:t>
            </w:r>
            <w:r>
              <w:rPr>
                <w:color w:val="auto"/>
                <w:sz w:val="24"/>
                <w:szCs w:val="24"/>
              </w:rPr>
              <w:br w:type="textWrapping"/>
            </w:r>
            <w:r>
              <w:rPr>
                <w:color w:val="auto"/>
                <w:sz w:val="24"/>
                <w:szCs w:val="24"/>
              </w:rPr>
              <w:t>（1）人员清退：对有违法犯罪记录、违纪（打架/酗酒/盗窃）或不胜任岗位的人员，采购人有权随时清退，中标人须在24小时内补齐空缺，确保岗位不空缺。</w:t>
            </w:r>
            <w:r>
              <w:rPr>
                <w:color w:val="auto"/>
                <w:sz w:val="24"/>
                <w:szCs w:val="24"/>
              </w:rPr>
              <w:br w:type="textWrapping"/>
            </w:r>
            <w:r>
              <w:rPr>
                <w:color w:val="auto"/>
                <w:sz w:val="24"/>
                <w:szCs w:val="24"/>
              </w:rPr>
              <w:t>（2）项目解约：若出现年度考核不合格且整改无效、因欠薪引发群体性事件、擅自减员超5%或造成重大损失拒不赔偿等情形，采购人有权单方解除合同。</w:t>
            </w:r>
            <w:r>
              <w:rPr>
                <w:color w:val="auto"/>
                <w:sz w:val="24"/>
                <w:szCs w:val="24"/>
              </w:rPr>
              <w:br w:type="textWrapping"/>
            </w:r>
            <w:r>
              <w:rPr>
                <w:color w:val="auto"/>
                <w:sz w:val="24"/>
                <w:szCs w:val="24"/>
              </w:rPr>
              <w:t>（3）退出交接：合同终止或解除后，中标人须在5个工作日内完成撤离及移交（含技防密码、档案记录等）。每逾期一日，须支付合同总额5‰的违约金。</w:t>
            </w:r>
          </w:p>
          <w:p w14:paraId="497899A5">
            <w:pPr>
              <w:bidi w:val="0"/>
              <w:rPr>
                <w:color w:val="auto"/>
                <w:sz w:val="24"/>
                <w:szCs w:val="24"/>
              </w:rPr>
            </w:pPr>
            <w:r>
              <w:rPr>
                <w:color w:val="auto"/>
                <w:sz w:val="24"/>
                <w:szCs w:val="24"/>
              </w:rPr>
              <w:t>附件：</w:t>
            </w:r>
            <w:r>
              <w:rPr>
                <w:rFonts w:hint="eastAsia"/>
                <w:color w:val="auto"/>
                <w:sz w:val="24"/>
                <w:szCs w:val="24"/>
              </w:rPr>
              <w:t>学院安保服务考核评分表</w:t>
            </w:r>
          </w:p>
        </w:tc>
      </w:tr>
      <w:tr w14:paraId="674625C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vAlign w:val="center"/>
          </w:tcPr>
          <w:p w14:paraId="75F358D0">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履约保证金</w:t>
            </w:r>
          </w:p>
        </w:tc>
        <w:tc>
          <w:tcPr>
            <w:tcW w:w="4153" w:type="dxa"/>
          </w:tcPr>
          <w:p w14:paraId="5F80D9A2">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r>
              <w:rPr>
                <w:color w:val="auto"/>
                <w:sz w:val="24"/>
                <w:szCs w:val="24"/>
              </w:rPr>
              <w:t>收取比例：</w:t>
            </w:r>
            <w:r>
              <w:rPr>
                <w:rFonts w:hint="eastAsia"/>
                <w:color w:val="auto"/>
                <w:sz w:val="24"/>
                <w:szCs w:val="24"/>
                <w:lang w:val="en-US" w:eastAsia="zh-CN"/>
              </w:rPr>
              <w:t>3</w:t>
            </w:r>
            <w:r>
              <w:rPr>
                <w:color w:val="auto"/>
                <w:sz w:val="24"/>
                <w:szCs w:val="24"/>
              </w:rPr>
              <w:t>%,说明：签订合同前中标人向采购人缴纳合同总金额的</w:t>
            </w:r>
            <w:r>
              <w:rPr>
                <w:rFonts w:hint="eastAsia"/>
                <w:color w:val="auto"/>
                <w:sz w:val="24"/>
                <w:szCs w:val="24"/>
                <w:lang w:val="en-US" w:eastAsia="zh-CN"/>
              </w:rPr>
              <w:t>3</w:t>
            </w:r>
            <w:r>
              <w:rPr>
                <w:color w:val="auto"/>
                <w:sz w:val="24"/>
                <w:szCs w:val="24"/>
              </w:rPr>
              <w:t>%现金或银行转账等方式作为履约保证金，合同期满（包括终止合同）后学院于15天内无息退还给中标人。合同期间，如中标人出现重大服务质量问题和严重违约行为，采购人除追究中标人相关责任外将没收履约保证金。</w:t>
            </w:r>
          </w:p>
          <w:p w14:paraId="21A4437C">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r>
              <w:rPr>
                <w:color w:val="auto"/>
                <w:sz w:val="24"/>
                <w:szCs w:val="24"/>
              </w:rPr>
              <w:t>履约保证金可以以履约保函（保险）形式提供，目前"广东政府采购智慧云平台金融服务中心(https://gdgpo.czt.gd.gov.cn/zcdservice/zcd/guangdong/)已实现电子履约保函（保险）在线办理功能，有意愿供应商可自行办理提供。</w:t>
            </w:r>
          </w:p>
        </w:tc>
      </w:tr>
      <w:tr w14:paraId="46120AB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3711E338">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r>
              <w:rPr>
                <w:color w:val="auto"/>
                <w:sz w:val="24"/>
                <w:szCs w:val="24"/>
              </w:rPr>
              <w:t>其他</w:t>
            </w:r>
          </w:p>
        </w:tc>
        <w:tc>
          <w:tcPr>
            <w:tcW w:w="4153" w:type="dxa"/>
          </w:tcPr>
          <w:p w14:paraId="3A71C123">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tc>
      </w:tr>
    </w:tbl>
    <w:p w14:paraId="15515802">
      <w:pPr>
        <w:keepNext w:val="0"/>
        <w:keepLines w:val="0"/>
        <w:pageBreakBefore w:val="0"/>
        <w:widowControl w:val="0"/>
        <w:kinsoku/>
        <w:wordWrap/>
        <w:overflowPunct/>
        <w:topLinePunct w:val="0"/>
        <w:bidi w:val="0"/>
        <w:adjustRightInd/>
        <w:snapToGrid/>
        <w:spacing w:line="400" w:lineRule="exact"/>
        <w:textAlignment w:val="auto"/>
        <w:rPr>
          <w:b/>
          <w:color w:val="auto"/>
          <w:sz w:val="24"/>
          <w:szCs w:val="24"/>
        </w:rPr>
      </w:pPr>
    </w:p>
    <w:p w14:paraId="736A1504">
      <w:pPr>
        <w:keepNext w:val="0"/>
        <w:keepLines w:val="0"/>
        <w:pageBreakBefore w:val="0"/>
        <w:widowControl w:val="0"/>
        <w:kinsoku/>
        <w:wordWrap/>
        <w:overflowPunct/>
        <w:topLinePunct w:val="0"/>
        <w:bidi w:val="0"/>
        <w:adjustRightInd/>
        <w:snapToGrid/>
        <w:spacing w:line="400" w:lineRule="exact"/>
        <w:textAlignment w:val="auto"/>
        <w:rPr>
          <w:b/>
          <w:color w:val="auto"/>
          <w:sz w:val="24"/>
          <w:szCs w:val="24"/>
        </w:rPr>
      </w:pPr>
    </w:p>
    <w:p w14:paraId="71BC8E8D">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r>
        <w:rPr>
          <w:b/>
          <w:color w:val="auto"/>
          <w:sz w:val="24"/>
          <w:szCs w:val="24"/>
        </w:rPr>
        <w:t>2.技术标准与要求</w:t>
      </w:r>
    </w:p>
    <w:p w14:paraId="32767D52">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933"/>
        <w:gridCol w:w="933"/>
        <w:gridCol w:w="933"/>
        <w:gridCol w:w="933"/>
        <w:gridCol w:w="933"/>
        <w:gridCol w:w="936"/>
        <w:gridCol w:w="936"/>
        <w:gridCol w:w="840"/>
        <w:gridCol w:w="933"/>
      </w:tblGrid>
      <w:tr w14:paraId="427488F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33" w:type="dxa"/>
          </w:tcPr>
          <w:p w14:paraId="4AA016E9">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序号</w:t>
            </w:r>
          </w:p>
        </w:tc>
        <w:tc>
          <w:tcPr>
            <w:tcW w:w="933" w:type="dxa"/>
          </w:tcPr>
          <w:p w14:paraId="529D3670">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品目名称</w:t>
            </w:r>
          </w:p>
        </w:tc>
        <w:tc>
          <w:tcPr>
            <w:tcW w:w="933" w:type="dxa"/>
          </w:tcPr>
          <w:p w14:paraId="572F6045">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标的名称</w:t>
            </w:r>
          </w:p>
        </w:tc>
        <w:tc>
          <w:tcPr>
            <w:tcW w:w="933" w:type="dxa"/>
          </w:tcPr>
          <w:p w14:paraId="1820AE60">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单位</w:t>
            </w:r>
          </w:p>
        </w:tc>
        <w:tc>
          <w:tcPr>
            <w:tcW w:w="933" w:type="dxa"/>
          </w:tcPr>
          <w:p w14:paraId="1D4F479A">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数量</w:t>
            </w:r>
          </w:p>
        </w:tc>
        <w:tc>
          <w:tcPr>
            <w:tcW w:w="933" w:type="dxa"/>
          </w:tcPr>
          <w:p w14:paraId="149F60F5">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分项预算单价（元）</w:t>
            </w:r>
          </w:p>
        </w:tc>
        <w:tc>
          <w:tcPr>
            <w:tcW w:w="933" w:type="dxa"/>
          </w:tcPr>
          <w:p w14:paraId="1D8769B4">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分项预算总价（元）</w:t>
            </w:r>
          </w:p>
        </w:tc>
        <w:tc>
          <w:tcPr>
            <w:tcW w:w="840" w:type="dxa"/>
          </w:tcPr>
          <w:p w14:paraId="7BEB8552">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r>
              <w:rPr>
                <w:color w:val="auto"/>
                <w:sz w:val="24"/>
                <w:szCs w:val="24"/>
              </w:rPr>
              <w:t>所属行业</w:t>
            </w:r>
          </w:p>
        </w:tc>
        <w:tc>
          <w:tcPr>
            <w:tcW w:w="933" w:type="dxa"/>
          </w:tcPr>
          <w:p w14:paraId="6A25B83C">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技术要求</w:t>
            </w:r>
          </w:p>
        </w:tc>
      </w:tr>
      <w:tr w14:paraId="0BCF8D6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33" w:type="dxa"/>
          </w:tcPr>
          <w:p w14:paraId="222CA946">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1</w:t>
            </w:r>
          </w:p>
        </w:tc>
        <w:tc>
          <w:tcPr>
            <w:tcW w:w="933" w:type="dxa"/>
          </w:tcPr>
          <w:p w14:paraId="402EF0BB">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r>
              <w:rPr>
                <w:color w:val="auto"/>
                <w:sz w:val="24"/>
                <w:szCs w:val="24"/>
              </w:rPr>
              <w:t>保安服务</w:t>
            </w:r>
          </w:p>
        </w:tc>
        <w:tc>
          <w:tcPr>
            <w:tcW w:w="933" w:type="dxa"/>
          </w:tcPr>
          <w:p w14:paraId="781EAFC5">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r>
              <w:rPr>
                <w:color w:val="auto"/>
                <w:sz w:val="24"/>
                <w:szCs w:val="24"/>
              </w:rPr>
              <w:t>安保服务</w:t>
            </w:r>
          </w:p>
        </w:tc>
        <w:tc>
          <w:tcPr>
            <w:tcW w:w="933" w:type="dxa"/>
          </w:tcPr>
          <w:p w14:paraId="50FDC398">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r>
              <w:rPr>
                <w:color w:val="auto"/>
                <w:sz w:val="24"/>
                <w:szCs w:val="24"/>
              </w:rPr>
              <w:t>项</w:t>
            </w:r>
          </w:p>
        </w:tc>
        <w:tc>
          <w:tcPr>
            <w:tcW w:w="933" w:type="dxa"/>
          </w:tcPr>
          <w:p w14:paraId="08C0F788">
            <w:pPr>
              <w:keepNext w:val="0"/>
              <w:keepLines w:val="0"/>
              <w:pageBreakBefore w:val="0"/>
              <w:widowControl w:val="0"/>
              <w:kinsoku/>
              <w:wordWrap/>
              <w:overflowPunct/>
              <w:topLinePunct w:val="0"/>
              <w:bidi w:val="0"/>
              <w:adjustRightInd/>
              <w:snapToGrid/>
              <w:spacing w:line="400" w:lineRule="exact"/>
              <w:jc w:val="center"/>
              <w:textAlignment w:val="auto"/>
              <w:rPr>
                <w:rFonts w:hint="eastAsia" w:eastAsia="宋体"/>
                <w:color w:val="auto"/>
                <w:sz w:val="24"/>
                <w:szCs w:val="24"/>
                <w:lang w:eastAsia="zh-CN"/>
              </w:rPr>
            </w:pPr>
            <w:r>
              <w:rPr>
                <w:rFonts w:hint="eastAsia"/>
                <w:color w:val="auto"/>
                <w:sz w:val="24"/>
                <w:szCs w:val="24"/>
                <w:lang w:val="en-US" w:eastAsia="zh-CN"/>
              </w:rPr>
              <w:t>1</w:t>
            </w:r>
          </w:p>
        </w:tc>
        <w:tc>
          <w:tcPr>
            <w:tcW w:w="933" w:type="dxa"/>
          </w:tcPr>
          <w:p w14:paraId="4DA97ABC">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c>
          <w:tcPr>
            <w:tcW w:w="933" w:type="dxa"/>
          </w:tcPr>
          <w:p w14:paraId="78273233">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p>
        </w:tc>
        <w:tc>
          <w:tcPr>
            <w:tcW w:w="840" w:type="dxa"/>
          </w:tcPr>
          <w:p w14:paraId="4076BC2A">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r>
              <w:rPr>
                <w:color w:val="auto"/>
                <w:sz w:val="24"/>
                <w:szCs w:val="24"/>
              </w:rPr>
              <w:t>租赁和商务服务业</w:t>
            </w:r>
          </w:p>
        </w:tc>
        <w:tc>
          <w:tcPr>
            <w:tcW w:w="933" w:type="dxa"/>
          </w:tcPr>
          <w:p w14:paraId="5E761C2E">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r>
              <w:rPr>
                <w:color w:val="auto"/>
                <w:sz w:val="24"/>
                <w:szCs w:val="24"/>
              </w:rPr>
              <w:t>详见附表一</w:t>
            </w:r>
          </w:p>
        </w:tc>
      </w:tr>
    </w:tbl>
    <w:p w14:paraId="5C5565CF">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1403F2C2">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1FE740F5">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2358BEB2">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04C60FE5">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691CFD0D">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4CDB8A3B">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6D87F09B">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407A17F3">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0CF44604">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00D2C564">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2152B57D">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359E33DF">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r>
        <w:rPr>
          <w:b/>
          <w:color w:val="auto"/>
          <w:sz w:val="24"/>
          <w:szCs w:val="24"/>
        </w:rPr>
        <w:t>附表一：安保服务</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124"/>
        <w:gridCol w:w="720"/>
        <w:gridCol w:w="6660"/>
      </w:tblGrid>
      <w:tr w14:paraId="0277878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63" w:hRule="atLeast"/>
        </w:trPr>
        <w:tc>
          <w:tcPr>
            <w:tcW w:w="1124" w:type="dxa"/>
            <w:tcBorders>
              <w:top w:val="single" w:color="auto" w:sz="4" w:space="0"/>
              <w:left w:val="single" w:color="auto" w:sz="4" w:space="0"/>
              <w:bottom w:val="single" w:color="auto" w:sz="4" w:space="0"/>
              <w:right w:val="single" w:color="auto" w:sz="4" w:space="0"/>
            </w:tcBorders>
            <w:vAlign w:val="center"/>
          </w:tcPr>
          <w:p w14:paraId="365752C5">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参数性质</w:t>
            </w:r>
          </w:p>
        </w:tc>
        <w:tc>
          <w:tcPr>
            <w:tcW w:w="720" w:type="dxa"/>
            <w:tcBorders>
              <w:top w:val="single" w:color="auto" w:sz="4" w:space="0"/>
              <w:left w:val="single" w:color="auto" w:sz="4" w:space="0"/>
              <w:bottom w:val="single" w:color="auto" w:sz="4" w:space="0"/>
              <w:right w:val="single" w:color="auto" w:sz="4" w:space="0"/>
            </w:tcBorders>
            <w:vAlign w:val="center"/>
          </w:tcPr>
          <w:p w14:paraId="7D0A4945">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序号</w:t>
            </w:r>
          </w:p>
        </w:tc>
        <w:tc>
          <w:tcPr>
            <w:tcW w:w="6660" w:type="dxa"/>
            <w:tcBorders>
              <w:top w:val="single" w:color="auto" w:sz="4" w:space="0"/>
              <w:left w:val="single" w:color="auto" w:sz="4" w:space="0"/>
              <w:bottom w:val="single" w:color="auto" w:sz="4" w:space="0"/>
              <w:right w:val="single" w:color="auto" w:sz="4" w:space="0"/>
            </w:tcBorders>
            <w:vAlign w:val="center"/>
          </w:tcPr>
          <w:p w14:paraId="72B711FF">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具体技术(参数)要求</w:t>
            </w:r>
          </w:p>
        </w:tc>
      </w:tr>
      <w:tr w14:paraId="0244124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24" w:type="dxa"/>
            <w:tcBorders>
              <w:top w:val="single" w:color="auto" w:sz="4" w:space="0"/>
              <w:left w:val="single" w:color="auto" w:sz="4" w:space="0"/>
              <w:bottom w:val="single" w:color="auto" w:sz="4" w:space="0"/>
              <w:right w:val="single" w:color="auto" w:sz="4" w:space="0"/>
            </w:tcBorders>
            <w:vAlign w:val="center"/>
          </w:tcPr>
          <w:p w14:paraId="57CF9B4E">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w:t>
            </w:r>
          </w:p>
        </w:tc>
        <w:tc>
          <w:tcPr>
            <w:tcW w:w="720" w:type="dxa"/>
            <w:tcBorders>
              <w:top w:val="single" w:color="auto" w:sz="4" w:space="0"/>
              <w:left w:val="single" w:color="auto" w:sz="4" w:space="0"/>
              <w:bottom w:val="single" w:color="auto" w:sz="4" w:space="0"/>
              <w:right w:val="single" w:color="auto" w:sz="4" w:space="0"/>
            </w:tcBorders>
            <w:vAlign w:val="center"/>
          </w:tcPr>
          <w:p w14:paraId="6C9E4FDE">
            <w:pPr>
              <w:keepNext w:val="0"/>
              <w:keepLines w:val="0"/>
              <w:pageBreakBefore w:val="0"/>
              <w:widowControl w:val="0"/>
              <w:kinsoku/>
              <w:wordWrap/>
              <w:overflowPunct/>
              <w:topLinePunct w:val="0"/>
              <w:bidi w:val="0"/>
              <w:adjustRightInd/>
              <w:snapToGrid/>
              <w:spacing w:line="400" w:lineRule="exact"/>
              <w:jc w:val="center"/>
              <w:textAlignment w:val="auto"/>
              <w:rPr>
                <w:rFonts w:hint="eastAsia" w:eastAsia="宋体"/>
                <w:color w:val="auto"/>
                <w:sz w:val="24"/>
                <w:szCs w:val="24"/>
                <w:lang w:val="en-US" w:eastAsia="zh-CN"/>
              </w:rPr>
            </w:pPr>
            <w:r>
              <w:rPr>
                <w:rFonts w:hint="eastAsia"/>
                <w:color w:val="auto"/>
                <w:sz w:val="24"/>
                <w:szCs w:val="24"/>
                <w:lang w:val="en-US" w:eastAsia="zh-CN"/>
              </w:rPr>
              <w:t>1</w:t>
            </w:r>
          </w:p>
        </w:tc>
        <w:tc>
          <w:tcPr>
            <w:tcW w:w="6660" w:type="dxa"/>
            <w:tcBorders>
              <w:top w:val="single" w:color="auto" w:sz="4" w:space="0"/>
              <w:left w:val="single" w:color="auto" w:sz="4" w:space="0"/>
              <w:bottom w:val="single" w:color="auto" w:sz="4" w:space="0"/>
              <w:right w:val="single" w:color="auto" w:sz="4" w:space="0"/>
            </w:tcBorders>
          </w:tcPr>
          <w:p w14:paraId="1D66AF6D">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★中标人应为派驻的保安员购买雇主责任险（含附加雇员第三者责任保险或附加第三者责任保险）。</w:t>
            </w:r>
          </w:p>
        </w:tc>
      </w:tr>
      <w:tr w14:paraId="08B32E2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24" w:type="dxa"/>
            <w:tcBorders>
              <w:top w:val="single" w:color="auto" w:sz="4" w:space="0"/>
              <w:left w:val="single" w:color="auto" w:sz="4" w:space="0"/>
              <w:bottom w:val="single" w:color="auto" w:sz="4" w:space="0"/>
              <w:right w:val="single" w:color="auto" w:sz="4" w:space="0"/>
            </w:tcBorders>
            <w:vAlign w:val="center"/>
          </w:tcPr>
          <w:p w14:paraId="07819B38">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w:t>
            </w:r>
          </w:p>
        </w:tc>
        <w:tc>
          <w:tcPr>
            <w:tcW w:w="720" w:type="dxa"/>
            <w:tcBorders>
              <w:top w:val="single" w:color="auto" w:sz="4" w:space="0"/>
              <w:left w:val="single" w:color="auto" w:sz="4" w:space="0"/>
              <w:bottom w:val="single" w:color="auto" w:sz="4" w:space="0"/>
              <w:right w:val="single" w:color="auto" w:sz="4" w:space="0"/>
            </w:tcBorders>
            <w:vAlign w:val="center"/>
          </w:tcPr>
          <w:p w14:paraId="30484739">
            <w:pPr>
              <w:keepNext w:val="0"/>
              <w:keepLines w:val="0"/>
              <w:pageBreakBefore w:val="0"/>
              <w:widowControl w:val="0"/>
              <w:kinsoku/>
              <w:wordWrap/>
              <w:overflowPunct/>
              <w:topLinePunct w:val="0"/>
              <w:bidi w:val="0"/>
              <w:adjustRightInd/>
              <w:snapToGrid/>
              <w:spacing w:line="400" w:lineRule="exact"/>
              <w:jc w:val="center"/>
              <w:textAlignment w:val="auto"/>
              <w:rPr>
                <w:rFonts w:hint="eastAsia" w:eastAsia="宋体"/>
                <w:color w:val="auto"/>
                <w:sz w:val="24"/>
                <w:szCs w:val="24"/>
                <w:lang w:val="en-US" w:eastAsia="zh-CN"/>
              </w:rPr>
            </w:pPr>
            <w:r>
              <w:rPr>
                <w:rFonts w:hint="eastAsia"/>
                <w:color w:val="auto"/>
                <w:sz w:val="24"/>
                <w:szCs w:val="24"/>
                <w:lang w:val="en-US" w:eastAsia="zh-CN"/>
              </w:rPr>
              <w:t>2</w:t>
            </w:r>
          </w:p>
        </w:tc>
        <w:tc>
          <w:tcPr>
            <w:tcW w:w="6660" w:type="dxa"/>
            <w:tcBorders>
              <w:top w:val="single" w:color="auto" w:sz="4" w:space="0"/>
              <w:left w:val="single" w:color="auto" w:sz="4" w:space="0"/>
              <w:bottom w:val="single" w:color="auto" w:sz="4" w:space="0"/>
              <w:right w:val="single" w:color="auto" w:sz="4" w:space="0"/>
            </w:tcBorders>
          </w:tcPr>
          <w:p w14:paraId="0F933D15">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★中标人须为本项目购买总额度不少于人民币</w:t>
            </w:r>
            <w:r>
              <w:rPr>
                <w:rFonts w:hint="eastAsia"/>
                <w:color w:val="auto"/>
                <w:sz w:val="24"/>
                <w:szCs w:val="24"/>
                <w:lang w:val="en-US" w:eastAsia="zh-CN"/>
              </w:rPr>
              <w:t>1</w:t>
            </w:r>
            <w:r>
              <w:rPr>
                <w:color w:val="auto"/>
                <w:sz w:val="24"/>
                <w:szCs w:val="24"/>
              </w:rPr>
              <w:t xml:space="preserve">00万元的公众责任险及为派驻保安员购买团体人身意外伤害保险（每人每年保额不低于人民币 </w:t>
            </w:r>
            <w:r>
              <w:rPr>
                <w:rFonts w:hint="eastAsia"/>
                <w:color w:val="auto"/>
                <w:sz w:val="24"/>
                <w:szCs w:val="24"/>
                <w:lang w:val="en-US" w:eastAsia="zh-CN"/>
              </w:rPr>
              <w:t>30</w:t>
            </w:r>
            <w:r>
              <w:rPr>
                <w:color w:val="auto"/>
                <w:sz w:val="24"/>
                <w:szCs w:val="24"/>
              </w:rPr>
              <w:t>万元），并在接受采购人年度考核时提供相关保险缴纳凭证。</w:t>
            </w:r>
          </w:p>
        </w:tc>
      </w:tr>
      <w:tr w14:paraId="701C1B5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24" w:type="dxa"/>
            <w:tcBorders>
              <w:top w:val="single" w:color="auto" w:sz="4" w:space="0"/>
              <w:left w:val="single" w:color="auto" w:sz="4" w:space="0"/>
              <w:bottom w:val="single" w:color="auto" w:sz="4" w:space="0"/>
              <w:right w:val="single" w:color="auto" w:sz="4" w:space="0"/>
            </w:tcBorders>
            <w:vAlign w:val="center"/>
          </w:tcPr>
          <w:p w14:paraId="6D7011A1">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w:t>
            </w:r>
          </w:p>
        </w:tc>
        <w:tc>
          <w:tcPr>
            <w:tcW w:w="720" w:type="dxa"/>
            <w:tcBorders>
              <w:top w:val="single" w:color="auto" w:sz="4" w:space="0"/>
              <w:left w:val="single" w:color="auto" w:sz="4" w:space="0"/>
              <w:bottom w:val="single" w:color="auto" w:sz="4" w:space="0"/>
              <w:right w:val="single" w:color="auto" w:sz="4" w:space="0"/>
            </w:tcBorders>
            <w:vAlign w:val="center"/>
          </w:tcPr>
          <w:p w14:paraId="27AEEB6F">
            <w:pPr>
              <w:keepNext w:val="0"/>
              <w:keepLines w:val="0"/>
              <w:pageBreakBefore w:val="0"/>
              <w:widowControl w:val="0"/>
              <w:kinsoku/>
              <w:wordWrap/>
              <w:overflowPunct/>
              <w:topLinePunct w:val="0"/>
              <w:bidi w:val="0"/>
              <w:adjustRightInd/>
              <w:snapToGrid/>
              <w:spacing w:line="400" w:lineRule="exact"/>
              <w:jc w:val="center"/>
              <w:textAlignment w:val="auto"/>
              <w:rPr>
                <w:rFonts w:hint="eastAsia" w:eastAsia="宋体"/>
                <w:color w:val="auto"/>
                <w:sz w:val="24"/>
                <w:szCs w:val="24"/>
                <w:lang w:val="en-US" w:eastAsia="zh-CN"/>
              </w:rPr>
            </w:pPr>
            <w:r>
              <w:rPr>
                <w:rFonts w:hint="eastAsia"/>
                <w:color w:val="auto"/>
                <w:sz w:val="24"/>
                <w:szCs w:val="24"/>
                <w:lang w:val="en-US" w:eastAsia="zh-CN"/>
              </w:rPr>
              <w:t>3</w:t>
            </w:r>
          </w:p>
        </w:tc>
        <w:tc>
          <w:tcPr>
            <w:tcW w:w="6660" w:type="dxa"/>
            <w:tcBorders>
              <w:top w:val="single" w:color="auto" w:sz="4" w:space="0"/>
              <w:left w:val="single" w:color="auto" w:sz="4" w:space="0"/>
              <w:bottom w:val="single" w:color="auto" w:sz="4" w:space="0"/>
              <w:right w:val="single" w:color="auto" w:sz="4" w:space="0"/>
            </w:tcBorders>
          </w:tcPr>
          <w:p w14:paraId="2B5A0036">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★应急预案联动机制要求。投标人须与项目所在地区公安机关形成联动机制，在出现突发事件时，能够按照属地公安机关制定的工作预案进行响应。中标人应按照采购人要求建立不少于 5 组（每组 3 人）的最小应急单元。</w:t>
            </w:r>
          </w:p>
        </w:tc>
      </w:tr>
      <w:tr w14:paraId="0FDE4AA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24" w:type="dxa"/>
            <w:tcBorders>
              <w:top w:val="single" w:color="auto" w:sz="4" w:space="0"/>
              <w:left w:val="single" w:color="auto" w:sz="4" w:space="0"/>
              <w:bottom w:val="single" w:color="auto" w:sz="4" w:space="0"/>
              <w:right w:val="single" w:color="auto" w:sz="4" w:space="0"/>
            </w:tcBorders>
            <w:vAlign w:val="center"/>
          </w:tcPr>
          <w:p w14:paraId="2FC85917">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w:t>
            </w:r>
          </w:p>
        </w:tc>
        <w:tc>
          <w:tcPr>
            <w:tcW w:w="720" w:type="dxa"/>
            <w:tcBorders>
              <w:top w:val="single" w:color="auto" w:sz="4" w:space="0"/>
              <w:left w:val="single" w:color="auto" w:sz="4" w:space="0"/>
              <w:bottom w:val="single" w:color="auto" w:sz="4" w:space="0"/>
              <w:right w:val="single" w:color="auto" w:sz="4" w:space="0"/>
            </w:tcBorders>
            <w:vAlign w:val="center"/>
          </w:tcPr>
          <w:p w14:paraId="1D2BC172">
            <w:pPr>
              <w:keepNext w:val="0"/>
              <w:keepLines w:val="0"/>
              <w:pageBreakBefore w:val="0"/>
              <w:widowControl w:val="0"/>
              <w:kinsoku/>
              <w:wordWrap/>
              <w:overflowPunct/>
              <w:topLinePunct w:val="0"/>
              <w:bidi w:val="0"/>
              <w:adjustRightInd/>
              <w:snapToGrid/>
              <w:spacing w:line="400" w:lineRule="exact"/>
              <w:jc w:val="center"/>
              <w:textAlignment w:val="auto"/>
              <w:rPr>
                <w:rFonts w:hint="eastAsia" w:eastAsia="宋体"/>
                <w:color w:val="auto"/>
                <w:sz w:val="24"/>
                <w:szCs w:val="24"/>
                <w:lang w:val="en-US" w:eastAsia="zh-CN"/>
              </w:rPr>
            </w:pPr>
            <w:r>
              <w:rPr>
                <w:rFonts w:hint="eastAsia"/>
                <w:color w:val="auto"/>
                <w:sz w:val="24"/>
                <w:szCs w:val="24"/>
                <w:lang w:val="en-US" w:eastAsia="zh-CN"/>
              </w:rPr>
              <w:t>4</w:t>
            </w:r>
          </w:p>
        </w:tc>
        <w:tc>
          <w:tcPr>
            <w:tcW w:w="6660" w:type="dxa"/>
            <w:tcBorders>
              <w:top w:val="single" w:color="auto" w:sz="4" w:space="0"/>
              <w:left w:val="single" w:color="auto" w:sz="4" w:space="0"/>
              <w:bottom w:val="single" w:color="auto" w:sz="4" w:space="0"/>
              <w:right w:val="single" w:color="auto" w:sz="4" w:space="0"/>
            </w:tcBorders>
          </w:tcPr>
          <w:p w14:paraId="4FA1DB5D">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★消防监控中心要求落实全天 24 小时双人双岗值班与消防巡查制度，并做好值班记录。</w:t>
            </w:r>
          </w:p>
        </w:tc>
      </w:tr>
      <w:tr w14:paraId="68D0F27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24" w:type="dxa"/>
            <w:tcBorders>
              <w:top w:val="single" w:color="auto" w:sz="4" w:space="0"/>
              <w:left w:val="single" w:color="auto" w:sz="4" w:space="0"/>
              <w:bottom w:val="single" w:color="auto" w:sz="4" w:space="0"/>
              <w:right w:val="single" w:color="auto" w:sz="4" w:space="0"/>
            </w:tcBorders>
            <w:vAlign w:val="center"/>
          </w:tcPr>
          <w:p w14:paraId="2E3366A2">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w:t>
            </w:r>
          </w:p>
        </w:tc>
        <w:tc>
          <w:tcPr>
            <w:tcW w:w="720" w:type="dxa"/>
            <w:tcBorders>
              <w:top w:val="single" w:color="auto" w:sz="4" w:space="0"/>
              <w:left w:val="single" w:color="auto" w:sz="4" w:space="0"/>
              <w:bottom w:val="single" w:color="auto" w:sz="4" w:space="0"/>
              <w:right w:val="single" w:color="auto" w:sz="4" w:space="0"/>
            </w:tcBorders>
            <w:vAlign w:val="center"/>
          </w:tcPr>
          <w:p w14:paraId="695107A0">
            <w:pPr>
              <w:keepNext w:val="0"/>
              <w:keepLines w:val="0"/>
              <w:pageBreakBefore w:val="0"/>
              <w:widowControl w:val="0"/>
              <w:kinsoku/>
              <w:wordWrap/>
              <w:overflowPunct/>
              <w:topLinePunct w:val="0"/>
              <w:bidi w:val="0"/>
              <w:adjustRightInd/>
              <w:snapToGrid/>
              <w:spacing w:line="400" w:lineRule="exact"/>
              <w:jc w:val="center"/>
              <w:textAlignment w:val="auto"/>
              <w:rPr>
                <w:rFonts w:hint="default" w:eastAsia="宋体"/>
                <w:color w:val="auto"/>
                <w:sz w:val="24"/>
                <w:szCs w:val="24"/>
                <w:lang w:val="en-US" w:eastAsia="zh-CN"/>
              </w:rPr>
            </w:pPr>
            <w:r>
              <w:rPr>
                <w:rFonts w:hint="eastAsia"/>
                <w:color w:val="auto"/>
                <w:sz w:val="24"/>
                <w:szCs w:val="24"/>
                <w:lang w:val="en-US" w:eastAsia="zh-CN"/>
              </w:rPr>
              <w:t>5</w:t>
            </w:r>
          </w:p>
        </w:tc>
        <w:tc>
          <w:tcPr>
            <w:tcW w:w="6660" w:type="dxa"/>
            <w:tcBorders>
              <w:top w:val="single" w:color="auto" w:sz="4" w:space="0"/>
              <w:left w:val="single" w:color="auto" w:sz="4" w:space="0"/>
              <w:bottom w:val="single" w:color="auto" w:sz="4" w:space="0"/>
              <w:right w:val="single" w:color="auto" w:sz="4" w:space="0"/>
            </w:tcBorders>
          </w:tcPr>
          <w:p w14:paraId="5FB493C5">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对采购人在校园内举行的各种大型学术论坛、会议、庆典、晚会等活动，根据采购人要求完成活动安保任务，做好安全保障工作；在采购人的开学季、毕业季、校运会、学生跨校区搬迁时，中标人应增派足够人员到校加强现场协调和安保，由此产生费用均包含在投标报价中。</w:t>
            </w:r>
          </w:p>
        </w:tc>
      </w:tr>
      <w:tr w14:paraId="1BAB5BE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24" w:type="dxa"/>
            <w:tcBorders>
              <w:top w:val="single" w:color="auto" w:sz="4" w:space="0"/>
              <w:left w:val="single" w:color="auto" w:sz="4" w:space="0"/>
              <w:bottom w:val="single" w:color="auto" w:sz="4" w:space="0"/>
              <w:right w:val="single" w:color="auto" w:sz="4" w:space="0"/>
            </w:tcBorders>
            <w:vAlign w:val="center"/>
          </w:tcPr>
          <w:p w14:paraId="5644559C">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w:t>
            </w:r>
          </w:p>
        </w:tc>
        <w:tc>
          <w:tcPr>
            <w:tcW w:w="720" w:type="dxa"/>
            <w:tcBorders>
              <w:top w:val="single" w:color="auto" w:sz="4" w:space="0"/>
              <w:left w:val="single" w:color="auto" w:sz="4" w:space="0"/>
              <w:bottom w:val="single" w:color="auto" w:sz="4" w:space="0"/>
              <w:right w:val="single" w:color="auto" w:sz="4" w:space="0"/>
            </w:tcBorders>
            <w:vAlign w:val="center"/>
          </w:tcPr>
          <w:p w14:paraId="19E1F72B">
            <w:pPr>
              <w:keepNext w:val="0"/>
              <w:keepLines w:val="0"/>
              <w:pageBreakBefore w:val="0"/>
              <w:widowControl w:val="0"/>
              <w:kinsoku/>
              <w:wordWrap/>
              <w:overflowPunct/>
              <w:topLinePunct w:val="0"/>
              <w:bidi w:val="0"/>
              <w:adjustRightInd/>
              <w:snapToGrid/>
              <w:spacing w:line="400" w:lineRule="exact"/>
              <w:jc w:val="center"/>
              <w:textAlignment w:val="auto"/>
              <w:rPr>
                <w:rFonts w:hint="default" w:eastAsia="宋体"/>
                <w:color w:val="auto"/>
                <w:sz w:val="24"/>
                <w:szCs w:val="24"/>
                <w:lang w:val="en-US" w:eastAsia="zh-CN"/>
              </w:rPr>
            </w:pPr>
            <w:r>
              <w:rPr>
                <w:rFonts w:hint="eastAsia"/>
                <w:color w:val="auto"/>
                <w:sz w:val="24"/>
                <w:szCs w:val="24"/>
                <w:lang w:val="en-US" w:eastAsia="zh-CN"/>
              </w:rPr>
              <w:t>6</w:t>
            </w:r>
          </w:p>
        </w:tc>
        <w:tc>
          <w:tcPr>
            <w:tcW w:w="6660" w:type="dxa"/>
            <w:tcBorders>
              <w:top w:val="single" w:color="auto" w:sz="4" w:space="0"/>
              <w:left w:val="single" w:color="auto" w:sz="4" w:space="0"/>
              <w:bottom w:val="single" w:color="auto" w:sz="4" w:space="0"/>
              <w:right w:val="single" w:color="auto" w:sz="4" w:space="0"/>
            </w:tcBorders>
          </w:tcPr>
          <w:p w14:paraId="09E144BF">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★投标人应保证其派驻的保安员已与中标人签订有效劳动合同，并购买人身意外伤害保险及规定的社会保险及其他保障，按照“六工一休”原则,每周工作时间 6 天，每人每天工作 8 小时，超出法定时间按加班执行。</w:t>
            </w:r>
          </w:p>
        </w:tc>
      </w:tr>
      <w:tr w14:paraId="003B903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24" w:type="dxa"/>
            <w:tcBorders>
              <w:top w:val="single" w:color="auto" w:sz="4" w:space="0"/>
              <w:left w:val="single" w:color="auto" w:sz="4" w:space="0"/>
              <w:bottom w:val="single" w:color="auto" w:sz="4" w:space="0"/>
              <w:right w:val="single" w:color="auto" w:sz="4" w:space="0"/>
            </w:tcBorders>
            <w:vAlign w:val="center"/>
          </w:tcPr>
          <w:p w14:paraId="2981A1F3">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w:t>
            </w:r>
          </w:p>
        </w:tc>
        <w:tc>
          <w:tcPr>
            <w:tcW w:w="720" w:type="dxa"/>
            <w:tcBorders>
              <w:top w:val="single" w:color="auto" w:sz="4" w:space="0"/>
              <w:left w:val="single" w:color="auto" w:sz="4" w:space="0"/>
              <w:bottom w:val="single" w:color="auto" w:sz="4" w:space="0"/>
              <w:right w:val="single" w:color="auto" w:sz="4" w:space="0"/>
            </w:tcBorders>
            <w:vAlign w:val="center"/>
          </w:tcPr>
          <w:p w14:paraId="416656A6">
            <w:pPr>
              <w:keepNext w:val="0"/>
              <w:keepLines w:val="0"/>
              <w:pageBreakBefore w:val="0"/>
              <w:widowControl w:val="0"/>
              <w:kinsoku/>
              <w:wordWrap/>
              <w:overflowPunct/>
              <w:topLinePunct w:val="0"/>
              <w:bidi w:val="0"/>
              <w:adjustRightInd/>
              <w:snapToGrid/>
              <w:spacing w:line="400" w:lineRule="exact"/>
              <w:jc w:val="center"/>
              <w:textAlignment w:val="auto"/>
              <w:rPr>
                <w:rFonts w:hint="default"/>
                <w:color w:val="auto"/>
                <w:sz w:val="24"/>
                <w:szCs w:val="24"/>
                <w:lang w:val="en-US" w:eastAsia="zh-CN"/>
              </w:rPr>
            </w:pPr>
            <w:r>
              <w:rPr>
                <w:rFonts w:hint="eastAsia"/>
                <w:color w:val="auto"/>
                <w:sz w:val="24"/>
                <w:szCs w:val="24"/>
                <w:lang w:val="en-US" w:eastAsia="zh-CN"/>
              </w:rPr>
              <w:t>7</w:t>
            </w:r>
          </w:p>
        </w:tc>
        <w:tc>
          <w:tcPr>
            <w:tcW w:w="6660" w:type="dxa"/>
            <w:tcBorders>
              <w:top w:val="single" w:color="auto" w:sz="4" w:space="0"/>
              <w:left w:val="single" w:color="auto" w:sz="4" w:space="0"/>
              <w:bottom w:val="single" w:color="auto" w:sz="4" w:space="0"/>
              <w:right w:val="single" w:color="auto" w:sz="4" w:space="0"/>
            </w:tcBorders>
          </w:tcPr>
          <w:p w14:paraId="128C2DF0">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派驻保安员的工资、加班费、福利（社保等）不得低于广州市用工的法定标准，投标人在报价时应予充分测算，并承诺保安员月薪净收入不得低于广州市最低工资标准（不含加班费）；履约期间，因广州市最低工资标准提高时应相应增加保安员工资。</w:t>
            </w:r>
          </w:p>
        </w:tc>
      </w:tr>
      <w:tr w14:paraId="68774BD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24" w:type="dxa"/>
            <w:tcBorders>
              <w:top w:val="single" w:color="auto" w:sz="4" w:space="0"/>
              <w:left w:val="single" w:color="auto" w:sz="4" w:space="0"/>
              <w:bottom w:val="single" w:color="auto" w:sz="4" w:space="0"/>
              <w:right w:val="single" w:color="auto" w:sz="4" w:space="0"/>
            </w:tcBorders>
            <w:vAlign w:val="center"/>
          </w:tcPr>
          <w:p w14:paraId="705BCB02">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w:t>
            </w:r>
          </w:p>
        </w:tc>
        <w:tc>
          <w:tcPr>
            <w:tcW w:w="720" w:type="dxa"/>
            <w:tcBorders>
              <w:top w:val="single" w:color="auto" w:sz="4" w:space="0"/>
              <w:left w:val="single" w:color="auto" w:sz="4" w:space="0"/>
              <w:bottom w:val="single" w:color="auto" w:sz="4" w:space="0"/>
              <w:right w:val="single" w:color="auto" w:sz="4" w:space="0"/>
            </w:tcBorders>
            <w:vAlign w:val="center"/>
          </w:tcPr>
          <w:p w14:paraId="74C72B4A">
            <w:pPr>
              <w:keepNext w:val="0"/>
              <w:keepLines w:val="0"/>
              <w:pageBreakBefore w:val="0"/>
              <w:widowControl w:val="0"/>
              <w:kinsoku/>
              <w:wordWrap/>
              <w:overflowPunct/>
              <w:topLinePunct w:val="0"/>
              <w:bidi w:val="0"/>
              <w:adjustRightInd/>
              <w:snapToGrid/>
              <w:spacing w:line="400" w:lineRule="exact"/>
              <w:jc w:val="center"/>
              <w:textAlignment w:val="auto"/>
              <w:rPr>
                <w:rFonts w:hint="default" w:eastAsia="宋体"/>
                <w:color w:val="auto"/>
                <w:sz w:val="24"/>
                <w:szCs w:val="24"/>
                <w:lang w:val="en-US" w:eastAsia="zh-CN"/>
              </w:rPr>
            </w:pPr>
            <w:r>
              <w:rPr>
                <w:rFonts w:hint="eastAsia"/>
                <w:color w:val="auto"/>
                <w:sz w:val="24"/>
                <w:szCs w:val="24"/>
                <w:lang w:val="en-US" w:eastAsia="zh-CN"/>
              </w:rPr>
              <w:t>8</w:t>
            </w:r>
          </w:p>
        </w:tc>
        <w:tc>
          <w:tcPr>
            <w:tcW w:w="6660" w:type="dxa"/>
            <w:tcBorders>
              <w:top w:val="single" w:color="auto" w:sz="4" w:space="0"/>
              <w:left w:val="single" w:color="auto" w:sz="4" w:space="0"/>
              <w:bottom w:val="single" w:color="auto" w:sz="4" w:space="0"/>
              <w:right w:val="single" w:color="auto" w:sz="4" w:space="0"/>
            </w:tcBorders>
          </w:tcPr>
          <w:p w14:paraId="4966D6AA">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★八、主要装备要求</w:t>
            </w:r>
          </w:p>
          <w:p w14:paraId="0B46FB87">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1.</w:t>
            </w:r>
            <w:r>
              <w:rPr>
                <w:color w:val="auto"/>
                <w:sz w:val="24"/>
                <w:szCs w:val="24"/>
              </w:rPr>
              <w:t>投标人须为本项目配备个人应急防护装备、电动巡逻车、警用自行车、警用执法仪、安全防范器材、保安制服、值勤雨具雨鞋等主要装备，相关费用均包含在投标报价中， 采购人不再另行支付，具体要求如下：</w:t>
            </w:r>
          </w:p>
          <w:p w14:paraId="7B68663C">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2.</w:t>
            </w:r>
            <w:r>
              <w:rPr>
                <w:color w:val="auto"/>
                <w:sz w:val="24"/>
                <w:szCs w:val="24"/>
              </w:rPr>
              <w:t xml:space="preserve">适应本项目安保服务需要的个人应急防护装备不少于 </w:t>
            </w:r>
            <w:r>
              <w:rPr>
                <w:rFonts w:hint="eastAsia"/>
                <w:color w:val="auto"/>
                <w:sz w:val="24"/>
                <w:szCs w:val="24"/>
                <w:lang w:val="en-US" w:eastAsia="zh-CN"/>
              </w:rPr>
              <w:t>30</w:t>
            </w:r>
            <w:r>
              <w:rPr>
                <w:color w:val="auto"/>
                <w:sz w:val="24"/>
                <w:szCs w:val="24"/>
              </w:rPr>
              <w:t xml:space="preserve"> 套，根据《反恐怖防范管理第 5 部分教育机构（广州市地方标准 DB4401T10.5—2019）》广州市反恐怖重点防范目标单位反恐装备建设参考标准要求，上岗执勤的安保人员必须携带齐整的个人应急防护装备（对讲机、强光手电、防护棍棒、自卫喷雾器、毛巾、口罩、防暴盾牌、钢叉、防暴头盔、防割（防刺）手套、防刺服等），个人应急防护装备原则上同一班的安保人员不得共同使用；</w:t>
            </w:r>
          </w:p>
          <w:p w14:paraId="1544DCEA">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rFonts w:hint="default" w:eastAsia="宋体"/>
                <w:color w:val="auto"/>
                <w:sz w:val="24"/>
                <w:szCs w:val="24"/>
                <w:lang w:val="en-US" w:eastAsia="zh-CN"/>
              </w:rPr>
            </w:pPr>
            <w:r>
              <w:rPr>
                <w:rFonts w:hint="eastAsia"/>
                <w:color w:val="auto"/>
                <w:sz w:val="24"/>
                <w:szCs w:val="24"/>
                <w:lang w:val="en-US" w:eastAsia="zh-CN"/>
              </w:rPr>
              <w:t>3.</w:t>
            </w:r>
            <w:r>
              <w:rPr>
                <w:rFonts w:hint="eastAsia"/>
                <w:color w:val="auto"/>
                <w:sz w:val="24"/>
                <w:szCs w:val="24"/>
              </w:rPr>
              <w:t>需配备四轮电动巡逻车不少于2台（车龄均不超过1年），同时配备二轮电动巡逻车6台。</w:t>
            </w:r>
          </w:p>
          <w:p w14:paraId="6BCC38D3">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4.</w:t>
            </w:r>
            <w:r>
              <w:rPr>
                <w:color w:val="auto"/>
                <w:sz w:val="24"/>
                <w:szCs w:val="24"/>
              </w:rPr>
              <w:t xml:space="preserve">警用执法仪不少于 </w:t>
            </w:r>
            <w:r>
              <w:rPr>
                <w:rFonts w:hint="eastAsia"/>
                <w:color w:val="auto"/>
                <w:sz w:val="24"/>
                <w:szCs w:val="24"/>
                <w:lang w:val="en-US" w:eastAsia="zh-CN"/>
              </w:rPr>
              <w:t>30</w:t>
            </w:r>
            <w:r>
              <w:rPr>
                <w:color w:val="auto"/>
                <w:sz w:val="24"/>
                <w:szCs w:val="24"/>
              </w:rPr>
              <w:t xml:space="preserve"> 台；</w:t>
            </w:r>
          </w:p>
          <w:p w14:paraId="216770DF">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5.</w:t>
            </w:r>
            <w:r>
              <w:rPr>
                <w:color w:val="auto"/>
                <w:sz w:val="24"/>
                <w:szCs w:val="24"/>
              </w:rPr>
              <w:t xml:space="preserve">值勤雨具及雨鞋不少于 </w:t>
            </w:r>
            <w:r>
              <w:rPr>
                <w:rFonts w:hint="eastAsia"/>
                <w:color w:val="auto"/>
                <w:sz w:val="24"/>
                <w:szCs w:val="24"/>
                <w:lang w:val="en-US" w:eastAsia="zh-CN"/>
              </w:rPr>
              <w:t>30</w:t>
            </w:r>
            <w:r>
              <w:rPr>
                <w:color w:val="auto"/>
                <w:sz w:val="24"/>
                <w:szCs w:val="24"/>
              </w:rPr>
              <w:t>套；</w:t>
            </w:r>
          </w:p>
          <w:p w14:paraId="52D8757A">
            <w:pPr>
              <w:keepNext w:val="0"/>
              <w:keepLines w:val="0"/>
              <w:pageBreakBefore w:val="0"/>
              <w:widowControl w:val="0"/>
              <w:kinsoku/>
              <w:wordWrap/>
              <w:overflowPunct/>
              <w:topLinePunct w:val="0"/>
              <w:autoSpaceDE w:val="0"/>
              <w:autoSpaceDN w:val="0"/>
              <w:bidi w:val="0"/>
              <w:adjustRightInd/>
              <w:snapToGrid/>
              <w:spacing w:line="400" w:lineRule="exact"/>
              <w:ind w:firstLine="240" w:firstLineChars="100"/>
              <w:textAlignment w:val="auto"/>
              <w:rPr>
                <w:color w:val="auto"/>
                <w:sz w:val="24"/>
                <w:szCs w:val="24"/>
              </w:rPr>
            </w:pPr>
            <w:r>
              <w:rPr>
                <w:rFonts w:hint="eastAsia"/>
                <w:color w:val="auto"/>
                <w:sz w:val="24"/>
                <w:szCs w:val="24"/>
                <w:lang w:val="en-US" w:eastAsia="zh-CN"/>
              </w:rPr>
              <w:t>6.</w:t>
            </w:r>
            <w:r>
              <w:rPr>
                <w:color w:val="auto"/>
                <w:sz w:val="24"/>
                <w:szCs w:val="24"/>
              </w:rPr>
              <w:t>统一配发符合采购人要求的保安制服，包括春、夏、秋、冬装及反光衣、工作用皮鞋、装备腰带（含装备袋），共不少于 4 套/人·年。</w:t>
            </w:r>
          </w:p>
        </w:tc>
      </w:tr>
      <w:tr w14:paraId="78B2D03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24" w:type="dxa"/>
            <w:tcBorders>
              <w:top w:val="single" w:color="auto" w:sz="4" w:space="0"/>
              <w:left w:val="single" w:color="auto" w:sz="4" w:space="0"/>
              <w:bottom w:val="single" w:color="auto" w:sz="4" w:space="0"/>
              <w:right w:val="single" w:color="auto" w:sz="4" w:space="0"/>
            </w:tcBorders>
            <w:vAlign w:val="center"/>
          </w:tcPr>
          <w:p w14:paraId="6A5C6C9D">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w:t>
            </w:r>
          </w:p>
        </w:tc>
        <w:tc>
          <w:tcPr>
            <w:tcW w:w="720" w:type="dxa"/>
            <w:tcBorders>
              <w:top w:val="single" w:color="auto" w:sz="4" w:space="0"/>
              <w:left w:val="single" w:color="auto" w:sz="4" w:space="0"/>
              <w:bottom w:val="single" w:color="auto" w:sz="4" w:space="0"/>
              <w:right w:val="single" w:color="auto" w:sz="4" w:space="0"/>
            </w:tcBorders>
            <w:vAlign w:val="center"/>
          </w:tcPr>
          <w:p w14:paraId="3FD188E1">
            <w:pPr>
              <w:keepNext w:val="0"/>
              <w:keepLines w:val="0"/>
              <w:pageBreakBefore w:val="0"/>
              <w:widowControl w:val="0"/>
              <w:kinsoku/>
              <w:wordWrap/>
              <w:overflowPunct/>
              <w:topLinePunct w:val="0"/>
              <w:bidi w:val="0"/>
              <w:adjustRightInd/>
              <w:snapToGrid/>
              <w:spacing w:line="400" w:lineRule="exact"/>
              <w:jc w:val="center"/>
              <w:textAlignment w:val="auto"/>
              <w:rPr>
                <w:rFonts w:hint="default" w:eastAsia="宋体"/>
                <w:color w:val="auto"/>
                <w:sz w:val="24"/>
                <w:szCs w:val="24"/>
                <w:lang w:val="en-US" w:eastAsia="zh-CN"/>
              </w:rPr>
            </w:pPr>
            <w:r>
              <w:rPr>
                <w:rFonts w:hint="eastAsia"/>
                <w:color w:val="auto"/>
                <w:sz w:val="24"/>
                <w:szCs w:val="24"/>
                <w:lang w:val="en-US" w:eastAsia="zh-CN"/>
              </w:rPr>
              <w:t>9</w:t>
            </w:r>
          </w:p>
        </w:tc>
        <w:tc>
          <w:tcPr>
            <w:tcW w:w="6660" w:type="dxa"/>
            <w:tcBorders>
              <w:top w:val="single" w:color="auto" w:sz="4" w:space="0"/>
              <w:left w:val="single" w:color="auto" w:sz="4" w:space="0"/>
              <w:bottom w:val="single" w:color="auto" w:sz="4" w:space="0"/>
              <w:right w:val="single" w:color="auto" w:sz="4" w:space="0"/>
            </w:tcBorders>
          </w:tcPr>
          <w:p w14:paraId="321D5E22">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★本项目已经公布预算（最高限价），报价超过项目预算价格（最高限价）的投标文件为无效投标文件。</w:t>
            </w:r>
          </w:p>
        </w:tc>
      </w:tr>
      <w:tr w14:paraId="4C716AE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24" w:type="dxa"/>
            <w:tcBorders>
              <w:top w:val="single" w:color="auto" w:sz="4" w:space="0"/>
              <w:left w:val="single" w:color="auto" w:sz="4" w:space="0"/>
              <w:bottom w:val="single" w:color="auto" w:sz="4" w:space="0"/>
              <w:right w:val="single" w:color="auto" w:sz="4" w:space="0"/>
            </w:tcBorders>
            <w:vAlign w:val="center"/>
          </w:tcPr>
          <w:p w14:paraId="3AA35911">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w:t>
            </w:r>
          </w:p>
        </w:tc>
        <w:tc>
          <w:tcPr>
            <w:tcW w:w="720" w:type="dxa"/>
            <w:tcBorders>
              <w:top w:val="single" w:color="auto" w:sz="4" w:space="0"/>
              <w:left w:val="single" w:color="auto" w:sz="4" w:space="0"/>
              <w:bottom w:val="single" w:color="auto" w:sz="4" w:space="0"/>
              <w:right w:val="single" w:color="auto" w:sz="4" w:space="0"/>
            </w:tcBorders>
            <w:vAlign w:val="center"/>
          </w:tcPr>
          <w:p w14:paraId="395927CC">
            <w:pPr>
              <w:keepNext w:val="0"/>
              <w:keepLines w:val="0"/>
              <w:pageBreakBefore w:val="0"/>
              <w:widowControl w:val="0"/>
              <w:kinsoku/>
              <w:wordWrap/>
              <w:overflowPunct/>
              <w:topLinePunct w:val="0"/>
              <w:bidi w:val="0"/>
              <w:adjustRightInd/>
              <w:snapToGrid/>
              <w:spacing w:line="400" w:lineRule="exact"/>
              <w:jc w:val="center"/>
              <w:textAlignment w:val="auto"/>
              <w:rPr>
                <w:rFonts w:hint="default" w:eastAsia="宋体"/>
                <w:color w:val="auto"/>
                <w:sz w:val="24"/>
                <w:szCs w:val="24"/>
                <w:lang w:val="en-US" w:eastAsia="zh-CN"/>
              </w:rPr>
            </w:pPr>
            <w:r>
              <w:rPr>
                <w:rFonts w:hint="eastAsia"/>
                <w:color w:val="auto"/>
                <w:sz w:val="24"/>
                <w:szCs w:val="24"/>
                <w:lang w:val="en-US" w:eastAsia="zh-CN"/>
              </w:rPr>
              <w:t>10</w:t>
            </w:r>
          </w:p>
        </w:tc>
        <w:tc>
          <w:tcPr>
            <w:tcW w:w="6660" w:type="dxa"/>
            <w:tcBorders>
              <w:top w:val="single" w:color="auto" w:sz="4" w:space="0"/>
              <w:left w:val="single" w:color="auto" w:sz="4" w:space="0"/>
              <w:bottom w:val="single" w:color="auto" w:sz="4" w:space="0"/>
              <w:right w:val="single" w:color="auto" w:sz="4" w:space="0"/>
            </w:tcBorders>
          </w:tcPr>
          <w:p w14:paraId="3494D362">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r>
              <w:rPr>
                <w:color w:val="auto"/>
                <w:sz w:val="24"/>
                <w:szCs w:val="24"/>
              </w:rPr>
              <w:t>★本项目不允许转包，供应商不得对用户需求书中的内容进行分包（另有规定除外）。</w:t>
            </w:r>
          </w:p>
        </w:tc>
      </w:tr>
      <w:tr w14:paraId="522F668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24" w:type="dxa"/>
            <w:tcBorders>
              <w:top w:val="single" w:color="auto" w:sz="4" w:space="0"/>
              <w:left w:val="single" w:color="auto" w:sz="4" w:space="0"/>
              <w:bottom w:val="single" w:color="auto" w:sz="4" w:space="0"/>
              <w:right w:val="single" w:color="auto" w:sz="4" w:space="0"/>
            </w:tcBorders>
            <w:vAlign w:val="center"/>
          </w:tcPr>
          <w:p w14:paraId="3BE9BC3F">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w:t>
            </w:r>
          </w:p>
        </w:tc>
        <w:tc>
          <w:tcPr>
            <w:tcW w:w="720" w:type="dxa"/>
            <w:tcBorders>
              <w:top w:val="single" w:color="auto" w:sz="4" w:space="0"/>
              <w:left w:val="single" w:color="auto" w:sz="4" w:space="0"/>
              <w:bottom w:val="single" w:color="auto" w:sz="4" w:space="0"/>
              <w:right w:val="single" w:color="auto" w:sz="4" w:space="0"/>
            </w:tcBorders>
            <w:vAlign w:val="center"/>
          </w:tcPr>
          <w:p w14:paraId="38C07EE5">
            <w:pPr>
              <w:keepNext w:val="0"/>
              <w:keepLines w:val="0"/>
              <w:pageBreakBefore w:val="0"/>
              <w:widowControl w:val="0"/>
              <w:kinsoku/>
              <w:wordWrap/>
              <w:overflowPunct/>
              <w:topLinePunct w:val="0"/>
              <w:bidi w:val="0"/>
              <w:adjustRightInd/>
              <w:snapToGrid/>
              <w:spacing w:line="400" w:lineRule="exact"/>
              <w:jc w:val="center"/>
              <w:textAlignment w:val="auto"/>
              <w:rPr>
                <w:rFonts w:hint="default" w:eastAsia="宋体"/>
                <w:color w:val="auto"/>
                <w:sz w:val="24"/>
                <w:szCs w:val="24"/>
                <w:lang w:val="en-US" w:eastAsia="zh-CN"/>
              </w:rPr>
            </w:pPr>
            <w:r>
              <w:rPr>
                <w:rFonts w:hint="eastAsia"/>
                <w:color w:val="auto"/>
                <w:sz w:val="24"/>
                <w:szCs w:val="24"/>
                <w:lang w:val="en-US" w:eastAsia="zh-CN"/>
              </w:rPr>
              <w:t>11</w:t>
            </w:r>
          </w:p>
        </w:tc>
        <w:tc>
          <w:tcPr>
            <w:tcW w:w="6660" w:type="dxa"/>
            <w:tcBorders>
              <w:top w:val="single" w:color="auto" w:sz="4" w:space="0"/>
              <w:left w:val="single" w:color="auto" w:sz="4" w:space="0"/>
              <w:bottom w:val="single" w:color="auto" w:sz="4" w:space="0"/>
              <w:right w:val="single" w:color="auto" w:sz="4" w:space="0"/>
            </w:tcBorders>
          </w:tcPr>
          <w:p w14:paraId="0DC14F11">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r>
              <w:rPr>
                <w:color w:val="auto"/>
                <w:sz w:val="24"/>
                <w:szCs w:val="24"/>
              </w:rPr>
              <w:t>★</w:t>
            </w:r>
            <w:r>
              <w:rPr>
                <w:rFonts w:hint="eastAsia"/>
                <w:color w:val="auto"/>
                <w:sz w:val="24"/>
                <w:szCs w:val="24"/>
                <w:lang w:val="en-US" w:eastAsia="zh-CN"/>
              </w:rPr>
              <w:t>以上</w:t>
            </w:r>
            <w:r>
              <w:rPr>
                <w:color w:val="auto"/>
                <w:sz w:val="24"/>
                <w:szCs w:val="24"/>
              </w:rPr>
              <w:t>条款均为不可偏离条款，任何负偏离响应将导致投标响应文件无效，请供应商谨慎响应。</w:t>
            </w:r>
          </w:p>
        </w:tc>
      </w:tr>
      <w:tr w14:paraId="7EF7188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27" w:hRule="atLeast"/>
        </w:trPr>
        <w:tc>
          <w:tcPr>
            <w:tcW w:w="1124" w:type="dxa"/>
            <w:tcBorders>
              <w:top w:val="single" w:color="auto" w:sz="4" w:space="0"/>
              <w:left w:val="single" w:color="auto" w:sz="4" w:space="0"/>
              <w:bottom w:val="single" w:color="auto" w:sz="4" w:space="0"/>
              <w:right w:val="single" w:color="auto" w:sz="4" w:space="0"/>
            </w:tcBorders>
            <w:vAlign w:val="center"/>
          </w:tcPr>
          <w:p w14:paraId="0A3DAD08">
            <w:pPr>
              <w:keepNext w:val="0"/>
              <w:keepLines w:val="0"/>
              <w:pageBreakBefore w:val="0"/>
              <w:widowControl w:val="0"/>
              <w:kinsoku/>
              <w:wordWrap/>
              <w:overflowPunct/>
              <w:topLinePunct w:val="0"/>
              <w:bidi w:val="0"/>
              <w:adjustRightInd/>
              <w:snapToGrid/>
              <w:spacing w:line="400" w:lineRule="exact"/>
              <w:jc w:val="center"/>
              <w:textAlignment w:val="auto"/>
              <w:rPr>
                <w:color w:val="auto"/>
                <w:sz w:val="24"/>
                <w:szCs w:val="24"/>
              </w:rPr>
            </w:pPr>
            <w:r>
              <w:rPr>
                <w:color w:val="auto"/>
                <w:sz w:val="24"/>
                <w:szCs w:val="24"/>
              </w:rPr>
              <w:t>★</w:t>
            </w:r>
          </w:p>
        </w:tc>
        <w:tc>
          <w:tcPr>
            <w:tcW w:w="720" w:type="dxa"/>
            <w:tcBorders>
              <w:top w:val="single" w:color="auto" w:sz="4" w:space="0"/>
              <w:left w:val="single" w:color="auto" w:sz="4" w:space="0"/>
              <w:bottom w:val="single" w:color="auto" w:sz="4" w:space="0"/>
              <w:right w:val="single" w:color="auto" w:sz="4" w:space="0"/>
            </w:tcBorders>
            <w:vAlign w:val="center"/>
          </w:tcPr>
          <w:p w14:paraId="1827C665">
            <w:pPr>
              <w:keepNext w:val="0"/>
              <w:keepLines w:val="0"/>
              <w:pageBreakBefore w:val="0"/>
              <w:widowControl w:val="0"/>
              <w:kinsoku/>
              <w:wordWrap/>
              <w:overflowPunct/>
              <w:topLinePunct w:val="0"/>
              <w:bidi w:val="0"/>
              <w:adjustRightInd/>
              <w:snapToGrid/>
              <w:spacing w:line="400" w:lineRule="exact"/>
              <w:jc w:val="center"/>
              <w:textAlignment w:val="auto"/>
              <w:rPr>
                <w:rFonts w:hint="default" w:eastAsia="宋体"/>
                <w:color w:val="auto"/>
                <w:sz w:val="24"/>
                <w:szCs w:val="24"/>
                <w:lang w:val="en-US" w:eastAsia="zh-CN"/>
              </w:rPr>
            </w:pPr>
            <w:r>
              <w:rPr>
                <w:rFonts w:hint="eastAsia"/>
                <w:color w:val="auto"/>
                <w:sz w:val="24"/>
                <w:szCs w:val="24"/>
                <w:lang w:val="en-US" w:eastAsia="zh-CN"/>
              </w:rPr>
              <w:t>12</w:t>
            </w:r>
          </w:p>
        </w:tc>
        <w:tc>
          <w:tcPr>
            <w:tcW w:w="6660" w:type="dxa"/>
            <w:tcBorders>
              <w:top w:val="single" w:color="auto" w:sz="4" w:space="0"/>
              <w:left w:val="single" w:color="auto" w:sz="4" w:space="0"/>
              <w:bottom w:val="single" w:color="auto" w:sz="4" w:space="0"/>
              <w:right w:val="single" w:color="auto" w:sz="4" w:space="0"/>
            </w:tcBorders>
          </w:tcPr>
          <w:p w14:paraId="0592EA82">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r>
              <w:rPr>
                <w:color w:val="auto"/>
                <w:sz w:val="24"/>
                <w:szCs w:val="24"/>
              </w:rPr>
              <w:t>详见项目概况</w:t>
            </w:r>
          </w:p>
        </w:tc>
      </w:tr>
      <w:tr w14:paraId="712D14D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24" w:type="dxa"/>
            <w:tcBorders>
              <w:top w:val="single" w:color="auto" w:sz="4" w:space="0"/>
              <w:left w:val="single" w:color="auto" w:sz="4" w:space="0"/>
              <w:bottom w:val="single" w:color="auto" w:sz="4" w:space="0"/>
              <w:right w:val="single" w:color="auto" w:sz="4" w:space="0"/>
            </w:tcBorders>
          </w:tcPr>
          <w:p w14:paraId="2CFC6A22">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r>
              <w:rPr>
                <w:color w:val="auto"/>
                <w:sz w:val="24"/>
                <w:szCs w:val="24"/>
              </w:rPr>
              <w:t>说明</w:t>
            </w:r>
          </w:p>
        </w:tc>
        <w:tc>
          <w:tcPr>
            <w:tcW w:w="7380" w:type="dxa"/>
            <w:gridSpan w:val="2"/>
            <w:tcBorders>
              <w:top w:val="single" w:color="auto" w:sz="4" w:space="0"/>
              <w:left w:val="single" w:color="auto" w:sz="4" w:space="0"/>
              <w:bottom w:val="single" w:color="auto" w:sz="4" w:space="0"/>
              <w:right w:val="single" w:color="auto" w:sz="4" w:space="0"/>
            </w:tcBorders>
          </w:tcPr>
          <w:p w14:paraId="7DA91789">
            <w:pPr>
              <w:keepNext w:val="0"/>
              <w:keepLines w:val="0"/>
              <w:pageBreakBefore w:val="0"/>
              <w:widowControl w:val="0"/>
              <w:kinsoku/>
              <w:wordWrap/>
              <w:overflowPunct/>
              <w:topLinePunct w:val="0"/>
              <w:bidi w:val="0"/>
              <w:adjustRightInd/>
              <w:snapToGrid/>
              <w:spacing w:line="400" w:lineRule="exact"/>
              <w:jc w:val="left"/>
              <w:textAlignment w:val="auto"/>
              <w:rPr>
                <w:color w:val="auto"/>
                <w:sz w:val="24"/>
                <w:szCs w:val="24"/>
              </w:rPr>
            </w:pPr>
            <w:r>
              <w:rPr>
                <w:color w:val="auto"/>
                <w:sz w:val="24"/>
                <w:szCs w:val="24"/>
              </w:rPr>
              <w:t>打“★”号条款为实质性条款，若有任何一条负偏离或不满足则导致投标无效。</w:t>
            </w:r>
            <w:r>
              <w:rPr>
                <w:color w:val="auto"/>
                <w:sz w:val="24"/>
                <w:szCs w:val="24"/>
              </w:rPr>
              <w:br w:type="textWrapping"/>
            </w:r>
            <w:r>
              <w:rPr>
                <w:color w:val="auto"/>
                <w:sz w:val="24"/>
                <w:szCs w:val="24"/>
              </w:rPr>
              <w:t>打“▲”号条款为重要技术参数，若有部分“▲”条款未响应或不满足，将导致其响应性评审加重扣分，但不作为无效投标条款。</w:t>
            </w:r>
          </w:p>
        </w:tc>
      </w:tr>
    </w:tbl>
    <w:p w14:paraId="4C7694AD">
      <w:pPr>
        <w:keepNext w:val="0"/>
        <w:keepLines w:val="0"/>
        <w:pageBreakBefore w:val="0"/>
        <w:widowControl w:val="0"/>
        <w:kinsoku/>
        <w:wordWrap/>
        <w:overflowPunct/>
        <w:topLinePunct w:val="0"/>
        <w:bidi w:val="0"/>
        <w:adjustRightInd/>
        <w:snapToGrid/>
        <w:spacing w:line="400" w:lineRule="exact"/>
        <w:textAlignment w:val="auto"/>
        <w:rPr>
          <w:color w:val="auto"/>
          <w:sz w:val="24"/>
          <w:szCs w:val="24"/>
        </w:rPr>
      </w:pPr>
    </w:p>
    <w:p w14:paraId="5595E535">
      <w:pPr>
        <w:keepNext w:val="0"/>
        <w:keepLines w:val="0"/>
        <w:pageBreakBefore w:val="0"/>
        <w:widowControl w:val="0"/>
        <w:kinsoku/>
        <w:wordWrap/>
        <w:overflowPunct/>
        <w:topLinePunct w:val="0"/>
        <w:autoSpaceDE w:val="0"/>
        <w:autoSpaceDN w:val="0"/>
        <w:bidi w:val="0"/>
        <w:adjustRightInd/>
        <w:snapToGrid/>
        <w:spacing w:line="400" w:lineRule="exact"/>
        <w:textAlignment w:val="auto"/>
        <w:rPr>
          <w:color w:val="auto"/>
          <w:sz w:val="24"/>
          <w:szCs w:val="24"/>
        </w:rPr>
      </w:pPr>
    </w:p>
    <w:p w14:paraId="4F668C8E">
      <w:pPr>
        <w:rPr>
          <w:color w:val="auto"/>
        </w:rPr>
      </w:pPr>
    </w:p>
    <w:sectPr>
      <w:pgSz w:w="11906" w:h="16838"/>
      <w:pgMar w:top="1440" w:right="1800" w:bottom="1440" w:left="1800"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Segoe UI">
    <w:panose1 w:val="020B0502040204020203"/>
    <w:charset w:val="00"/>
    <w:family w:val="auto"/>
    <w:pitch w:val="default"/>
    <w:sig w:usb0="E4002EFF" w:usb1="C000E47F"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6B23AD">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6370C3">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E6370C3">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80E3A88"/>
    <w:rsid w:val="02AB7D46"/>
    <w:rsid w:val="06982838"/>
    <w:rsid w:val="08B73A59"/>
    <w:rsid w:val="0C1203D6"/>
    <w:rsid w:val="103729C8"/>
    <w:rsid w:val="15C01464"/>
    <w:rsid w:val="167E55A7"/>
    <w:rsid w:val="17A34B99"/>
    <w:rsid w:val="180E3A88"/>
    <w:rsid w:val="18226406"/>
    <w:rsid w:val="1A2C356C"/>
    <w:rsid w:val="1ABE0455"/>
    <w:rsid w:val="1EFD2C73"/>
    <w:rsid w:val="1F52137F"/>
    <w:rsid w:val="20AC0F62"/>
    <w:rsid w:val="20BB6D58"/>
    <w:rsid w:val="20DC7471"/>
    <w:rsid w:val="234731C4"/>
    <w:rsid w:val="24C0322E"/>
    <w:rsid w:val="26EF0C02"/>
    <w:rsid w:val="282B4E63"/>
    <w:rsid w:val="28956780"/>
    <w:rsid w:val="29CE3CF8"/>
    <w:rsid w:val="2C1F6A8C"/>
    <w:rsid w:val="2D6F0515"/>
    <w:rsid w:val="2E692241"/>
    <w:rsid w:val="324A2389"/>
    <w:rsid w:val="33AF4B9A"/>
    <w:rsid w:val="34BE70A1"/>
    <w:rsid w:val="369B1405"/>
    <w:rsid w:val="373E3148"/>
    <w:rsid w:val="3BBB114A"/>
    <w:rsid w:val="412344D1"/>
    <w:rsid w:val="4139465B"/>
    <w:rsid w:val="416B56BA"/>
    <w:rsid w:val="42DE4B54"/>
    <w:rsid w:val="45E44FFB"/>
    <w:rsid w:val="46582B2B"/>
    <w:rsid w:val="47545812"/>
    <w:rsid w:val="4A1277D9"/>
    <w:rsid w:val="4CFA640E"/>
    <w:rsid w:val="50265D8C"/>
    <w:rsid w:val="538855FB"/>
    <w:rsid w:val="539D45B7"/>
    <w:rsid w:val="5438608E"/>
    <w:rsid w:val="5604091D"/>
    <w:rsid w:val="5840143B"/>
    <w:rsid w:val="5D0B2591"/>
    <w:rsid w:val="5DEF27DD"/>
    <w:rsid w:val="614147D4"/>
    <w:rsid w:val="6173780B"/>
    <w:rsid w:val="656606FD"/>
    <w:rsid w:val="65ED2DD7"/>
    <w:rsid w:val="6A71749E"/>
    <w:rsid w:val="6C627985"/>
    <w:rsid w:val="6E2520A9"/>
    <w:rsid w:val="700A66D9"/>
    <w:rsid w:val="72035AD5"/>
    <w:rsid w:val="73692198"/>
    <w:rsid w:val="751D6EAE"/>
    <w:rsid w:val="78416E6F"/>
    <w:rsid w:val="78C55892"/>
    <w:rsid w:val="7AFF6139"/>
    <w:rsid w:val="7BDE0C48"/>
    <w:rsid w:val="7C2575C5"/>
    <w:rsid w:val="7D8B7834"/>
    <w:rsid w:val="7DA4016C"/>
    <w:rsid w:val="7F2F7F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zh-CN" w:eastAsia="zh-CN" w:bidi="zh-CN"/>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6">
    <w:name w:val="Table Paragraph"/>
    <w:basedOn w:val="1"/>
    <w:autoRedefine/>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13669</Words>
  <Characters>14064</Characters>
  <Lines>0</Lines>
  <Paragraphs>0</Paragraphs>
  <TotalTime>23</TotalTime>
  <ScaleCrop>false</ScaleCrop>
  <LinksUpToDate>false</LinksUpToDate>
  <CharactersWithSpaces>14287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2026-05-27T06:48:00Z</dcterms:created>
  <dc:creator>黄华</dc:creator>
  <cp:lastModifiedBy>广招叶俊生</cp:lastModifiedBy>
  <cp:lastPrinted>2026-05-28T01:07:00Z</cp:lastPrinted>
  <dcterms:modified xsi:type="dcterms:W3CDTF">2026-07-02T09:26:03Z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A9D27DDF1D294F39989B9E2D507ABAB1_13</vt:lpwstr>
  </property>
  <property fmtid="{D5CDD505-2E9C-101B-9397-08002B2CF9AE}" pid="4" name="KSOTemplateDocerSaveRecord">
    <vt:lpwstr>eyJoZGlkIjoiYzE3M2NkMDYwMTZlMGQ2NDhiYmJmMmQ2YzFiYTI2Y2YiLCJ1c2VySWQiOiIxMTM4NjExMjY5In0=</vt:lpwstr>
  </property>
</Properties>
</file>