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441701-2026-01406</w:t>
      </w:r>
    </w:p>
    <w:p>
      <w:pPr>
        <w:pStyle w:val="null3"/>
        <w:jc w:val="center"/>
        <w:outlineLvl w:val="3"/>
      </w:pPr>
      <w:r>
        <w:rPr>
          <w:sz w:val="24"/>
          <w:b/>
        </w:rPr>
        <w:t>采购项目编号：</w:t>
      </w:r>
      <w:r>
        <w:rPr>
          <w:sz w:val="24"/>
          <w:b/>
        </w:rPr>
        <w:t>0877-26GZTP6ZC0359</w:t>
      </w:r>
    </w:p>
    <w:p>
      <w:pPr>
        <w:pStyle w:val="null3"/>
        <w:jc w:val="center"/>
        <w:outlineLvl w:val="3"/>
      </w:pPr>
      <w:r>
        <w:rPr>
          <w:sz w:val="24"/>
          <w:b/>
        </w:rPr>
        <w:t>项目名称：</w:t>
      </w:r>
      <w:r>
        <w:rPr>
          <w:sz w:val="24"/>
          <w:b/>
        </w:rPr>
        <w:t>阳江市人民医院重症监护型救护车及车载医疗设备采购项目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阳江市人民医院</w:t>
      </w:r>
      <w:r>
        <w:rPr/>
        <w:t>的委托，采用</w:t>
      </w:r>
      <w:r>
        <w:rPr/>
        <w:t>公开招标</w:t>
      </w:r>
      <w:r>
        <w:rPr/>
        <w:t>方式组织采购</w:t>
      </w:r>
      <w:r>
        <w:rPr/>
        <w:t>阳江市人民医院重症监护型救护车及车载医疗设备采购项目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阳江市人民医院重症监护型救护车及车载医疗设备采购项目</w:t>
      </w:r>
    </w:p>
    <w:p>
      <w:pPr>
        <w:pStyle w:val="null3"/>
        <w:ind w:firstLine="480"/>
      </w:pPr>
      <w:r>
        <w:rPr/>
        <w:t>采购计划编号：</w:t>
      </w:r>
      <w:r>
        <w:rPr/>
        <w:t>441701-2026-01406</w:t>
      </w:r>
    </w:p>
    <w:p>
      <w:pPr>
        <w:pStyle w:val="null3"/>
        <w:ind w:firstLine="480"/>
      </w:pPr>
      <w:r>
        <w:rPr/>
        <w:t>采购项目编号：</w:t>
      </w:r>
      <w:r>
        <w:rPr/>
        <w:t>0877-26GZTP6ZC0359</w:t>
      </w:r>
    </w:p>
    <w:p>
      <w:pPr>
        <w:pStyle w:val="null3"/>
        <w:ind w:firstLine="480"/>
      </w:pPr>
      <w:r>
        <w:rPr/>
        <w:t>采购方式：</w:t>
      </w:r>
      <w:r>
        <w:rPr/>
        <w:t>公开招标</w:t>
      </w:r>
    </w:p>
    <w:p>
      <w:pPr>
        <w:pStyle w:val="null3"/>
        <w:ind w:firstLine="480"/>
      </w:pPr>
      <w:r>
        <w:rPr/>
        <w:t>预算金额：</w:t>
      </w:r>
      <w:r>
        <w:rPr/>
        <w:t>1,330,000.00</w:t>
      </w:r>
      <w:r>
        <w:rPr/>
        <w:t>元</w:t>
      </w:r>
    </w:p>
    <w:p>
      <w:pPr>
        <w:pStyle w:val="null3"/>
        <w:outlineLvl w:val="3"/>
      </w:pPr>
      <w:r>
        <w:rPr>
          <w:sz w:val="24"/>
          <w:b/>
        </w:rPr>
        <w:t>2.项目内容及需求情况（采购项目技术规格、参数及要求）</w:t>
      </w:r>
    </w:p>
    <w:p>
      <w:pPr>
        <w:pStyle w:val="null3"/>
      </w:pPr>
      <w:r>
        <w:rPr/>
        <w:t>采购包1(阳江市人民医院重症监护型救护车及车载医疗设备采购项目采购):</w:t>
      </w:r>
    </w:p>
    <w:p>
      <w:pPr>
        <w:pStyle w:val="null3"/>
      </w:pPr>
      <w:r>
        <w:rPr/>
        <w:t>采购包预算金额：1,330,000.00元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医疗车</w:t>
            </w:r>
          </w:p>
        </w:tc>
        <w:tc>
          <w:tcPr>
            <w:tcW w:type="dxa" w:w="2136"/>
          </w:tcPr>
          <w:p>
            <w:pPr>
              <w:pStyle w:val="null3"/>
            </w:pPr>
            <w:r>
              <w:rPr/>
              <w:t>重症监护型救护车</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ECOM转运电动上车担架、履带式楼梯担架、铲式担架、脊柱固定板、电动吸引器、心电监护仪、转运呼吸机、除颤监护仪、心肺复苏机、心电图机</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合同履行期限：合同签订生效之日起45个工作日内完成交货、安装和调试，并经验收合格后交付采购人使用。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2）有依法缴纳税收和社会保障资金的良好记录：依据《阳江市政府采购供应商资格信用承诺函》（格式详见采购公告附件）。</w:t>
      </w:r>
    </w:p>
    <w:p>
      <w:pPr>
        <w:pStyle w:val="null3"/>
      </w:pPr>
      <w:r>
        <w:rPr/>
        <w:t>3）具有良好的商业信誉和健全的财务会计制度：依据《阳江市政府采购供应商资格信用承诺函》（格式详见采购公告附件）。</w:t>
      </w:r>
    </w:p>
    <w:p>
      <w:pPr>
        <w:pStyle w:val="null3"/>
      </w:pPr>
      <w:r>
        <w:rPr/>
        <w:t>4）履行合同所必需的设备和专业技术能力：依据《阳江市政府采购供应商资格信用承诺函》（格式详见采购公告附件）。</w:t>
      </w:r>
    </w:p>
    <w:p>
      <w:pPr>
        <w:pStyle w:val="null3"/>
      </w:pPr>
      <w:r>
        <w:rPr/>
        <w:t>5）参加采购活动前3年内，在经营活动中没有重大违法记录：依据《阳江市政府采购供应商资格信用承诺函》（格式详见采购公告附件）。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采购包1（阳江市人民医院重症监护型救护车及车载医疗设备采购项目采购）：</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采购包1（阳江市人民医院重症监护型救护车及车载医疗设备采购项目采购）：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生产企业：所投车载医疗设备为第一类医疗器械，提供监督管理部门签发的有效的《医疗器械生产备案凭证》复印件；所投车载医疗设备为第二、三类医疗器械，提供监督管理部门签发的有效的《医疗器械生产许可证》复印件（如国家另有规定，则适用其规定）；②投标人为经营企业：所投车载医疗设备为第二类医疗器械，提供监督管理部门签发的有效的《医疗器械经营备案凭证》复印件；所投车载医疗设备为第三类医疗器械，提供监督管理部门签发的有效的《医疗器械经营许可证》复印件（如国家另有规定，则适用其规定）。</w:t>
      </w:r>
    </w:p>
    <w:p>
      <w:pPr>
        <w:pStyle w:val="null3"/>
      </w:pPr>
      <w:r>
        <w:rPr/>
        <w:t>4)所投车载医疗设备属于第二类、第三类医疗器械，则必须提供监督管理部门签发的有效的《医疗器械注册证》复印件（如国家另有规定，则适用其规定）。</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0662-3281919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广州市东风东路745号东山紫园商务大厦2003室</w:t>
      </w:r>
    </w:p>
    <w:p>
      <w:pPr>
        <w:pStyle w:val="null3"/>
        <w:ind w:firstLine="480"/>
      </w:pPr>
      <w:r>
        <w:rPr/>
        <w:t xml:space="preserve"> 联系方式：</w:t>
      </w:r>
      <w:r>
        <w:rPr/>
        <w:t>0662-3305822</w:t>
      </w:r>
    </w:p>
    <w:p>
      <w:pPr>
        <w:pStyle w:val="null3"/>
        <w:outlineLvl w:val="3"/>
      </w:pPr>
      <w:r>
        <w:rPr>
          <w:sz w:val="24"/>
          <w:b/>
        </w:rPr>
        <w:t xml:space="preserve"> 3.项目联系方式</w:t>
      </w:r>
    </w:p>
    <w:p>
      <w:pPr>
        <w:pStyle w:val="null3"/>
        <w:ind w:firstLine="480"/>
      </w:pPr>
      <w:r>
        <w:rPr/>
        <w:t xml:space="preserve"> 项目联系人：</w:t>
      </w:r>
      <w:r>
        <w:rPr/>
        <w:t>陈工，王工</w:t>
      </w:r>
    </w:p>
    <w:p>
      <w:pPr>
        <w:pStyle w:val="null3"/>
        <w:ind w:firstLine="480"/>
      </w:pPr>
      <w:r>
        <w:rPr/>
        <w:t xml:space="preserve"> 电话：</w:t>
      </w:r>
      <w:r>
        <w:rPr/>
        <w:t>0662-3305822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222222"/>
          <w:shd w:fill="FFFFFF" w:val="clear"/>
        </w:rPr>
        <w:t>（一）有关说明：</w:t>
      </w:r>
    </w:p>
    <w:p>
      <w:pPr>
        <w:pStyle w:val="null3"/>
        <w:jc w:val="both"/>
      </w:pPr>
      <w:r>
        <w:rPr>
          <w:sz w:val="21"/>
          <w:color w:val="222222"/>
          <w:shd w:fill="FFFFFF" w:val="clear"/>
        </w:rPr>
        <w:t>1.投标人须以本项目为单位对本项目进行投标，任何只对本项目部分内容进行的投标都被视为无效投标。</w:t>
      </w:r>
    </w:p>
    <w:p>
      <w:pPr>
        <w:pStyle w:val="null3"/>
        <w:jc w:val="both"/>
      </w:pPr>
      <w:r>
        <w:rPr>
          <w:sz w:val="21"/>
          <w:color w:val="222222"/>
          <w:shd w:fill="FFFFFF" w:val="clear"/>
        </w:rPr>
        <w:t>2.招标文件中如有打“★”号条款为实质性条款，投标人若有任何一条负偏离或不满足则导致投标无效。</w:t>
      </w:r>
    </w:p>
    <w:p>
      <w:pPr>
        <w:pStyle w:val="null3"/>
        <w:jc w:val="both"/>
      </w:pPr>
      <w:r>
        <w:rPr>
          <w:sz w:val="21"/>
          <w:color w:val="222222"/>
          <w:shd w:fill="FFFFFF" w:val="clear"/>
        </w:rPr>
        <w:t>3.招标文件中如有打“▲”号条款为重要技术参数，投标人若有部分“▲”条款未响应或不满足，将导致其响应性评审加重扣分，但不作为无效投标条款。</w:t>
      </w:r>
    </w:p>
    <w:p>
      <w:pPr>
        <w:pStyle w:val="null3"/>
        <w:jc w:val="left"/>
      </w:pPr>
      <w:r>
        <w:rPr>
          <w:sz w:val="21"/>
          <w:color w:val="222222"/>
          <w:shd w:fill="FFFFFF" w:val="clear"/>
        </w:rPr>
        <w:t>（二）采购项目内容：</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52"/>
        <w:gridCol w:w="2146"/>
        <w:gridCol w:w="836"/>
        <w:gridCol w:w="2834"/>
        <w:gridCol w:w="1638"/>
      </w:tblGrid>
      <w:tr>
        <w:tc>
          <w:tcPr>
            <w:tcW w:type="dxa" w:w="85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序号</w:t>
            </w:r>
          </w:p>
        </w:tc>
        <w:tc>
          <w:tcPr>
            <w:tcW w:type="dxa" w:w="21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采购内容</w:t>
            </w:r>
          </w:p>
        </w:tc>
        <w:tc>
          <w:tcPr>
            <w:tcW w:type="dxa" w:w="8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数量</w:t>
            </w:r>
          </w:p>
        </w:tc>
        <w:tc>
          <w:tcPr>
            <w:tcW w:type="dxa" w:w="28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交货期</w:t>
            </w:r>
          </w:p>
        </w:tc>
        <w:tc>
          <w:tcPr>
            <w:tcW w:type="dxa" w:w="163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最高限价</w:t>
            </w:r>
          </w:p>
        </w:tc>
      </w:tr>
      <w:tr>
        <w:tc>
          <w:tcPr>
            <w:tcW w:type="dxa" w:w="8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1</w:t>
            </w:r>
          </w:p>
        </w:tc>
        <w:tc>
          <w:tcPr>
            <w:tcW w:type="dxa" w:w="2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阳江市人民医院重症监护型救护车及车载医疗设备采购项目</w:t>
            </w:r>
          </w:p>
        </w:tc>
        <w:tc>
          <w:tcPr>
            <w:tcW w:type="dxa" w:w="8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1项</w:t>
            </w:r>
          </w:p>
        </w:tc>
        <w:tc>
          <w:tcPr>
            <w:tcW w:type="dxa" w:w="28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合同签订生效之日起</w:t>
            </w:r>
            <w:r>
              <w:rPr>
                <w:sz w:val="21"/>
              </w:rPr>
              <w:t>45个工作日内完成交货、安装和调试，并经验收合格后交付采购人使用。</w:t>
            </w:r>
          </w:p>
        </w:tc>
        <w:tc>
          <w:tcPr>
            <w:tcW w:type="dxa" w:w="16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人民币</w:t>
            </w:r>
            <w:r>
              <w:rPr>
                <w:sz w:val="21"/>
              </w:rPr>
              <w:t>133万元</w:t>
            </w:r>
          </w:p>
        </w:tc>
      </w:tr>
    </w:tbl>
    <w:p>
      <w:pPr>
        <w:pStyle w:val="null3"/>
        <w:jc w:val="both"/>
      </w:pPr>
      <w:r>
        <w:rPr>
          <w:sz w:val="21"/>
        </w:rPr>
        <w:t>备注：</w:t>
      </w:r>
    </w:p>
    <w:p>
      <w:pPr>
        <w:pStyle w:val="null3"/>
      </w:pPr>
      <w:r>
        <w:rPr>
          <w:sz w:val="21"/>
        </w:rPr>
        <w:t>1</w:t>
      </w:r>
      <w:r>
        <w:rPr>
          <w:sz w:val="21"/>
        </w:rPr>
        <w:t>.</w:t>
      </w:r>
      <w:r>
        <w:rPr>
          <w:sz w:val="21"/>
        </w:rPr>
        <w:t>本项目采购本国</w:t>
      </w:r>
      <w:r>
        <w:rPr>
          <w:sz w:val="21"/>
        </w:rPr>
        <w:t>产品</w:t>
      </w:r>
      <w:r>
        <w:rPr>
          <w:sz w:val="21"/>
        </w:rPr>
        <w:t>；</w:t>
      </w:r>
    </w:p>
    <w:p>
      <w:pPr>
        <w:pStyle w:val="null3"/>
      </w:pPr>
      <w:r>
        <w:rPr>
          <w:sz w:val="21"/>
        </w:rPr>
        <w:t>2</w:t>
      </w:r>
      <w:r>
        <w:rPr>
          <w:sz w:val="21"/>
        </w:rPr>
        <w:t>.</w:t>
      </w:r>
      <w:r>
        <w:rPr>
          <w:sz w:val="21"/>
        </w:rPr>
        <w:t>投标人须对本项目所有内容进行投标，不允许只对部分内容进行投标；</w:t>
      </w:r>
    </w:p>
    <w:p>
      <w:pPr>
        <w:pStyle w:val="null3"/>
      </w:pPr>
      <w:r>
        <w:rPr>
          <w:sz w:val="21"/>
        </w:rPr>
        <w:t>3</w:t>
      </w:r>
      <w:r>
        <w:rPr>
          <w:sz w:val="21"/>
        </w:rPr>
        <w:t>.</w:t>
      </w:r>
      <w:r>
        <w:rPr>
          <w:sz w:val="21"/>
        </w:rPr>
        <w:t>本项目采购标的对应的中小企业划分标准所属行业为</w:t>
      </w:r>
      <w:r>
        <w:rPr>
          <w:sz w:val="21"/>
          <w:u w:val="single"/>
        </w:rPr>
        <w:t xml:space="preserve">  </w:t>
      </w:r>
      <w:r>
        <w:rPr>
          <w:sz w:val="21"/>
          <w:u w:val="single"/>
        </w:rPr>
        <w:t>工业</w:t>
      </w:r>
      <w:r>
        <w:rPr>
          <w:sz w:val="21"/>
          <w:u w:val="single"/>
        </w:rPr>
        <w:t xml:space="preserve">  </w:t>
      </w:r>
      <w:r>
        <w:rPr>
          <w:sz w:val="21"/>
        </w:rPr>
        <w:t>行业。</w:t>
      </w:r>
    </w:p>
    <w:p>
      <w:pPr>
        <w:pStyle w:val="null3"/>
        <w:jc w:val="both"/>
      </w:pPr>
      <w:r>
        <w:rPr>
          <w:sz w:val="21"/>
          <w:color w:val="222222"/>
          <w:shd w:fill="FFFFFF" w:val="clear"/>
        </w:rPr>
        <w:t>（三）采购货物清单一览表</w:t>
      </w:r>
    </w:p>
    <w:p>
      <w:pPr>
        <w:pStyle w:val="null3"/>
        <w:spacing w:after="120"/>
      </w:pPr>
      <w:r>
        <w:rPr>
          <w:sz w:val="21"/>
        </w:rPr>
        <w:t xml:space="preserve">                                                 采购货物清单一览表</w:t>
      </w:r>
    </w:p>
    <w:tbl>
      <w:tblPr>
        <w:tblW w:w="0" w:type="auto"/>
        <w:tblBorders>
          <w:top w:val="none" w:color="000000" w:sz="4"/>
          <w:left w:val="none" w:color="000000" w:sz="4"/>
          <w:bottom w:val="none" w:color="000000" w:sz="4"/>
          <w:right w:val="none" w:color="000000" w:sz="4"/>
          <w:insideH w:val="none"/>
          <w:insideV w:val="none"/>
        </w:tblBorders>
      </w:tblPr>
      <w:tblGrid>
        <w:gridCol w:w="903"/>
        <w:gridCol w:w="3822"/>
        <w:gridCol w:w="1791"/>
        <w:gridCol w:w="1791"/>
      </w:tblGrid>
      <w:tr>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采购名称</w:t>
            </w:r>
          </w:p>
        </w:tc>
        <w:tc>
          <w:tcPr>
            <w:tcW w:type="dxa" w:w="1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重症监护型救护车</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辆</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核心产品</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ECOM转运电动上车担架</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履带式楼梯担架</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铲式担架</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脊柱固定板</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电动吸引器</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心电监护仪</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转运呼吸机</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除颤监护仪</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心肺复苏机</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r>
              <w:rPr>
                <w:sz w:val="21"/>
              </w:rPr>
              <w:t>)</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心电图机</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采购包1（阳江市人民医院重症监护型救护车及车载医疗设备采购项目采购）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合同签订生效之日起45个工作日内完成交货、安装和调试，并经验收合格后交付采购人使用。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1期：支付比例60%,在合同签订后，采购人收到供应商发票后15日内向中标供应商支付合同总额的60%。（如果与中小企业签订合同，采购人在合同签订后5个工作日内支付合同总额的60%。）</w:t>
            </w:r>
          </w:p>
          <w:p>
            <w:pPr>
              <w:pStyle w:val="null3"/>
            </w:pPr>
            <w:r>
              <w:rPr/>
              <w:t>2期：支付比例40%,在全部货物到达交货地点，安装、调试并验收合格后，采购人收到发票后15日内支付合同总额的40%。（如果与中小企业签订合同，采购人在全部货物到达交货地点，安装、调试并验收合格之日起60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 原制造商制造的全新产品，整机无污染，无侵权行为、表面无划损、无任何缺陷隐患，在中国境内可依常规安全合法使用。 2.货物为原厂商未启封全新包装，具出厂合格证，序列号、包装箱号与出厂 批号一致，并可追索查阅。所有随设备的附件必须齐全。 3.中标人应将车辆的用户手册、保修手册、有关单证资料及配备件、随车医疗器械工具等交付给采购人，使用操作及安全须知等重要资料应附有中文说明。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一、报价要求，1.所提供的货物均应以人民币报价。 2.本项目总价包括但不限于设备供货、安装配件、配套设施、包装、一切税费、运费、仓储费、安装和调试、验收、培训费、车辆购置税、首年交强险及商业险（包括第三者（300万元）责任险、车上司机乘员座位险）、过线检测费及上牌服务费等。采购人不再支付除此之外的其他任何费用。</w:t>
            </w:r>
          </w:p>
          <w:p>
            <w:pPr>
              <w:pStyle w:val="null3"/>
            </w:pPr>
            <w:r>
              <w:rPr/>
              <w:t>二、合同签订时间，从中标通知书发出之日起30日内签订合同。</w:t>
            </w:r>
          </w:p>
          <w:p>
            <w:pPr>
              <w:pStyle w:val="null3"/>
            </w:pPr>
            <w:r>
              <w:rPr/>
              <w:t>三、质保期和售后服务，1.底盘车辆提供不低于3年或6万公里（先到为准）保修服务，车辆改装部 分提供不低于3年的保修服务，车载医疗设备提供不低于1年的保修服务。保修期内，由非人为因素引起的故障均在保修范围内，中标人完全免费提供保修服务。保修期外，中标人提供终身的维修服务，且要求相关配件及人工费用低于平均市场价格。 2.中标人需提供至少3人/次的培训服务，确保采购人至少有2名操作 人员可熟练使用。 3.中标人须提供24小时电话应急服务，接到采购人维修通知（含电话） 后24小时内解决故障。</w:t>
            </w:r>
          </w:p>
          <w:p>
            <w:pPr>
              <w:pStyle w:val="null3"/>
            </w:pPr>
            <w:r>
              <w:rPr/>
              <w:t>四、培训要求，1.为保证项目的正常实施和日常维护，中标人需在现场对车辆使用人员和设备操作人员进行产品特性、构造、工作原理、相关功能的运用操作、日常保养及维护等进行全程示范、操作性专职培训，保证采购人使用人员能够熟练掌握各种设备和软件等常规使用方法。 2.在现场安装及日常维护时负责对设备维修保养人员进行免费培训，负责设备的一般维修保养。 3.及时对用户产品进行技术升级，确保用户享受厂家所提供的新科技成果，并负责免费技术指导、培训。</w:t>
            </w:r>
          </w:p>
          <w:p>
            <w:pPr>
              <w:pStyle w:val="null3"/>
            </w:pPr>
            <w:r>
              <w:rPr/>
              <w:t>五、安装、调试要求，1.中标供应商将货物运送至采购人指定地点时，采购人先对货物外观、状态、数量进行检视，发现货物有明显损毁、数量不符等情况的，采购人有权当场拒收并要求中标供应商退换货。 2.当所有的货物都通过采购人的验收后，双方签字认可，货物正式交付给采购人。货物正式交付采购人前，货物的损毁、灭失风险由中标供应商承担。 3.中标供应商需依照招标文件的要求和投标文件的承诺，将设备安装并调试至正常使用的最佳状态。 4.货物为原厂商未启封全新包装，具出厂合格证，序列号、包装箱号与出厂批号一致，并可追索查阅。所有随设备的附件齐全且应在交货时一并交付。</w:t>
            </w:r>
          </w:p>
          <w:p>
            <w:pPr>
              <w:pStyle w:val="null3"/>
            </w:pPr>
            <w:r>
              <w:rPr/>
              <w:t>六、其他要求，1、投标人根据本项目情况在投标文件中提供售后服务方案（包括但不限于原厂售后保障情况、保修服务方式、质保期满后维修方案等） 。2、投标人根据本项目情况在投标文件中提供车辆改装技术方案（包括但不限于警灯警报系统技术方案（说明警报及汽车喇叭互联互通系统基本原理、施工方式及具体功能）、双逆变器设计的技术方案、医疗方舱改装材料、医疗方舱改装技术工艺、医疗方舱设计布局等）。 3、投标人根据本项目情况在投标文件中提供项目实施方案（包括但不限于安装调试方案、培训计划、供货时间承诺等）。</w:t>
            </w:r>
          </w:p>
          <w:p>
            <w:pPr>
              <w:pStyle w:val="null3"/>
            </w:pPr>
            <w:r>
              <w:rPr/>
              <w:t>七、实质性条款要求，★1.投标供应商提供的救护车产品必须是国家工业和信息化部的“道路机动车辆生产企业及产品”目录的“救护车”车型。（投标供应商在投标文件中须提供该车辆型号在《道路机动车辆生产企业及产品》公告内的公告批次，公告批次证明文件以工业和信息化部网站上含网址打印出来的公告为准）。 ★2.投标供应商可以开具机动车销售统一发票。【提供承诺书原件（格式自定）】</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一、实质性条款要求</w:t>
            </w:r>
          </w:p>
        </w:tc>
        <w:tc>
          <w:tcPr>
            <w:tcW w:type="dxa" w:w="2076"/>
          </w:tcPr>
          <w:p>
            <w:pPr>
              <w:pStyle w:val="null3"/>
              <w:jc w:val="left"/>
            </w:pPr>
            <w:r>
              <w:rPr/>
              <w:t>★1.投标供应商提供的救护车产品必须是国家工业和信息化部的“道路机动车辆生产企业及产品”目录的“救护车”车型。（投标供应商在投标文件中须提供该车辆型号在《道路机动车辆生产企业及产品》公告内的公告批次，公告批次证明文件以工业和信息化部网站上含网址打印出来的公告为准）。 ★2.投标供应商可以开具机动车销售统一发票。【提供承诺书原件（格式自定）】</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医疗车</w:t>
            </w:r>
          </w:p>
        </w:tc>
        <w:tc>
          <w:tcPr>
            <w:tcW w:type="dxa" w:w="831"/>
          </w:tcPr>
          <w:p>
            <w:pPr>
              <w:pStyle w:val="null3"/>
              <w:jc w:val="left"/>
            </w:pPr>
            <w:r>
              <w:rPr/>
              <w:t>重症监护型救护车</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695,000.00</w:t>
            </w:r>
          </w:p>
        </w:tc>
        <w:tc>
          <w:tcPr>
            <w:tcW w:type="dxa" w:w="831"/>
          </w:tcPr>
          <w:p>
            <w:pPr>
              <w:pStyle w:val="null3"/>
              <w:jc w:val="right"/>
            </w:pPr>
            <w:r>
              <w:rPr/>
              <w:t>695,000.00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ECOM转运电动上车担架、履带式楼梯担架、铲式担架、脊柱固定板、电动吸引器、心电监护仪、转运呼吸机、除颤监护仪、心肺复苏机、心电图机</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635,000.00</w:t>
            </w:r>
          </w:p>
        </w:tc>
        <w:tc>
          <w:tcPr>
            <w:tcW w:type="dxa" w:w="831"/>
          </w:tcPr>
          <w:p>
            <w:pPr>
              <w:pStyle w:val="null3"/>
              <w:jc w:val="right"/>
            </w:pPr>
            <w:r>
              <w:rPr/>
              <w:t>635,000.00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重症监护型救护车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  </w:t>
            </w:r>
          </w:p>
          <w:tbl>
            <w:tblPr>
              <w:tblInd w:type="dxa" w:w="420"/>
              <w:tblBorders>
                <w:top w:val="none" w:color="000000" w:sz="4"/>
                <w:left w:val="none" w:color="000000" w:sz="4"/>
                <w:bottom w:val="none" w:color="000000" w:sz="4"/>
                <w:right w:val="none" w:color="000000" w:sz="4"/>
                <w:insideH w:val="none"/>
                <w:insideV w:val="none"/>
              </w:tblBorders>
            </w:tblPr>
            <w:tblGrid>
              <w:gridCol w:w="403"/>
              <w:gridCol w:w="5183"/>
            </w:tblGrid>
            <w:tr>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5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车辆技术参数要求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座位数：</w:t>
                  </w:r>
                  <w:r>
                    <w:rPr>
                      <w:sz w:val="24"/>
                    </w:rPr>
                    <w:t>7-9（座）</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right="150" w:firstLine="420"/>
                    <w:jc w:val="both"/>
                  </w:pPr>
                  <w:r>
                    <w:rPr>
                      <w:sz w:val="24"/>
                    </w:rPr>
                    <w:t>车辆总质量（</w:t>
                  </w:r>
                  <w:r>
                    <w:rPr>
                      <w:sz w:val="24"/>
                    </w:rPr>
                    <w:t>kg）：</w:t>
                  </w:r>
                  <w:r>
                    <w:rPr>
                      <w:sz w:val="24"/>
                    </w:rPr>
                    <w:t>4495-4900</w:t>
                  </w:r>
                  <w:r>
                    <w:rPr>
                      <w:sz w:val="24"/>
                    </w:rPr>
                    <w:t>（提供所投型号车辆在工业和信息化部装备工业发展中心的《道路机动车辆生产企业及产品信息查询系统》产品信息含网址打印出来的汽车产品技术参数详细页面证明（或提供所投型号车辆合格证复印件证明），要求内容能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right="150" w:firstLine="420"/>
                    <w:jc w:val="both"/>
                  </w:pPr>
                  <w:r>
                    <w:rPr>
                      <w:sz w:val="24"/>
                    </w:rPr>
                    <w:t>车辆整备质量（</w:t>
                  </w:r>
                  <w:r>
                    <w:rPr>
                      <w:sz w:val="24"/>
                    </w:rPr>
                    <w:t>kg）：3300-3600（提供所投型号车辆在工业和信息化部装备工业发展中心的《道路机动车辆生产企业及产品信息查询系统》产品信息含网址打印出来的汽车产品技术参数详细页面证明，要求内容能体现满足上述参数要求（或提供所投型号车辆合格证复印件证明），要求内容能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轴距（</w:t>
                  </w:r>
                  <w:r>
                    <w:rPr>
                      <w:sz w:val="24"/>
                    </w:rPr>
                    <w:t>mm）：3700-3800 （提供所投型号车辆在工业和信息化部装备工业发展中心的《道路机动车辆生产企业及产品信息查询系统》产品信息含网址打印出来的汽车产品技术参数详细页面证明（或提供所投型号车辆合格证复印件证明），要求内容能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前轮轮距（</w:t>
                  </w:r>
                  <w:r>
                    <w:rPr>
                      <w:sz w:val="24"/>
                    </w:rPr>
                    <w:t>mm）≥1740</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后轮轮距（</w:t>
                  </w:r>
                  <w:r>
                    <w:rPr>
                      <w:sz w:val="24"/>
                    </w:rPr>
                    <w:t>mm）≥1750</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接近角</w:t>
                  </w:r>
                  <w:r>
                    <w:rPr>
                      <w:sz w:val="24"/>
                    </w:rPr>
                    <w:t>/离去角≥20/15</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变速器：</w:t>
                  </w:r>
                  <w:r>
                    <w:rPr>
                      <w:sz w:val="24"/>
                    </w:rPr>
                    <w:t>8速以上自动挡</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整体尺寸（</w:t>
                  </w:r>
                  <w:r>
                    <w:rPr>
                      <w:sz w:val="24"/>
                    </w:rPr>
                    <w:t>mm）：长度5985</w:t>
                  </w:r>
                  <w:r>
                    <w:rPr>
                      <w:sz w:val="21"/>
                    </w:rPr>
                    <w:t>～</w:t>
                  </w:r>
                  <w:r>
                    <w:rPr>
                      <w:sz w:val="24"/>
                    </w:rPr>
                    <w:t>5999，宽度2300</w:t>
                  </w:r>
                  <w:r>
                    <w:rPr>
                      <w:sz w:val="21"/>
                    </w:rPr>
                    <w:t>～</w:t>
                  </w:r>
                  <w:r>
                    <w:rPr>
                      <w:sz w:val="24"/>
                    </w:rPr>
                    <w:t>2500，高度2760</w:t>
                  </w:r>
                  <w:r>
                    <w:rPr>
                      <w:sz w:val="21"/>
                    </w:rPr>
                    <w:t>～</w:t>
                  </w:r>
                  <w:r>
                    <w:rPr>
                      <w:sz w:val="24"/>
                    </w:rPr>
                    <w:t>2840</w:t>
                  </w:r>
                  <w:r>
                    <w:br/>
                  </w:r>
                  <w:r>
                    <w:rPr>
                      <w:sz w:val="24"/>
                    </w:rPr>
                    <w:t>提供所投型号车辆在工业和信息化部装备工业发展中心的《道路机动车辆生产企业及产品信息查询系统》产品信息含网址打印出来的汽车产品技术参数详细页面证明，要求内容能体现满足上述参数要求（或提供所投型号车辆合格证复印件证明），要求内容能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医疗舱内尺寸（</w:t>
                  </w:r>
                  <w:r>
                    <w:rPr>
                      <w:sz w:val="24"/>
                    </w:rPr>
                    <w:t>mm）：长度≥3300，宽度≥2100，内高≥1850。通道≥300（mm）（计算尺寸方法按国家抢救监护型救护车行业标准：长度从后门内缘向内测量，宽度从左右车厢内缘测量；高度按医疗舱从车内顶到地板的距离；通道宽度按安装药械柜后，后车厢长座椅与担架之间的距离计算）。 （提供承诺函）</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转向：液压泵助力转向</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前悬：独立悬挂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后悬：变截面钢板弹簧、液压减震器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刹车：前后盘式刹车</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轮胎：</w:t>
                  </w:r>
                  <w:r>
                    <w:rPr>
                      <w:sz w:val="24"/>
                    </w:rPr>
                    <w:t>≥195/75R16C</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发动机：柴油高压共轨喷射涡轮增压发动机</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排放：国六排放标准</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排量（</w:t>
                  </w:r>
                  <w:r>
                    <w:rPr>
                      <w:sz w:val="24"/>
                    </w:rPr>
                    <w:t>L）≤2.3。提供所投型号车辆在工业和信息化部装备工业发展中心的《道路机动车辆生产企业及产品信息查询系统》产品信息含网址打印出来的汽车产品技术参数详细页面证明，要求内容能体现满足上述参数（或提供所投型号车辆合格证复印件证明），要求内容能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最大功率</w:t>
                  </w:r>
                  <w:r>
                    <w:rPr>
                      <w:sz w:val="24"/>
                    </w:rPr>
                    <w:t>kW≥125</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最大扭矩</w:t>
                  </w:r>
                  <w:r>
                    <w:rPr>
                      <w:sz w:val="24"/>
                    </w:rPr>
                    <w:t>Nm≥</w:t>
                  </w:r>
                  <w:r>
                    <w:rPr>
                      <w:sz w:val="24"/>
                    </w:rPr>
                    <w:t>450</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最高车速（</w:t>
                  </w:r>
                  <w:r>
                    <w:rPr>
                      <w:sz w:val="24"/>
                    </w:rPr>
                    <w:t>km/h）≥145</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驾驶室三座椅</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主副驾驶座安全气囊</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原厂遥控中央门锁</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电动窗</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车辆标准配置</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倒车自动摄像显示屏，驾驶舱屏可根据倒车感应自动切换为倒车实时影像。</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驾驶室安装原厂空调</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配备双路全自动切换纯正弦波逆变器，双路独立</w:t>
                  </w:r>
                  <w:r>
                    <w:rPr>
                      <w:sz w:val="24"/>
                    </w:rPr>
                    <w:t>220V 纯正弦逆变电源系统，每路输出功率 ≥1000W；双电路独立供电，任意一路出现故障时另一路可自动切入，确保专用设备不间断供电；逆变、市电全自动切换，实现交流不间断供电，具备双路、四段式充电功能；设有独立开关、具有接地、漏电、过载、过温、短路、欠压、过压等保护装置。</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后门脚踏板，右侧电动中滑门、电动踏板</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车头安装</w:t>
                  </w:r>
                  <w:r>
                    <w:rPr>
                      <w:sz w:val="24"/>
                    </w:rPr>
                    <w:t>2盏LED警蓝色闪灯</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车顶前部嵌入式警灯</w:t>
                  </w:r>
                  <w:r>
                    <w:rPr>
                      <w:sz w:val="24"/>
                    </w:rPr>
                    <w:t>1组</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驾驶室安装警报、警灯控制按钮</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车顶安装警报器：标准救护车警报声（</w:t>
                  </w:r>
                  <w:r>
                    <w:rPr>
                      <w:sz w:val="24"/>
                    </w:rPr>
                    <w:t>1套）</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100W车外扩音器内置于警报器内（1套）</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警报及汽车喇叭互联互通系统，采用编程控制，可集成警报及汽车喇叭控制。按下控制手柄开关，汽车喇叭可控制警报器发出短促的警笛声或连续循环的救护车警报声。关闭手柄开关，汽车喇叭恢复原厂状态，可自由切换。</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车顶外左右两侧救护车外场用照明、爆闪一体灯各</w:t>
                  </w:r>
                  <w:r>
                    <w:rPr>
                      <w:sz w:val="24"/>
                    </w:rPr>
                    <w:t>2盏。提供所投型号车辆在工业和信息化部装备工业发展中心的《道路机动车辆生产企业及产品信息查询系统》产品信息含网址打印出来的公告产品主要技术参数详细页面证明（标记并注明公告产品照片对应部位）。</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车身后部嵌入式</w:t>
                  </w:r>
                  <w:r>
                    <w:rPr>
                      <w:sz w:val="24"/>
                    </w:rPr>
                    <w:t>LED爆闪灯1组</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车顶尾部安装外场用照明灯</w:t>
                  </w:r>
                  <w:r>
                    <w:rPr>
                      <w:sz w:val="24"/>
                    </w:rPr>
                    <w:t>1组</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医疗舱内装置（所有材料不含木质成份）</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医疗舱整体墙壁及车顶具备隔音隔热层，所有座椅、台面及设备固定处均有对应的结构加强</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医疗方舱全铝结构采用的铝合金材料符合</w:t>
                  </w:r>
                  <w:r>
                    <w:rPr>
                      <w:sz w:val="24"/>
                    </w:rPr>
                    <w:t>Cu</w:t>
                  </w:r>
                  <w:r>
                    <w:rPr>
                      <w:sz w:val="24"/>
                    </w:rPr>
                    <w:t>、</w:t>
                  </w:r>
                  <w:r>
                    <w:rPr>
                      <w:sz w:val="24"/>
                    </w:rPr>
                    <w:t>Zn</w:t>
                  </w:r>
                  <w:r>
                    <w:rPr>
                      <w:sz w:val="24"/>
                    </w:rPr>
                    <w:t>、</w:t>
                  </w:r>
                  <w:r>
                    <w:rPr>
                      <w:sz w:val="24"/>
                    </w:rPr>
                    <w:t>Mn</w:t>
                  </w:r>
                  <w:r>
                    <w:rPr>
                      <w:sz w:val="24"/>
                    </w:rPr>
                    <w:t>、</w:t>
                  </w:r>
                  <w:r>
                    <w:rPr>
                      <w:sz w:val="24"/>
                    </w:rPr>
                    <w:t>Cr</w:t>
                  </w:r>
                  <w:r>
                    <w:rPr>
                      <w:sz w:val="24"/>
                    </w:rPr>
                    <w:t>、</w:t>
                  </w:r>
                  <w:r>
                    <w:rPr>
                      <w:sz w:val="24"/>
                    </w:rPr>
                    <w:t>Ti</w:t>
                  </w:r>
                  <w:r>
                    <w:rPr>
                      <w:sz w:val="24"/>
                    </w:rPr>
                    <w:t>含量均</w:t>
                  </w:r>
                  <w:r>
                    <w:rPr>
                      <w:sz w:val="24"/>
                    </w:rPr>
                    <w:t>≤0.</w:t>
                  </w:r>
                  <w:r>
                    <w:rPr>
                      <w:sz w:val="24"/>
                    </w:rPr>
                    <w:t>10</w:t>
                  </w:r>
                  <w:r>
                    <w:rPr>
                      <w:sz w:val="24"/>
                    </w:rPr>
                    <w:t>%</w:t>
                  </w:r>
                  <w:r>
                    <w:rPr>
                      <w:sz w:val="24"/>
                    </w:rPr>
                    <w:t>，耐盐雾腐蚀性保护等级</w:t>
                  </w:r>
                  <w:r>
                    <w:rPr>
                      <w:sz w:val="24"/>
                    </w:rPr>
                    <w:t>≥9</w:t>
                  </w:r>
                  <w:r>
                    <w:rPr>
                      <w:sz w:val="24"/>
                    </w:rPr>
                    <w:t>级，耐磨性</w:t>
                  </w:r>
                  <w:r>
                    <w:rPr>
                      <w:sz w:val="24"/>
                    </w:rPr>
                    <w:t>≥330g/μm</w:t>
                  </w:r>
                  <w:r>
                    <w:rPr>
                      <w:sz w:val="24"/>
                    </w:rPr>
                    <w:t>。</w:t>
                  </w:r>
                  <w:r>
                    <w:rPr>
                      <w:sz w:val="24"/>
                    </w:rPr>
                    <w:t>（</w:t>
                  </w:r>
                  <w:r>
                    <w:rPr>
                      <w:sz w:val="24"/>
                    </w:rPr>
                    <w:t>依据</w:t>
                  </w:r>
                  <w:r>
                    <w:rPr>
                      <w:sz w:val="24"/>
                    </w:rPr>
                    <w:t xml:space="preserve">GB/T 5237.2-2017 </w:t>
                  </w:r>
                  <w:r>
                    <w:rPr>
                      <w:sz w:val="24"/>
                    </w:rPr>
                    <w:t>《铝合金建筑型材 第</w:t>
                  </w:r>
                  <w:r>
                    <w:rPr>
                      <w:sz w:val="24"/>
                    </w:rPr>
                    <w:t>2</w:t>
                  </w:r>
                  <w:r>
                    <w:rPr>
                      <w:sz w:val="24"/>
                    </w:rPr>
                    <w:t>部分：阳极氧化型材》</w:t>
                  </w:r>
                  <w:r>
                    <w:rPr>
                      <w:sz w:val="24"/>
                    </w:rPr>
                    <w:t>）</w:t>
                  </w:r>
                  <w:r>
                    <w:rPr>
                      <w:sz w:val="24"/>
                    </w:rPr>
                    <w:t>提供第三方检验（或检测）机构出具的</w:t>
                  </w:r>
                  <w:r>
                    <w:rPr>
                      <w:sz w:val="24"/>
                    </w:rPr>
                    <w:t>带</w:t>
                  </w:r>
                  <w:r>
                    <w:rPr>
                      <w:sz w:val="24"/>
                    </w:rPr>
                    <w:t>CMA</w:t>
                  </w:r>
                  <w:r>
                    <w:rPr>
                      <w:sz w:val="24"/>
                    </w:rPr>
                    <w:t>或</w:t>
                  </w:r>
                  <w:r>
                    <w:rPr>
                      <w:sz w:val="24"/>
                    </w:rPr>
                    <w:t>CNAS</w:t>
                  </w:r>
                  <w:r>
                    <w:rPr>
                      <w:sz w:val="24"/>
                    </w:rPr>
                    <w:t>认证标志</w:t>
                  </w:r>
                  <w:r>
                    <w:rPr>
                      <w:sz w:val="24"/>
                    </w:rPr>
                    <w:t>的</w:t>
                  </w:r>
                  <w:r>
                    <w:rPr>
                      <w:sz w:val="24"/>
                    </w:rPr>
                    <w:t>检验（或检测）报告复印件，报告内容需体现满足上述参数要求。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车尾门采用双开门设计（确保内高</w:t>
                  </w:r>
                  <w:r>
                    <w:rPr>
                      <w:sz w:val="24"/>
                    </w:rPr>
                    <w:t>≥1630mm，方便人员上下）。侧门位于厢体右侧前方位置（确保内高≥1900mm，方便人员上下），侧门采用翻转式设计并配备随动的电动脚踏板。</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医疗舱车厢两侧装可开启的玻璃窗，后门装玻璃窗，窗户上贴</w:t>
                  </w:r>
                  <w:r>
                    <w:rPr>
                      <w:sz w:val="24"/>
                    </w:rPr>
                    <w:t>1/2不透明覆盖膜。</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厢体采用大圆角拼接设计，车尾门左侧尾部利用厢体大圆角空间设有一小的独立储物舱（可用于存放铲式担架、脊椎固定板，方便人员车外取拿物品。），并设有一弧形翻转门，翻转门配有独立门拉锁。提供所投型号车辆在工业和信息化部装备工业发展中心的《道路机动车辆生产企业及产品信息查询系统》产品信息含网址打印出来的公告产品主要技术参数详细页面证明（标记并注明公告产品照片对应储物舱闭合状态的部位），同时提共储物舱打开状态的产品实物照片（可看到储放有铲式担架或脊柱板）加以证明。</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医疗舱与驾驶室对讲系统。驾驶室与医疗舱分隔，各自独立，分隔墙中部有可滑行窗，窗户透明；</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医疗舱右侧安装病员躺椅</w:t>
                  </w:r>
                  <w:r>
                    <w:rPr>
                      <w:sz w:val="24"/>
                    </w:rPr>
                    <w:t>1张，安装安全带，座椅下储物空间。躺椅前端安装一个可折叠的可支撑头部的专用座椅，配置安全带；</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医疗舱左侧上方安装医疗吊柜</w:t>
                  </w:r>
                  <w:r>
                    <w:rPr>
                      <w:sz w:val="24"/>
                    </w:rPr>
                    <w:t>1套、下方位置安装医疗器械柜1套；</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10升氧气瓶2个，配公制转换开关，用固定架将氧气瓶安装在抢救舱内，方便更换。内置供氧管道，一头连接氧气瓶，一头接固定的供氧接头，以便接呼吸机使用；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医疗舱地板采用优质蓝色耐酸、碱、防火、防滑地板，四周边凸起包边，防止灰尘的积累及防滑，方便用水冲洗。</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医疗舱安装加强型暖气机；</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医疗舱安装设备（医药柜和器械柜的橱柜组合）固定导轨所采用的铝合金材料符合</w:t>
                  </w:r>
                  <w:r>
                    <w:rPr>
                      <w:sz w:val="24"/>
                    </w:rPr>
                    <w:t>Cu</w:t>
                  </w:r>
                  <w:r>
                    <w:rPr>
                      <w:sz w:val="24"/>
                    </w:rPr>
                    <w:t>、</w:t>
                  </w:r>
                  <w:r>
                    <w:rPr>
                      <w:sz w:val="24"/>
                    </w:rPr>
                    <w:t>Zn</w:t>
                  </w:r>
                  <w:r>
                    <w:rPr>
                      <w:sz w:val="24"/>
                    </w:rPr>
                    <w:t>、</w:t>
                  </w:r>
                  <w:r>
                    <w:rPr>
                      <w:sz w:val="24"/>
                    </w:rPr>
                    <w:t>Mn</w:t>
                  </w:r>
                  <w:r>
                    <w:rPr>
                      <w:sz w:val="24"/>
                    </w:rPr>
                    <w:t>、</w:t>
                  </w:r>
                  <w:r>
                    <w:rPr>
                      <w:sz w:val="24"/>
                    </w:rPr>
                    <w:t>Cr</w:t>
                  </w:r>
                  <w:r>
                    <w:rPr>
                      <w:sz w:val="24"/>
                    </w:rPr>
                    <w:t>、</w:t>
                  </w:r>
                  <w:r>
                    <w:rPr>
                      <w:sz w:val="24"/>
                    </w:rPr>
                    <w:t>Ti</w:t>
                  </w:r>
                  <w:r>
                    <w:rPr>
                      <w:sz w:val="24"/>
                    </w:rPr>
                    <w:t>含量均</w:t>
                  </w:r>
                  <w:r>
                    <w:rPr>
                      <w:sz w:val="24"/>
                    </w:rPr>
                    <w:t>≤0.</w:t>
                  </w:r>
                  <w:r>
                    <w:rPr>
                      <w:sz w:val="24"/>
                    </w:rPr>
                    <w:t>10</w:t>
                  </w:r>
                  <w:r>
                    <w:rPr>
                      <w:sz w:val="24"/>
                    </w:rPr>
                    <w:t>%</w:t>
                  </w:r>
                  <w:r>
                    <w:rPr>
                      <w:sz w:val="24"/>
                    </w:rPr>
                    <w:t>，耐盐雾腐蚀性保护等级</w:t>
                  </w:r>
                  <w:r>
                    <w:rPr>
                      <w:sz w:val="24"/>
                    </w:rPr>
                    <w:t>≥9</w:t>
                  </w:r>
                  <w:r>
                    <w:rPr>
                      <w:sz w:val="24"/>
                    </w:rPr>
                    <w:t>级，耐磨性</w:t>
                  </w:r>
                  <w:r>
                    <w:rPr>
                      <w:sz w:val="24"/>
                    </w:rPr>
                    <w:t>≥330g/μm</w:t>
                  </w:r>
                  <w:r>
                    <w:rPr>
                      <w:sz w:val="24"/>
                    </w:rPr>
                    <w:t>。</w:t>
                  </w:r>
                  <w:r>
                    <w:rPr>
                      <w:sz w:val="24"/>
                    </w:rPr>
                    <w:t>（</w:t>
                  </w:r>
                  <w:r>
                    <w:rPr>
                      <w:sz w:val="24"/>
                    </w:rPr>
                    <w:t>依据</w:t>
                  </w:r>
                  <w:r>
                    <w:rPr>
                      <w:sz w:val="24"/>
                    </w:rPr>
                    <w:t xml:space="preserve">GB/T 5237.2-2017 </w:t>
                  </w:r>
                  <w:r>
                    <w:rPr>
                      <w:sz w:val="24"/>
                    </w:rPr>
                    <w:t>《铝合金建筑型材 第</w:t>
                  </w:r>
                  <w:r>
                    <w:rPr>
                      <w:sz w:val="24"/>
                    </w:rPr>
                    <w:t>2</w:t>
                  </w:r>
                  <w:r>
                    <w:rPr>
                      <w:sz w:val="24"/>
                    </w:rPr>
                    <w:t>部分：阳极氧化型材》</w:t>
                  </w:r>
                  <w:r>
                    <w:rPr>
                      <w:sz w:val="24"/>
                    </w:rPr>
                    <w:t>）</w:t>
                  </w:r>
                  <w:r>
                    <w:rPr>
                      <w:sz w:val="24"/>
                    </w:rPr>
                    <w:t>提供第三方检验（或检测）机构出具的</w:t>
                  </w:r>
                  <w:r>
                    <w:rPr>
                      <w:sz w:val="24"/>
                    </w:rPr>
                    <w:t>带</w:t>
                  </w:r>
                  <w:r>
                    <w:rPr>
                      <w:sz w:val="24"/>
                    </w:rPr>
                    <w:t>CMA</w:t>
                  </w:r>
                  <w:r>
                    <w:rPr>
                      <w:sz w:val="24"/>
                    </w:rPr>
                    <w:t>或</w:t>
                  </w:r>
                  <w:r>
                    <w:rPr>
                      <w:sz w:val="24"/>
                    </w:rPr>
                    <w:t>CNAS</w:t>
                  </w:r>
                  <w:r>
                    <w:rPr>
                      <w:sz w:val="24"/>
                    </w:rPr>
                    <w:t>认证标志</w:t>
                  </w:r>
                  <w:r>
                    <w:rPr>
                      <w:sz w:val="24"/>
                    </w:rPr>
                    <w:t>的</w:t>
                  </w:r>
                  <w:r>
                    <w:rPr>
                      <w:sz w:val="24"/>
                    </w:rPr>
                    <w:t>检验（或检测）报告复印件，报告内容需体现满足上述参数要求。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医疗舱隔离墙边安装一个护士操作台；</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护士操作台台面采用不锈钢设计，防止刮花及腐蚀；</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医疗舱右边安装一个有盖的废物桶；</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医疗舱顶部安装中央式综合平台，集成圆形紫外线消毒灯、射灯、折叠式输液瓶悬吊装置（共</w:t>
                  </w:r>
                  <w:r>
                    <w:rPr>
                      <w:sz w:val="24"/>
                    </w:rPr>
                    <w:t>4个挂钩）、顶置换气扇，两侧安全扶手，前部集成触摸控制系统：可控制车内外灯光、医疗舱空调系统、换气系统同时显示车内温湿度、电源电压等实时数据。</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2kg灭火器及支撑架，驾驶室及医疗舱各1个（共2个）；</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随车医疗设备均具备安装或存储空间。</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中标人对车内和车外文字图案等装修方案进行整体规划设计。</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ECOM转运电动上车担架、履带式楼梯担架、铲式担架、脊柱固定板、电动吸引器、心电监护仪、转运呼吸机、除颤监护仪、心肺复苏机、心电图机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465"/>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专用器械设备技术参数要求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一</w:t>
                  </w:r>
                  <w:r>
                    <w:rPr>
                      <w:sz w:val="24"/>
                      <w:b/>
                    </w:rPr>
                    <w:t>）</w:t>
                  </w:r>
                  <w:r>
                    <w:rPr>
                      <w:sz w:val="24"/>
                      <w:b/>
                    </w:rPr>
                    <w:t>ECOM转运电动上车担架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1.尺寸：≥199*57*120cm，低位时：≤199*57*50cm。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2.担架整体材料为铝合金制成。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3.靠背调节角度：0</w:t>
                  </w:r>
                  <w:r>
                    <w:rPr>
                      <w:sz w:val="21"/>
                    </w:rPr>
                    <w:t>°～</w:t>
                  </w:r>
                  <w:r>
                    <w:rPr>
                      <w:sz w:val="24"/>
                    </w:rPr>
                    <w:t>75</w:t>
                  </w:r>
                  <w:r>
                    <w:rPr>
                      <w:sz w:val="21"/>
                    </w:rPr>
                    <w:t>°</w:t>
                  </w:r>
                  <w:r>
                    <w:rPr>
                      <w:sz w:val="24"/>
                    </w:rPr>
                    <w:t>，腿部调节角度</w:t>
                  </w:r>
                  <w:r>
                    <w:rPr>
                      <w:sz w:val="24"/>
                    </w:rPr>
                    <w:t>0</w:t>
                  </w:r>
                  <w:r>
                    <w:rPr>
                      <w:sz w:val="21"/>
                    </w:rPr>
                    <w:t>°～</w:t>
                  </w:r>
                  <w:r>
                    <w:rPr>
                      <w:sz w:val="24"/>
                    </w:rPr>
                    <w:t>20</w:t>
                  </w:r>
                  <w:r>
                    <w:rPr>
                      <w:sz w:val="21"/>
                    </w:rPr>
                    <w:t>°</w:t>
                  </w:r>
                  <w:r>
                    <w:rPr>
                      <w:sz w:val="24"/>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4.最大承重不小于300KG。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5.输液架高度可调，最大高度为80cm，承重为5KG。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6.液压系统控制升降，在任意高度停留时缓冲减震。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7.配有专用上车轨道，提供安装服务。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8.担架最低位到最高位升降时间不大于15S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9.标配两块电池，电池一键式拆卸。</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10.轮子尺寸：≥150mm耐磨橡胶轮，前轮具有定向万向转换功能。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11.担架设有警示灯，方便夜晚救援。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12.设有手动泄压装置，用于电池缺电等紧急情况进行手动抬起和放下。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▲13.电动担架车上车轮最大离地高度不小于96cm。提供第三方检验（或检测）机构出具的检验（或检测）报告复印件，报告内容需体现满足上述参数要求。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14.可增加定制化配件，使担架可开展新生儿，ECMO等特殊转运。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15.担架高度可以任意调节，可与院内病床高度匹配。</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16.担架垫子采用耐磨夹网布材料，凹型状，厚度≥10cm</w:t>
                  </w:r>
                  <w:r>
                    <w:rPr>
                      <w:sz w:val="21"/>
                    </w:rPr>
                    <w:t>，</w:t>
                  </w:r>
                  <w:r>
                    <w:rPr>
                      <w:sz w:val="24"/>
                    </w:rPr>
                    <w:t>床垫防水，阻燃。</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17.电动担架车电池满电下，可承载135KG升降达80次以上。</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二</w:t>
                  </w:r>
                  <w:r>
                    <w:rPr>
                      <w:sz w:val="24"/>
                      <w:b/>
                    </w:rPr>
                    <w:t>）</w:t>
                  </w:r>
                  <w:r>
                    <w:rPr>
                      <w:sz w:val="24"/>
                      <w:b/>
                    </w:rPr>
                    <w:t>履带式楼梯担架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1.采用航空铝材料制造。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2.产品尺寸:长：≥980mm，宽≥530 mm,折叠厚度≤130mm；扶手之间座椅宽度≥540mm，座椅深度≥420mm；总重量≤8kg。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 配套履带一付，安全带一付。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三</w:t>
                  </w:r>
                  <w:r>
                    <w:rPr>
                      <w:sz w:val="24"/>
                      <w:b/>
                    </w:rPr>
                    <w:t>）</w:t>
                  </w:r>
                  <w:r>
                    <w:rPr>
                      <w:sz w:val="24"/>
                      <w:b/>
                    </w:rPr>
                    <w:t>铲式担架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1.担架由高强度的铝合金制成。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2.折叠尺寸(cm:)长≥120,宽≥40,高≥8,展开尺寸(cm:)长≥200,宽≥40,高≥7,担架自重：≤9.5kg,担架承重≥250kg。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3.采用分离型刚性结构，两端设有离合装置，可将担架分离成左右两部分。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四</w:t>
                  </w:r>
                  <w:r>
                    <w:rPr>
                      <w:sz w:val="24"/>
                      <w:b/>
                    </w:rPr>
                    <w:t>）</w:t>
                  </w:r>
                  <w:r>
                    <w:rPr>
                      <w:sz w:val="24"/>
                      <w:b/>
                    </w:rPr>
                    <w:t>脊柱固定板</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1.采用无释放污染的HDPE材料中空吹塑一次成型;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2.可在水上漂浮，并可进行X光透视、CT扫描；;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3.配有安全带;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4.可与头部固定器结合使用。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五</w:t>
                  </w:r>
                  <w:r>
                    <w:rPr>
                      <w:sz w:val="24"/>
                      <w:b/>
                    </w:rPr>
                    <w:t>）</w:t>
                  </w:r>
                  <w:r>
                    <w:rPr>
                      <w:sz w:val="24"/>
                      <w:b/>
                    </w:rPr>
                    <w:t>电动吸引器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1.采用恒压限流充电，可间断累加充电，在外接AC100V~240V，50/60Hz或者DC 12V的情况下均可进行充电，有电池量分段指示；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2.极限负压值:≥0.08MPa（600mmHg）；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3.负压调节范围:0.01MPa（75mmHg）-极限负压值；</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4.抽气速率:≥20L/min；</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3.噪声:≤65dB(A)；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4.贮液瓶: ≥1000mL(PC塑料)；</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5.电源:AC 100V~240V,50/60Hz;DC12V</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6.输入功率: ≥110VA；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7.毛/净重: ≤5.5kg/4.5kg。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六</w:t>
                  </w:r>
                  <w:r>
                    <w:rPr>
                      <w:sz w:val="24"/>
                      <w:b/>
                    </w:rPr>
                    <w:t>）</w:t>
                  </w:r>
                  <w:r>
                    <w:rPr>
                      <w:sz w:val="24"/>
                      <w:b/>
                    </w:rPr>
                    <w:t>心电监护仪</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1.适用于成人、小儿、新生儿的监测。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2.工作大气压力57.0 ~107 kPa。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3.转运监护仪，满足救护车相关转运标准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≥5英寸彩色电容触摸显示屏。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4.不低于IP44防尘防水。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5.坚固耐用，抗1.2米6面跌落，满足转运过程中的复杂临床救治环境。</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6.整机无风扇设计。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7.内置锂电池供电，支持</w:t>
                  </w:r>
                  <w:r>
                    <w:rPr>
                      <w:sz w:val="21"/>
                    </w:rPr>
                    <w:t>≥</w:t>
                  </w:r>
                  <w:r>
                    <w:rPr>
                      <w:sz w:val="24"/>
                    </w:rPr>
                    <w:t>5小时的持续监测。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8.内置DC电源接口，可以进行车载充电。</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9.支持3/5导心电，阻抗呼吸，血氧、无创血压和2通道体温。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10.转运监护仪支持插入床旁监护仪插槽作为参数模块使用，即插即用。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11.具有多导心电监护算法 ，同步分析至少2通道心电波形，能够良好抗干扰。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12.心率测量范围：成人15 ～ 300 bpm，小儿/新生儿15</w:t>
                  </w:r>
                  <w:r>
                    <w:rPr>
                      <w:sz w:val="21"/>
                    </w:rPr>
                    <w:t>～</w:t>
                  </w:r>
                  <w:r>
                    <w:rPr>
                      <w:sz w:val="24"/>
                    </w:rPr>
                    <w:t xml:space="preserve"> </w:t>
                  </w:r>
                  <w:r>
                    <w:rPr>
                      <w:sz w:val="24"/>
                    </w:rPr>
                    <w:t>350 bpm。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13.波速提供50mm/s，25 mm/s、12.5 mm/s、6.25 mm/s可选。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14.滤波模式提供诊断模式（0.05 </w:t>
                  </w:r>
                  <w:r>
                    <w:rPr>
                      <w:sz w:val="21"/>
                    </w:rPr>
                    <w:t>～</w:t>
                  </w:r>
                  <w:r>
                    <w:rPr>
                      <w:sz w:val="24"/>
                    </w:rPr>
                    <w:t>150Hz），监护模式（0.5</w:t>
                  </w:r>
                  <w:r>
                    <w:rPr>
                      <w:sz w:val="21"/>
                    </w:rPr>
                    <w:t>～</w:t>
                  </w:r>
                  <w:r>
                    <w:rPr>
                      <w:sz w:val="24"/>
                    </w:rPr>
                    <w:t>40Hz），ST模式（0.05</w:t>
                  </w:r>
                  <w:r>
                    <w:rPr>
                      <w:sz w:val="21"/>
                    </w:rPr>
                    <w:t>～</w:t>
                  </w:r>
                  <w:r>
                    <w:rPr>
                      <w:sz w:val="24"/>
                    </w:rPr>
                    <w:t xml:space="preserve"> </w:t>
                  </w:r>
                  <w:r>
                    <w:rPr>
                      <w:sz w:val="24"/>
                    </w:rPr>
                    <w:t>40Hz），手术模式（1</w:t>
                  </w:r>
                  <w:r>
                    <w:rPr>
                      <w:sz w:val="21"/>
                    </w:rPr>
                    <w:t>～</w:t>
                  </w:r>
                  <w:r>
                    <w:rPr>
                      <w:sz w:val="24"/>
                    </w:rPr>
                    <w:t>20Hz）。</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15.提供</w:t>
                  </w:r>
                  <w:r>
                    <w:rPr>
                      <w:sz w:val="21"/>
                    </w:rPr>
                    <w:t>≥</w:t>
                  </w:r>
                  <w:r>
                    <w:rPr>
                      <w:sz w:val="24"/>
                    </w:rPr>
                    <w:t>25种心律失常事件的分析。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16.提供ST段分析，提供显示和存储ST值和每个ST的模板。</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17.具有QT/QTc测量功能，提供QT，QTc和ΔQTc参数值。</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18.可显示弱灌注指数（PI）。</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19.提供双通道体温测量，提供两通道体温测量差值显示。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20.提供手动、自动间隔、连续、序列四种无创血压测量模式。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w:t>
                  </w:r>
                  <w:r>
                    <w:rPr>
                      <w:sz w:val="21"/>
                    </w:rPr>
                    <w:t>≥</w:t>
                  </w:r>
                  <w:r>
                    <w:rPr>
                      <w:sz w:val="24"/>
                    </w:rPr>
                    <w:t>120小时 （分辨率1分钟）趋势表、趋势图回顾。</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22.</w:t>
                  </w:r>
                  <w:r>
                    <w:rPr>
                      <w:sz w:val="21"/>
                    </w:rPr>
                    <w:t>≥</w:t>
                  </w:r>
                  <w:r>
                    <w:rPr>
                      <w:sz w:val="24"/>
                    </w:rPr>
                    <w:t>1000条事件回顾。每条报警事件至少能够存储32秒三道相关波形，以及报警触发时所有测量参数值。</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23.</w:t>
                  </w:r>
                  <w:r>
                    <w:rPr>
                      <w:sz w:val="21"/>
                    </w:rPr>
                    <w:t>≥</w:t>
                  </w:r>
                  <w:r>
                    <w:rPr>
                      <w:sz w:val="24"/>
                    </w:rPr>
                    <w:t>1000条NIBP测量结果回顾。</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24.</w:t>
                  </w:r>
                  <w:r>
                    <w:rPr>
                      <w:sz w:val="21"/>
                    </w:rPr>
                    <w:t>≥</w:t>
                  </w:r>
                  <w:r>
                    <w:rPr>
                      <w:sz w:val="24"/>
                    </w:rPr>
                    <w:t>48小时全息波形回顾。全息波形至少能存储所有测量值，以及至少3道波形。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七</w:t>
                  </w:r>
                  <w:r>
                    <w:rPr>
                      <w:sz w:val="24"/>
                      <w:b/>
                    </w:rPr>
                    <w:t>）</w:t>
                  </w:r>
                  <w:r>
                    <w:rPr>
                      <w:sz w:val="24"/>
                      <w:b/>
                    </w:rPr>
                    <w:t>转运呼吸机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一、基本特征</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 适用于对成人、小儿患者进行通气辅助及呼吸支持的呼吸机，中文操作界面。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 采用≥12英寸彩色TFT电容触摸屏，分辨率</w:t>
                  </w:r>
                  <w:r>
                    <w:rPr>
                      <w:sz w:val="21"/>
                    </w:rPr>
                    <w:t>≥</w:t>
                  </w:r>
                  <w:r>
                    <w:rPr>
                      <w:sz w:val="24"/>
                    </w:rPr>
                    <w:t>1280*800，屏幕可翻转，角度0-30度可调。</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 屏幕采用全贴合设计。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 ≥200分钟内置后备可充电电池（1块电池），可选配≥400分钟内置后备可充电电池（2块电池）。（提供第三方检验（或检测）机构出具的检验（或检测）报告，报告内容需体现满足上述参数要求。）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 电动电控呼吸机（涡轮驱动产生空气气源）。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 具有创通气模式和无创通气模式。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 病人数据、报警日志、校准表格等数据可通过U盘导出。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 吸气安全阀和呼气安全阀组件可徒手拆卸，并能高温高压蒸汽消毒（134℃），以防止交叉感染。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二、呼吸模式及功能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2.1 标配有创通气模式：具有压力及容量控制通气下的辅助控制通气和同步间歇指令通气模式（V-A/C、P-A/C、V-SIMV、P-SIMV）、CPAP/PSV（持续气道正压/压力支持通气）以及窒息通气等模式。可选压力调节容量控制和同步间歇指令通气模式（PRVC、PRVC-SIMV）、双水平气道正压通气模式、心肺复苏模式（CPRV）、自适应通气模式（如ASV/AMV）、以及容量支持通气（VS）模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2.2可选高级模式：气道压力释放通气（APRV）、成比例通气模式（如PAV/PPS）。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2.3标配无创通气模式：P-A/C、P-SIMV、CPAP/PSV、PSV-S/T，可选DuoVent 、APRV、PPS通气模式。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2.4具有高流量氧疗功能，可以调节氧疗流速（2-80L/min）和氧浓度。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2.5 其他功能：增氧、雾化、吸气保持、呼气保持、吸痰、手动呼吸。</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2.6 具有插管补偿功能，选择不同孔径的气管插管，呼吸机可以自动调节送气压力，使插管末端的压力与呼吸机压力设置值保持一致。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 具有智能同步技术：根据病人的肺特性，调节吸气触发、压力上升时间和呼气触发参数，减少治疗过程中呼吸机设置值的频繁调节，提高人机同步，使病人呼吸更加舒适。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2.8 可选肺复张工具，在机械通气过程中给予高于常规平均气道压的压力并维持一定的时间，可以使更多的萎陷肺泡复张以及防止小潮气量通气所带来的继发性肺不张。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2.9具有动态肺视图界面，以图形形式实时显示肺动力学参数。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2.10可选脱机辅助监测功能，具备脱机功能看板，可自定义脱机指征，一键启动SBT，脱机失败时自动退出，安全规范实施脱机流程。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2.11可选叹息功能、P-V工具。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三、设置参数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 潮气量：20ml</w:t>
                  </w:r>
                  <w:r>
                    <w:rPr>
                      <w:sz w:val="21"/>
                    </w:rPr>
                    <w:t>～</w:t>
                  </w:r>
                  <w:r>
                    <w:rPr>
                      <w:sz w:val="24"/>
                    </w:rPr>
                    <w:t>4000ml</w:t>
                  </w:r>
                  <w:r>
                    <w:rPr>
                      <w:sz w:val="24"/>
                    </w:rPr>
                    <w:t>（提供第三方检验（或检测）机构出具的检验（或检测）报告复印件，报告内容需体现满足上述参数要求。）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3.2 呼吸频率：1</w:t>
                  </w:r>
                  <w:r>
                    <w:rPr>
                      <w:sz w:val="21"/>
                    </w:rPr>
                    <w:t>～</w:t>
                  </w:r>
                  <w:r>
                    <w:rPr>
                      <w:sz w:val="24"/>
                    </w:rPr>
                    <w:t>100次/min</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3.3 吸/呼比：4:1</w:t>
                  </w:r>
                  <w:r>
                    <w:rPr>
                      <w:sz w:val="21"/>
                    </w:rPr>
                    <w:t>～</w:t>
                  </w:r>
                  <w:r>
                    <w:rPr>
                      <w:sz w:val="24"/>
                    </w:rPr>
                    <w:t>1:10</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3.4 最大峰值流速：≥210L/min</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3.5 吸气压力：1</w:t>
                  </w:r>
                  <w:r>
                    <w:rPr>
                      <w:sz w:val="21"/>
                    </w:rPr>
                    <w:t>～</w:t>
                  </w:r>
                  <w:r>
                    <w:rPr>
                      <w:sz w:val="24"/>
                    </w:rPr>
                    <w:t>90 cmH2O</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3.7 压力支持：0</w:t>
                  </w:r>
                  <w:r>
                    <w:rPr>
                      <w:sz w:val="21"/>
                    </w:rPr>
                    <w:t>～</w:t>
                  </w:r>
                  <w:r>
                    <w:rPr>
                      <w:sz w:val="24"/>
                    </w:rPr>
                    <w:t>90cmH2O</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3.8 呼末正压：0</w:t>
                  </w:r>
                  <w:r>
                    <w:rPr>
                      <w:sz w:val="21"/>
                    </w:rPr>
                    <w:t>～</w:t>
                  </w:r>
                  <w:r>
                    <w:rPr>
                      <w:sz w:val="24"/>
                    </w:rPr>
                    <w:t>50cmH2O</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3.9 吸气时间：0.1</w:t>
                  </w:r>
                  <w:r>
                    <w:rPr>
                      <w:sz w:val="21"/>
                    </w:rPr>
                    <w:t>～</w:t>
                  </w:r>
                  <w:r>
                    <w:rPr>
                      <w:sz w:val="24"/>
                    </w:rPr>
                    <w:t>10s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3.10 呼气触发灵敏度：Auto，1</w:t>
                  </w:r>
                  <w:r>
                    <w:rPr>
                      <w:sz w:val="21"/>
                    </w:rPr>
                    <w:t>～</w:t>
                  </w:r>
                  <w:r>
                    <w:rPr>
                      <w:sz w:val="24"/>
                    </w:rPr>
                    <w:t>85%</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3.11 压力触发灵敏度：-0.5</w:t>
                  </w:r>
                  <w:r>
                    <w:rPr>
                      <w:sz w:val="21"/>
                    </w:rPr>
                    <w:t>～</w:t>
                  </w:r>
                  <w:r>
                    <w:rPr>
                      <w:sz w:val="24"/>
                    </w:rPr>
                    <w:t>-20cmH2O</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3.12 流速触发灵敏度：0.5</w:t>
                  </w:r>
                  <w:r>
                    <w:rPr>
                      <w:sz w:val="21"/>
                    </w:rPr>
                    <w:t>～</w:t>
                  </w:r>
                  <w:r>
                    <w:rPr>
                      <w:sz w:val="24"/>
                    </w:rPr>
                    <w:t>20L/min</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3.13 氧疗流量：2</w:t>
                  </w:r>
                  <w:r>
                    <w:rPr>
                      <w:sz w:val="21"/>
                    </w:rPr>
                    <w:t>～</w:t>
                  </w:r>
                  <w:r>
                    <w:rPr>
                      <w:sz w:val="24"/>
                    </w:rPr>
                    <w:t>80L/min</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3.14 分钟通气量百分比：25</w:t>
                  </w:r>
                  <w:r>
                    <w:rPr>
                      <w:sz w:val="21"/>
                    </w:rPr>
                    <w:t>～</w:t>
                  </w:r>
                  <w:r>
                    <w:rPr>
                      <w:sz w:val="24"/>
                    </w:rPr>
                    <w:t>350%</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四、监测参数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4.1 压力监测：PEEP、气道峰压、平台压、平均压等监测。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4.2 每分钟呼出通气量：总的分钟通气量、自主呼吸的分钟通气量、泄漏的分钟通气量的监测。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4.3 潮气量的监测：吸入潮气量、呼出潮气量、自主呼出潮气量的监测。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4.4 呼吸频率监测：总的呼吸频率、自主呼吸频率、机控呼吸频率的监测。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4.5 波形显示：压力/时间、流速/时间、容量/时间。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4.6 具有吸入氧浓度的监测。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4.7 可选配SpO2监测，提供SpO2和PR监测值，提供脉搏波。可实时监测ROX指数及趋势回顾，动态关注氧疗效果。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4.8 可选肺泡通气量计算、能量代谢计算工具。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4.9 可选牵张指数Stress Index、肺过度膨胀系数C20/C等高级肺保护通气监测功能。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4.10 可配置主流或旁流二氧化碳监测。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五、其他功能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5.1 呼吸机自带屏幕录制功能；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5.2 呼吸波形及呼吸环可截图，屏幕导出保存U盘。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5.3 主机可存储不少于8000事件日志，包括报警日志和操作日志。</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5.4具有不少于168小时趋势图和趋势表数据存储。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5.5 本机具备HDMI扩展显示，无需外接转接口。</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5.6支持同品牌高流量氧疗鼻氧管。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5.7具有电子雾化器供电接口。</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5.8能够和同一品牌模块化监护仪连接，在监护仪上实时显示呼吸机监测信息，能够通过WIFI无线网络或有线网络联网，把呼吸机的监测信息实时显示到中央监护站或全院监护系统，满足科室信息化的需求和呼吸机管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八</w:t>
                  </w:r>
                  <w:r>
                    <w:rPr>
                      <w:sz w:val="24"/>
                      <w:b/>
                    </w:rPr>
                    <w:t>）</w:t>
                  </w:r>
                  <w:r>
                    <w:rPr>
                      <w:sz w:val="24"/>
                      <w:b/>
                    </w:rPr>
                    <w:t>除颤监护仪</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1.重量：≤4.2kg（标配，含电池）。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2.彩色电容触摸屏≥8英寸， 分辨率≥1024×768像素，可显示≥5通道监护参数波形，支持手势操作、自动亮度调节。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3.提供图形化故障排除指引，帮助医护人员快速解决设备故障。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4.支持中文操作界面。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5.屏幕显示心电波形扫描时间≥36s。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6.具备手动除颤、心电监护、呼吸监护、自动体外除颤（AED）功能，AED功能适用于29天以上人群。</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7.除颤采用双相波技术，具备自动阻抗补偿功能。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8.手动除颤分为同步和非同步两种方式，能量分20档以上，可通过体外电极板进行能量选择，最大能量可达360J。</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9.可配置体内除颤手柄，体内手动除颤能力选择：1/2/3/4/5/6/7/8/9/10/15/20/25/30/50 J。</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10.体外除颤电极板同时支持成人和小儿，一体化设计，支持快速切换。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11.电极板支持能量选择，充电和放电三步操作，满足单人除颤操作。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12.AED除颤功能提供中文语音和中文提醒功能，对于抢救过程支持自动录音功能，记录时长≥8小时。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13.开机到可正常使用时间≤2s，符合临床使用。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14.除颤充电迅速，充电至200J≤4s。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15.除颤后心电基线恢复时间≤2.5s。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16.从开始AED分析到放电准备就绪≤10s。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17.支持病人接触状态和阻抗值实时显示。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18.支持智能分析功能，手动除颤模式下也可提供自动节律分析和操作指引。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19.可选配体外起搏功能，起搏分为固定和按需两种模式。具备降速起搏功能。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20.心电波形速度支持50 mm/s、25 mm/s、12.5 mm/s、6.25 mm/s。阻抗呼吸和呼吸末二氧化碳波形速度支持25 mm/s、12.5 mm/s、6.25 mm/s。血氧饱和度波形速度支持25 mm/s、12.5 mm/s。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21.通过心电电极片可监测的心律失常分析种类≥27种。</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22.支持ST/QT实时分析。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23.阻抗呼吸率范围：0</w:t>
                  </w:r>
                  <w:r>
                    <w:rPr>
                      <w:sz w:val="21"/>
                    </w:rPr>
                    <w:t>～</w:t>
                  </w:r>
                  <w:r>
                    <w:rPr>
                      <w:sz w:val="24"/>
                    </w:rPr>
                    <w:t>200rpm。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24.可选配监护功能：血氧饱和度、无创血压、呼吸末二氧化碳。</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25.提供的监护参数适用于成人，小儿和新生儿</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26.脉率范围：20</w:t>
                  </w:r>
                  <w:r>
                    <w:rPr>
                      <w:sz w:val="21"/>
                    </w:rPr>
                    <w:t>～</w:t>
                  </w:r>
                  <w:r>
                    <w:rPr>
                      <w:sz w:val="24"/>
                    </w:rPr>
                    <w:t>300bpm。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27.无创血压收缩压测量范围：25</w:t>
                  </w:r>
                  <w:r>
                    <w:rPr>
                      <w:sz w:val="21"/>
                    </w:rPr>
                    <w:t>～</w:t>
                  </w:r>
                  <w:r>
                    <w:rPr>
                      <w:sz w:val="24"/>
                    </w:rPr>
                    <w:t>290mmHg（成人）、25</w:t>
                  </w:r>
                  <w:r>
                    <w:rPr>
                      <w:sz w:val="21"/>
                    </w:rPr>
                    <w:t>～</w:t>
                  </w:r>
                  <w:r>
                    <w:rPr>
                      <w:sz w:val="24"/>
                    </w:rPr>
                    <w:t>240mmHg（小儿）、25</w:t>
                  </w:r>
                  <w:r>
                    <w:rPr>
                      <w:sz w:val="21"/>
                    </w:rPr>
                    <w:t>～</w:t>
                  </w:r>
                  <w:r>
                    <w:rPr>
                      <w:sz w:val="24"/>
                    </w:rPr>
                    <w:t>140mmHg（新生儿），舒张压测量范围：10</w:t>
                  </w:r>
                  <w:r>
                    <w:rPr>
                      <w:sz w:val="21"/>
                    </w:rPr>
                    <w:t>～</w:t>
                  </w:r>
                  <w:r>
                    <w:rPr>
                      <w:sz w:val="24"/>
                    </w:rPr>
                    <w:t>250mmHg（成人）、10</w:t>
                  </w:r>
                  <w:r>
                    <w:rPr>
                      <w:sz w:val="21"/>
                    </w:rPr>
                    <w:t>～</w:t>
                  </w:r>
                  <w:r>
                    <w:rPr>
                      <w:sz w:val="24"/>
                    </w:rPr>
                    <w:t>200mmHg（小儿），10-115mmHg（新生儿）。</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28.可根据病人类型自动切换除颤默认能量、CPR提示和参数报警限。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29.支持连接中央站，与科室床旁监护仪共用监护网络。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30.支持通过中央站远程修改病人信息和系统时间同步。</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31.支持提供IHE HL7协议，满足院前院内急救系统的联网通信。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w:t>
                  </w:r>
                  <w:r>
                    <w:rPr>
                      <w:sz w:val="24"/>
                      <w:b/>
                    </w:rPr>
                    <w:t>九</w:t>
                  </w:r>
                  <w:r>
                    <w:rPr>
                      <w:sz w:val="24"/>
                      <w:b/>
                    </w:rPr>
                    <w:t>）</w:t>
                  </w:r>
                  <w:r>
                    <w:rPr>
                      <w:sz w:val="24"/>
                      <w:b/>
                    </w:rPr>
                    <w:t>心肺复苏机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▲1．按压原理：采用点式按压结合负压吸盘的按压原理，在按压放松期间，有效提拉胸壁，保证胸廓回弹，促进静脉血回流，改善心肺复苏质量；背部有硬质支撑。</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2．驱动方式：电动电控。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机械结构：双杆两侧固定结构，固定和支撑按压主机使用硬质材料制成，不使用有弹性软质材料。功能操作界面在设备上方。（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4.具有负压吸引杯，能帮助胸廓回弹。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r>
                    <w:rPr>
                      <w:sz w:val="24"/>
                    </w:rPr>
                    <w:t>适用胸廓范围：最大胸宽</w:t>
                  </w:r>
                  <w:r>
                    <w:rPr>
                      <w:sz w:val="24"/>
                    </w:rPr>
                    <w:t>≧47±2.5cm，胸腔高度范围≧13.3-30.3 cm，误差≦±1cm；增高配件可使胸腔高度范围增加，范围≧18.3-35.3 cm，误差</w:t>
                  </w:r>
                  <w:r>
                    <w:rPr>
                      <w:sz w:val="24"/>
                    </w:rPr>
                    <w:t>≦±1cm。（提供第三方检验（或检测）机构出具的检验（或检测）报告复印件，报告内容需体现满足上述参数要求。）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▲6.设备的双杆固定柱具有胸部厚度测量标尺标识，标识范围≧15-26 cm，误差≦±1cm。（提供第三方检验（或检测）机构出具的检验（或检测）报告复印件，报告内容需体现满足上述参数要求。）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7.工作状态：最大工作倾斜度≧66°，具有担架固定孔位，可固定担架上，确保下楼梯、转运途中能持续稳定实施胸腔按压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8.主机具有数据显示屏，</w:t>
                  </w:r>
                  <w:r>
                    <w:rPr>
                      <w:sz w:val="24"/>
                    </w:rPr>
                    <w:t>≧</w:t>
                  </w:r>
                  <w:r>
                    <w:rPr>
                      <w:sz w:val="24"/>
                    </w:rPr>
                    <w:t>3.5英寸，至少可显示胸外按压分数（CCF）实时数据及趋势图、按压模式、按压深度、按压频率、按压时间等关键参数指标。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按压头按压输出实时测量压力值范围为0-80公斤，在按压深度为5.6cm时，实际按压峰值压力&gt;70公斤。（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10.按压频率：100-120 次／分钟，连续可调；也可按3挡设置，100次/分钟，110次/分钟、120次/分钟，可由低向高或由高向低，连续调节按压频率；实际按压频率与设置值误差为</w:t>
                  </w:r>
                  <w:r>
                    <w:rPr>
                      <w:sz w:val="24"/>
                    </w:rPr>
                    <w:t>≦</w:t>
                  </w:r>
                  <w:r>
                    <w:rPr>
                      <w:sz w:val="24"/>
                    </w:rPr>
                    <w:t>±1 次/分钟。确保不同身高体重的患者快速设置按压。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11.按压深度：</w:t>
                  </w:r>
                  <w:r>
                    <w:rPr>
                      <w:sz w:val="24"/>
                    </w:rPr>
                    <w:t>0-56mm范围，支持步进为1mm的连续可调；也可按3挡设置，3.6cm，4.6cm及5.6cm，可由低向高或由高向低，连续调节按压深度；误差为≦±0.2</w:t>
                  </w:r>
                  <w:r>
                    <w:rPr>
                      <w:sz w:val="24"/>
                    </w:rPr>
                    <w:t>cm。确保不同身高体重的患者快速设置按压。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12.按压通气模式：15:2 按压模式、30:2 按压模式、连续按压通气模式（CCV模式）。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13.具有辅助通气提示功能，提示救护人员通气及通气时间，15:2 按压模式及30:2 按压模式下：按压次数倒数5次开始提示5次；连续按压通气模式（CCV模式）：每按压10次通一次气，通气时间到达前提示3次。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14.单块电池负载为85公斤情况下运行时间≧70分钟，电池负载为60公斤时运行≧115分钟。（提供第三方检验（或检测）机构出具的检验（或检测）报告复印件，报告内容需体现满足上述参数要求。）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15.单块电池充电时间≤90分钟。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16.具有电池电量显示与低电量报警功能，电池低电量报警后，设备至少还能工作35分钟。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17.数据储存：≧16GB,</w:t>
                  </w:r>
                  <w:r>
                    <w:rPr>
                      <w:sz w:val="24"/>
                    </w:rPr>
                    <w:t>可储存至少</w:t>
                  </w:r>
                  <w:r>
                    <w:rPr>
                      <w:sz w:val="24"/>
                    </w:rPr>
                    <w:t>10000个事件</w:t>
                  </w:r>
                  <w:r>
                    <w:rPr>
                      <w:sz w:val="24"/>
                    </w:rPr>
                    <w:t>数</w:t>
                  </w:r>
                  <w:r>
                    <w:rPr>
                      <w:sz w:val="24"/>
                    </w:rPr>
                    <w:t>据，通过</w:t>
                  </w:r>
                  <w:r>
                    <w:rPr>
                      <w:sz w:val="24"/>
                    </w:rPr>
                    <w:t>U盘进行数据加密</w:t>
                  </w:r>
                  <w:r>
                    <w:rPr>
                      <w:sz w:val="24"/>
                    </w:rPr>
                    <w:t>导</w:t>
                  </w:r>
                  <w:r>
                    <w:rPr>
                      <w:sz w:val="24"/>
                    </w:rPr>
                    <w:t>出</w:t>
                  </w:r>
                  <w:r>
                    <w:rPr>
                      <w:sz w:val="24"/>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18.设备支持连接WIFI，实时传输监测数据和报警数据。</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19.能显示胸外按压分数（CCF）实时数据及趋势图。</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w:t>
                  </w:r>
                  <w:r>
                    <w:rPr>
                      <w:sz w:val="24"/>
                    </w:rPr>
                    <w:t>设备能自动生成输出心肺复苏功能及实时效果监测分析报告，抢</w:t>
                  </w:r>
                  <w:r>
                    <w:rPr>
                      <w:sz w:val="24"/>
                    </w:rPr>
                    <w:t>救结束后即可统计</w:t>
                  </w:r>
                  <w:r>
                    <w:rPr>
                      <w:sz w:val="24"/>
                    </w:rPr>
                    <w:t>CCF、按压总时间、心肺复苏总时间、按压总次数、最长按压中断时间、按压中断总时间、中断总次数（&gt;10秒）、按压频率、按压深度等相关抢救数据。</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21.工作温度：-20℃～50℃。</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22.具有单独电池离线查看电量功能，保证设备正常安全有效工作。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23.设备具备查看电池使用寿命功能。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24.具备按压深度极限监测传感器和限位结构设计，实现双重保险，保证患者安全。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25.防电击类型程度：Ⅱ类CF型，应用部分可与患者心脏直接接触的使用；具有双重绝缘或加强绝缘设计，无需专用接地线，满足紧急医疗服务环境中或移动的救护车内无地线环境使用；同时具备内部电源的供电设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26.电气安全要求：</w:t>
                  </w:r>
                  <w:r>
                    <w:rPr>
                      <w:sz w:val="24"/>
                    </w:rPr>
                    <w:t>符合</w:t>
                  </w:r>
                  <w:r>
                    <w:rPr>
                      <w:sz w:val="24"/>
                    </w:rPr>
                    <w:t>GB 9706.1-2020、GB 9706.255-2022、YY 9706.261-2023 标准要求。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27.电磁兼容性：符合 YY9706.102</w:t>
                  </w:r>
                  <w:r>
                    <w:rPr>
                      <w:sz w:val="24"/>
                    </w:rPr>
                    <w:t>-</w:t>
                  </w:r>
                  <w:r>
                    <w:rPr>
                      <w:sz w:val="24"/>
                    </w:rPr>
                    <w:t>2021 标准要求。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▲28.整机重量（含1个动力电池）≦6.5kg。（提供第三方检验（或检测）机构出具的检验（或检测）报告复印件，报告内容需体现满足上述参数要求。）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▲29.主机可快速上下升降，可根据患者体形差异和操作环境的不同，快速将按压头与患者胸部定位，主机重心可调节，按压稳定。</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30.设备折叠体积≦517×202×387 mm（长×宽×高）。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31.配置清单：</w:t>
                  </w:r>
                </w:p>
                <w:p>
                  <w:pPr>
                    <w:pStyle w:val="null3"/>
                    <w:jc w:val="both"/>
                  </w:pPr>
                  <w:r>
                    <w:rPr>
                      <w:sz w:val="24"/>
                    </w:rPr>
                    <w:t>（</w:t>
                  </w:r>
                  <w:r>
                    <w:rPr>
                      <w:sz w:val="24"/>
                    </w:rPr>
                    <w:t>1）胸腔按压机主机，1 套；</w:t>
                  </w:r>
                </w:p>
                <w:p>
                  <w:pPr>
                    <w:pStyle w:val="null3"/>
                    <w:jc w:val="both"/>
                  </w:pPr>
                  <w:r>
                    <w:rPr>
                      <w:sz w:val="24"/>
                    </w:rPr>
                    <w:t>（</w:t>
                  </w:r>
                  <w:r>
                    <w:rPr>
                      <w:sz w:val="24"/>
                    </w:rPr>
                    <w:t>2）按压背板，1 件；</w:t>
                  </w:r>
                </w:p>
                <w:p>
                  <w:pPr>
                    <w:pStyle w:val="null3"/>
                    <w:jc w:val="both"/>
                  </w:pPr>
                  <w:r>
                    <w:rPr>
                      <w:sz w:val="24"/>
                    </w:rPr>
                    <w:t>（</w:t>
                  </w:r>
                  <w:r>
                    <w:rPr>
                      <w:sz w:val="24"/>
                    </w:rPr>
                    <w:t>3）可充电锂电池，1块；</w:t>
                  </w:r>
                </w:p>
                <w:p>
                  <w:pPr>
                    <w:pStyle w:val="null3"/>
                    <w:jc w:val="both"/>
                  </w:pPr>
                  <w:r>
                    <w:rPr>
                      <w:sz w:val="24"/>
                    </w:rPr>
                    <w:t>（</w:t>
                  </w:r>
                  <w:r>
                    <w:rPr>
                      <w:sz w:val="24"/>
                    </w:rPr>
                    <w:t>4）电源适配器，1 套；</w:t>
                  </w:r>
                </w:p>
                <w:p>
                  <w:pPr>
                    <w:pStyle w:val="null3"/>
                    <w:jc w:val="both"/>
                  </w:pPr>
                  <w:r>
                    <w:rPr>
                      <w:sz w:val="24"/>
                    </w:rPr>
                    <w:t>（</w:t>
                  </w:r>
                  <w:r>
                    <w:rPr>
                      <w:sz w:val="24"/>
                    </w:rPr>
                    <w:t>5）负压吸盘，1件；</w:t>
                  </w:r>
                </w:p>
                <w:p>
                  <w:pPr>
                    <w:pStyle w:val="null3"/>
                    <w:jc w:val="both"/>
                  </w:pPr>
                  <w:r>
                    <w:rPr>
                      <w:sz w:val="24"/>
                    </w:rPr>
                    <w:t>（</w:t>
                  </w:r>
                  <w:r>
                    <w:rPr>
                      <w:sz w:val="24"/>
                    </w:rPr>
                    <w:t>6）气道开放垫，1 件；</w:t>
                  </w:r>
                </w:p>
                <w:p>
                  <w:pPr>
                    <w:pStyle w:val="null3"/>
                    <w:jc w:val="both"/>
                  </w:pPr>
                  <w:r>
                    <w:rPr>
                      <w:sz w:val="24"/>
                    </w:rPr>
                    <w:t>（</w:t>
                  </w:r>
                  <w:r>
                    <w:rPr>
                      <w:sz w:val="24"/>
                    </w:rPr>
                    <w:t>7）便携背包，1个；</w:t>
                  </w:r>
                </w:p>
                <w:p>
                  <w:pPr>
                    <w:pStyle w:val="null3"/>
                    <w:jc w:val="both"/>
                  </w:pPr>
                  <w:r>
                    <w:rPr>
                      <w:sz w:val="24"/>
                    </w:rPr>
                    <w:t>（</w:t>
                  </w:r>
                  <w:r>
                    <w:rPr>
                      <w:sz w:val="24"/>
                    </w:rPr>
                    <w:t>8）手腕固定带，1对。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十</w:t>
                  </w:r>
                  <w:r>
                    <w:rPr>
                      <w:sz w:val="24"/>
                      <w:b/>
                    </w:rPr>
                    <w:t>）</w:t>
                  </w:r>
                  <w:r>
                    <w:rPr>
                      <w:sz w:val="24"/>
                      <w:b/>
                    </w:rPr>
                    <w:t>心电图机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1．采集设备为有线及蓝牙二合一式，其中蓝牙功能可自由选配。</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4"/>
                    </w:rPr>
                    <w:t>2．采样率需≧10240Hz。（提供第三方检验（或检测）机构出具的检验（或检测）报告复印件，报告内容需体现满足上述参数要求。）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4"/>
                    </w:rPr>
                    <w:t>3．支持18/15/12导联同步采集，并生成相应心电报告。（提供第三方检验（或检测）机构出具的检验（或检测）报告复印件，报告内容需体现满足上述参数要求。）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4"/>
                    </w:rPr>
                    <w:t>4．具有起搏脉冲显示能力。（提供第三方检验（或检测）机构出具的检验（或检测）报告复印件，报告内容需体现满足上述参数要求。）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5．电源：电脑USB口或充电宝方式直接供电，节约能耗</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6．支持Windows系统、Android系统，且Windows系统及Android系统均支持12导/15导/18导同步采集及显示.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7．系统需包括常规心电图、频谱心电图、高频心电图、QT离散度分析、晚电位、向量心电图、时间向量心电图、多小时心电图、快速心电图等国际流行的分析方法，并可出具对应的独立报告。</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8．采用人工智能心电分析引擎，可以给出相当可靠自动分析结论和心律失常自动识别分类。</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9．采用向导式采样方式。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10．超前预采功能。正式采集时可按事先设定好的超前秒数（0,2,4,6,8,10秒），存储点击采集前的相应心电图。</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11．采用心电采集方式，≧10240Hz的心电信号采样率及高分辨率的心电图打印输出。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12．频谱心电功能，将最新的研究成果——12导联冠心病定位诊断技术首次应用于软件中</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4"/>
                    </w:rPr>
                    <w:t>13．心电向量为标准心电向量采集模式采集的向量图，不接受模拟方式或推导方式采集向量。采用动画的形式来更直观的表现向量心电图，支持时间向量心电图和向量心电图两种向量分析及报告。（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14．内建高效的切屏打印功能，能随时将屏幕上发生的情况记录下来。</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15．系统采集过程中可随时暂停并选择暂停原因，报告时将显示出来；并可续采集、重采集。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16．病例数据库管理系统，可以对病例数据库进行查询、排序、删除、更改等操作，可以输出病例数据库报表。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17．数据符合HL7、XML架构标准。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18．具备手动预约及自动批量预约（无需刷卡及输入ID号）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4"/>
                    </w:rPr>
                    <w:t>19．具备多小时心电采集、显示，编辑及打印功能。（提供第三方检验（或检测）机构出具的检验（或检测）报告复印件，报告内容需体现满足上述参数要求。）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20．不需重新做接口，可与医院现有HIS网络或各种信息平台无缝对接，实现心电图检查从预约登记、电子叫号、记费，到心电图实现检查、报告、有线或无线传输，实现集中存储、集中诊断报告等。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21．医生个性电子签名，可录入实际笔迹。可对用户访问进行控制。对不同操作医生可设置不同操作密码，登录界面可选择不同操作科室，多层安全保护机制。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22．统计分析功能，可统计医生工作量、各功能收费情况、可按任意时间段进行各种指标统计分析，数据表和柱状图多种报告方式。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23．ADS滤波技术，保证基线无漂移及干扰。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24．可对心率、QTC、P波、QRS、电轴等16以上参数进行精准检索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25．能与上下级医院组建成区域心电分析系统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4"/>
                    </w:rPr>
                    <w:t>26．兼容医院现有DMS电生理网络系统（验收时如不满足本参数要求将取消中标资格。投标时提供承诺函）</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中标服务费采用差额定率累进法计算方式，以本项目的中标金额作为收费的计算依据，具体如下：中标金额人民币100万元以下部分的收费费率为1.8%；中标金额人民币100-500万元部分的收费费率为1.3%；中标金额人民币500-1000万元部分的收费费率为0.8%；中标金额人民币1000-5000万元部分的收费费率为0.5%；中标金额人民币5000-10000万元部分的收费费率为0.25%；中标金额人民币10000-100000万元部分的收费费率为0.05%；经计算得出的中标服务费少于 7500 元人民币，则按 7500 元定额收取。 2、采购代理机构收款人、开户行及账号如下： 收款人：广东广招国际招标有限公司 开户行：中国工商银行广州国际金融城支行 账 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陈工，王工</w:t>
      </w:r>
    </w:p>
    <w:p>
      <w:pPr>
        <w:pStyle w:val="null3"/>
        <w:ind w:firstLine="480"/>
      </w:pPr>
      <w:r>
        <w:rPr/>
        <w:t>电话：</w:t>
      </w:r>
      <w:r>
        <w:rPr/>
        <w:t>0662-3305822</w:t>
      </w:r>
    </w:p>
    <w:p>
      <w:pPr>
        <w:pStyle w:val="null3"/>
        <w:ind w:firstLine="480"/>
      </w:pPr>
      <w:r>
        <w:rPr/>
        <w:t>传真：</w:t>
      </w:r>
      <w:r>
        <w:rPr/>
        <w:t>0662-2269882</w:t>
      </w:r>
    </w:p>
    <w:p>
      <w:pPr>
        <w:pStyle w:val="null3"/>
        <w:ind w:firstLine="480"/>
      </w:pPr>
      <w:r>
        <w:rPr/>
        <w:t>邮箱：</w:t>
      </w:r>
      <w:r>
        <w:rPr/>
        <w:t>gz37816279@163.com</w:t>
      </w:r>
    </w:p>
    <w:p>
      <w:pPr>
        <w:pStyle w:val="null3"/>
        <w:ind w:firstLine="480"/>
      </w:pPr>
      <w:r>
        <w:rPr/>
        <w:t>地址：</w:t>
      </w:r>
      <w:r>
        <w:rPr/>
        <w:t>阳江市江城区东风二路东怡花园8幢50号（阳江市行政服务中心西侧仙踪路路口直入约50米）。</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人民医院重症监护型救护车及车载医疗设备采购项目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采购包1（阳江市人民医院重症监护型救护车及车载医疗设备采购项目采购）：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采购包1（阳江市人民医院重症监护型救护车及车载医疗设备采购项目采购）：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依据《阳江市政府采购供应商资格信用承诺函》（格式详见采购公告附件）。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依据《阳江市政府采购供应商资格信用承诺函》（格式详见采购公告附件）。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依据《阳江市政府采购供应商资格信用承诺函》（格式详见采购公告附件）。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①投标人为生产企业：所投车载医疗设备为第一类医疗器械，提供监督管理部门签发的有效的《医疗器械生产备案凭证》复印件；所投车载医疗设备为第二、三类医疗器械，提供监督管理部门签发的有效的《医疗器械生产许可证》复印件（如国家另有规定，则适用其规定）；②投标人为经营企业：所投车载医疗设备为第二类医疗器械，提供监督管理部门签发的有效的《医疗器械经营备案凭证》复印件；所投车载医疗设备为第三类医疗器械，提供监督管理部门签发的有效的《医疗器械经营许可证》复印件（如国家另有规定，则适用其规定）。</w:t>
            </w:r>
          </w:p>
        </w:tc>
        <w:tc>
          <w:tcPr>
            <w:tcW w:type="dxa" w:w="4238"/>
          </w:tcPr>
          <w:p>
            <w:pPr>
              <w:pStyle w:val="null3"/>
            </w:pPr>
            <w:r>
              <w:rPr/>
              <w:t>①投标人为生产企业：所投车载医疗设备为第一类医疗器械，提供监督管理部门签发的有效的《医疗器械生产备案凭证》复印件；所投车载医疗设备为第二、三类医疗器械，提供监督管理部门签发的有效的《医疗器械生产许可证》复印件（如国家另有规定，则适用其规定）；②投标人为经营企业：所投车载医疗设备为第二类医疗器械，提供监督管理部门签发的有效的《医疗器械经营备案凭证》复印件；所投车载医疗设备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所投车载医疗设备属于第二类、第三类医疗器械，则必须提供监督管理部门签发的有效的《医疗器械注册证》复印件（如国家另有规定，则适用其规定）。</w:t>
            </w:r>
          </w:p>
        </w:tc>
        <w:tc>
          <w:tcPr>
            <w:tcW w:type="dxa" w:w="4238"/>
          </w:tcPr>
          <w:p>
            <w:pPr>
              <w:pStyle w:val="null3"/>
            </w:pPr>
            <w:r>
              <w:rPr/>
              <w:t>所投车载医疗设备属于第二类、第三类医疗器械，则必须提供监督管理部门签发的有效的《医疗器械注册证》复印件（如国家另有规定，则适用其规定）。</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采购包1（阳江市人民医院重症监护型救护车及车载医疗设备采购项目采购）：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法定代表人证明书及法定代表人授权书的有效性；</w:t>
            </w:r>
          </w:p>
        </w:tc>
        <w:tc>
          <w:tcPr>
            <w:tcW w:type="dxa" w:w="4238"/>
          </w:tcPr>
          <w:p>
            <w:pPr>
              <w:pStyle w:val="null3"/>
            </w:pPr>
            <w:r>
              <w:rPr/>
              <w:t>法定代表人证明书及法定代表人授权书的有效性；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投标总报价没有超过本项目最高限价（或采购预算）；</w:t>
            </w:r>
          </w:p>
        </w:tc>
        <w:tc>
          <w:tcPr>
            <w:tcW w:type="dxa" w:w="4238"/>
          </w:tcPr>
          <w:p>
            <w:pPr>
              <w:pStyle w:val="null3"/>
            </w:pPr>
            <w:r>
              <w:rPr/>
              <w:t>投标总报价没有超过本项目最高限价（或采购预算）；</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采购包1(阳江市人民医院重症监护型救护车及车载医疗设备采购项目采购):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技术部分54.0分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带“▲”号重要技术参数响应情况 (31.0分)</w:t>
            </w:r>
          </w:p>
        </w:tc>
        <w:tc>
          <w:tcPr>
            <w:tcW w:type="dxa" w:w="5076"/>
          </w:tcPr>
          <w:p>
            <w:pPr>
              <w:pStyle w:val="null3"/>
              <w:jc w:val="left"/>
            </w:pPr>
            <w:r>
              <w:rPr/>
              <w:t>重要技术条款的响应情况：根据各投标人所投产品对《第二章采购需求》“具体技术（参数）要求”中标注“▲”的重要技术参数的响应情况进行评审（共28项，最高得31分，以每个序号分别作为一项）：标注“▲”的重要技术参数完全满足或优于的，得31分，每有1项负偏离或不完全满足的扣1.11分。 【1、对采购需求“具体技术（参数）要求”中带“▲”号的条款，采购需求要求提供相关证明资料的，则投标文件须提供对应产品技术参数的证明资料以佐证符合参数要求，否则不得分。2、对采购需求“具体技术（参数）要求”中带“▲”号的条款，采购需求未要求提供相关证明资料的，则投标文件中须提供以下任一种证明材料：（1）所投设备的彩页；（2）所投设备获得监督管理部门签发的有效的《医疗器械注册证》复印件（如有）；（3）原厂商的技术白皮书或使用说明书（如原厂商的技术白皮书或使用说明书为英文版，请同时提供中文版翻译件）；（4）盖有原厂商公章（如所投设备为进口产品，可盖原厂商在中国境内的授权机构公章，同时还需提供原厂商对授权机构的授权书）的技术参数说明；（5）有检验（或检测）资质的第三方机构出具的检验（或检测）报告复印件。未按上述要求提供证明材料佐证符合参数要求，不得分。】</w:t>
            </w:r>
          </w:p>
        </w:tc>
      </w:tr>
      <w:tr>
        <w:tc>
          <w:tcPr>
            <w:tcW w:type="dxa" w:w="922"/>
            <w:gridSpan w:val="2"/>
            <w:vMerge/>
          </w:tcPr>
          <w:p/>
        </w:tc>
        <w:tc>
          <w:tcPr>
            <w:tcW w:type="dxa" w:w="2307"/>
          </w:tcPr>
          <w:p>
            <w:pPr>
              <w:pStyle w:val="null3"/>
              <w:jc w:val="left"/>
            </w:pPr>
            <w:r>
              <w:rPr/>
              <w:t>所投产品对采购需求中一般技术参数的响应情况 (5.0分)</w:t>
            </w:r>
          </w:p>
        </w:tc>
        <w:tc>
          <w:tcPr>
            <w:tcW w:type="dxa" w:w="5076"/>
          </w:tcPr>
          <w:p>
            <w:pPr>
              <w:pStyle w:val="null3"/>
              <w:jc w:val="left"/>
            </w:pPr>
            <w:r>
              <w:rPr/>
              <w:t>一般技术条款的响应情况：根据各投标人所投产品对《第二章采购需求》“具体技术（参数）要求”中未标注“★”或“▲”的一般技术参数的响应情况进行评审（以每个序号分别作为一项）：一般技术参数条款完全满足或优于的，得5分；每有1项负偏离或不完全满足的扣0.03分，扣完为止。 【1、对采购需求“具体技术（参数）要求”中未标注“★”或“▲”的一般技术参数，采购需求要求提供相关证明资料的，则投标文件须提供对应产品技术参数的证明资料，否则不得分；2、对采购需求“具体技术（参数）要求”中未标注“★”或“▲”的一般技术参数，采购需求未明确要求证明材料的，提供《技术和服务要求响应表》响应，不提供视为未响应或不满足。】</w:t>
            </w:r>
          </w:p>
        </w:tc>
      </w:tr>
      <w:tr>
        <w:tc>
          <w:tcPr>
            <w:tcW w:type="dxa" w:w="922"/>
            <w:gridSpan w:val="2"/>
            <w:vMerge/>
          </w:tcPr>
          <w:p/>
        </w:tc>
        <w:tc>
          <w:tcPr>
            <w:tcW w:type="dxa" w:w="2307"/>
          </w:tcPr>
          <w:p>
            <w:pPr>
              <w:pStyle w:val="null3"/>
              <w:jc w:val="left"/>
            </w:pPr>
            <w:r>
              <w:rPr/>
              <w:t>车辆改装技术方案 (10.0分)</w:t>
            </w:r>
          </w:p>
        </w:tc>
        <w:tc>
          <w:tcPr>
            <w:tcW w:type="dxa" w:w="5076"/>
          </w:tcPr>
          <w:p>
            <w:pPr>
              <w:pStyle w:val="null3"/>
              <w:jc w:val="left"/>
            </w:pPr>
            <w:r>
              <w:rPr/>
              <w:t>根据车辆改装技术方案（包括但不限于警灯警报系统技术方案（说明警报及汽车喇叭互联互通系统基本原理、施工方式及具体功能）、双路逆变器设计的技术方案、医疗方舱改装材料、医疗方舱改装技术工艺、医疗方舱设计布局等）进行评审： 1、车辆改装技术方案成熟、科学合理、思路清晰、目标明确、针对性强；生产原料采购有保障性、生产流程化；分体部件操作便捷、贴近用户需求，能够提供详细的流程化车辆改装方案，车辆改装技术方案完全满足采购需求的，得10分； 2、车辆改装技术方案较合理、思路较清晰、目标较明确、针对性较强；生产原料采购较有保障性、生产流程化；分体部件操作较便捷、较贴近用户需求，能够提供较详细的流程化车辆改装方案，车辆改装技术方案基本满足采购需求的，得5分； 3、车辆改装技术方案一般，思路不清晰、目标不明确，能够提供车辆改装方案，部分满足采购需求的，得2分； 4、不提供车辆改装技术方案不得分。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根据项目实施方案（包括但不限于安装调试方案、培训计划、供货时间承诺等）进行评审： 1、安装调试方案具体合理、培训计划全面、供货时间安排合理，完全满足采购需求的得8分； 2、安装调试方案较具体合理、培训计划较全面、供货时间安排较合理，基本能满足项目采购需求的得4分； 3、安装调试方案一般、培训计划简单、供货时间安排欠合理，部分满足采购需求的得2分。 不提供项目实施方案不得分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提供2024年至今，所投救护车产品具有的同类项目业绩(与投标人所投救护车同品牌同型号的业绩，供货方不限于投标人本身)，每提供一个得1分，最高得2分； 注：提供合同关键页（含签订合同双方的单位名称、合同项目名称、合同清单、产品品牌及型号、签订合同双方的落款盖章、签订日期的关键页）复印件作为业绩评价证明资料。未提供或专家无法认定的不得分。</w:t>
            </w:r>
          </w:p>
        </w:tc>
      </w:tr>
      <w:tr>
        <w:tc>
          <w:tcPr>
            <w:tcW w:type="dxa" w:w="922"/>
            <w:gridSpan w:val="2"/>
            <w:vMerge/>
          </w:tcPr>
          <w:p/>
        </w:tc>
        <w:tc>
          <w:tcPr>
            <w:tcW w:type="dxa" w:w="2307"/>
          </w:tcPr>
          <w:p>
            <w:pPr>
              <w:pStyle w:val="null3"/>
              <w:jc w:val="left"/>
            </w:pPr>
            <w:r>
              <w:rPr/>
              <w:t>原厂技术支持 (6.0分)</w:t>
            </w:r>
          </w:p>
        </w:tc>
        <w:tc>
          <w:tcPr>
            <w:tcW w:type="dxa" w:w="5076"/>
          </w:tcPr>
          <w:p>
            <w:pPr>
              <w:pStyle w:val="null3"/>
              <w:jc w:val="left"/>
            </w:pPr>
            <w:r>
              <w:rPr/>
              <w:t>投标人需提供所投ECOM转运电动上车担架、心肺复苏机、转运呼吸机、心电图机的生产厂商或总代理商为本项目出具的售后服务承诺函（如果是总代理商为本项目出具的售后服务承诺函，还需提供生产厂商对总代理的授权证明），每提供一个产品的售后服务承诺函得1.5分，最高可得6分，不提供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根据投标人提供本项目的售后服务方案（包括但不限于原厂售后保障情况、保修服务方式、质保期满后维修方案等）进行评审： 1、售后服务方案详细具体，可行性、可操作性强，完全满足采购需求的得8分； 2、方案较为详细，具有可行性、可操作性较强，基本能满足项目采购需求的得4分； 3、方案简单，可行性、可操作性一般，部分满足采购需求的得2分； 4、不提供售后服务方案不得分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u w:val="single"/>
        </w:rPr>
        <w:t>阳江市人民医院重症监护型救护车及车载医疗设备采购项目</w:t>
      </w:r>
      <w:r>
        <w:rPr>
          <w:sz w:val="52"/>
          <w:b/>
        </w:rPr>
        <w:t>政府采购</w:t>
      </w:r>
    </w:p>
    <w:p>
      <w:pPr>
        <w:pStyle w:val="null3"/>
        <w:jc w:val="both"/>
      </w:pPr>
      <w:r>
        <w:rPr>
          <w:sz w:val="52"/>
          <w:b/>
        </w:rPr>
        <w:t>合</w:t>
      </w:r>
      <w:r>
        <w:rPr>
          <w:sz w:val="52"/>
          <w:b/>
        </w:rPr>
        <w:t>同</w:t>
      </w:r>
      <w:r>
        <w:rPr>
          <w:sz w:val="52"/>
          <w:b/>
        </w:rPr>
        <w:t>书</w:t>
      </w:r>
    </w:p>
    <w:p>
      <w:pPr>
        <w:pStyle w:val="null3"/>
        <w:jc w:val="center"/>
      </w:pPr>
      <w:r>
        <w:rPr>
          <w:sz w:val="44"/>
          <w:b/>
        </w:rPr>
        <w:t>（</w:t>
      </w:r>
      <w:r>
        <w:rPr>
          <w:sz w:val="44"/>
          <w:b/>
        </w:rPr>
        <w:t>货物类</w:t>
      </w:r>
      <w:r>
        <w:rPr>
          <w:sz w:val="44"/>
          <w:b/>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w:t>
            </w:r>
            <w:r>
              <w:rPr>
                <w:sz w:val="24"/>
                <w:b/>
              </w:rPr>
              <w:t>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jc w:val="both"/>
      </w:pPr>
      <w:r>
        <w:rPr>
          <w:sz w:val="21"/>
          <w:b/>
        </w:rPr>
        <w:t>甲</w:t>
      </w:r>
      <w:r>
        <w:rPr>
          <w:sz w:val="21"/>
          <w:b/>
        </w:rPr>
        <w:t xml:space="preserve">    </w:t>
      </w:r>
      <w:r>
        <w:rPr>
          <w:sz w:val="21"/>
          <w:b/>
        </w:rPr>
        <w:t>方：</w:t>
      </w:r>
      <w:r>
        <w:rPr>
          <w:sz w:val="21"/>
          <w:b/>
        </w:rPr>
        <w:t>阳江市人民医院</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阳江市人民医院重症监护型救护车及车载医疗设备采购项目</w:t>
      </w:r>
      <w:r>
        <w:rPr>
          <w:sz w:val="21"/>
        </w:rPr>
        <w:t xml:space="preserve">                                   </w:t>
      </w:r>
    </w:p>
    <w:p>
      <w:pPr>
        <w:pStyle w:val="null3"/>
        <w:jc w:val="both"/>
      </w:pPr>
      <w:r>
        <w:rPr>
          <w:sz w:val="21"/>
        </w:rPr>
        <w:t>采购编号：</w:t>
      </w:r>
      <w:r>
        <w:rPr>
          <w:sz w:val="21"/>
        </w:rPr>
        <w:t>0877-26GZTP6ZC0359</w:t>
      </w:r>
    </w:p>
    <w:p>
      <w:pPr>
        <w:pStyle w:val="null3"/>
        <w:jc w:val="both"/>
      </w:pPr>
      <w:r>
        <w:rPr>
          <w:sz w:val="21"/>
        </w:rPr>
        <w:t xml:space="preserve">    </w:t>
      </w:r>
      <w:r>
        <w:rPr>
          <w:sz w:val="21"/>
        </w:rPr>
        <w:t>根据</w:t>
      </w:r>
      <w:r>
        <w:rPr>
          <w:sz w:val="21"/>
          <w:u w:val="single"/>
        </w:rPr>
        <w:t xml:space="preserve"> </w:t>
      </w:r>
      <w:r>
        <w:rPr>
          <w:sz w:val="21"/>
          <w:u w:val="single"/>
        </w:rPr>
        <w:t xml:space="preserve">  </w:t>
      </w:r>
      <w:r>
        <w:rPr>
          <w:sz w:val="21"/>
          <w:u w:val="single"/>
        </w:rPr>
        <w:t>阳江市人民医院重症监护型救护车及车载医疗设备采购项目</w:t>
      </w:r>
      <w:r>
        <w:rPr>
          <w:sz w:val="21"/>
          <w:u w:val="single"/>
        </w:rPr>
        <w:t xml:space="preserve">    </w:t>
      </w:r>
      <w:r>
        <w:rPr>
          <w:sz w:val="21"/>
        </w:rPr>
        <w:t>的采购结果，按照《中华人民共和国政府采购法》、《</w:t>
      </w:r>
      <w:r>
        <w:rPr>
          <w:sz w:val="21"/>
        </w:rPr>
        <w:t>中华人民共和国民法典</w:t>
      </w:r>
      <w:r>
        <w:rPr>
          <w:sz w:val="21"/>
        </w:rPr>
        <w:t>》的规定，经双方协商，本着平等互利和诚实信用的原则，一致同意签订本合同如下。</w:t>
      </w:r>
    </w:p>
    <w:p>
      <w:pPr>
        <w:pStyle w:val="null3"/>
        <w:ind w:left="480"/>
        <w:jc w:val="both"/>
      </w:pPr>
      <w:r>
        <w:rPr>
          <w:sz w:val="21"/>
          <w:b/>
        </w:rPr>
        <w:t>一、</w:t>
      </w:r>
      <w:r>
        <w:rPr>
          <w:sz w:val="21"/>
          <w:b/>
        </w:rPr>
        <w:t>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52"/>
        <w:gridCol w:w="1025"/>
        <w:gridCol w:w="3115"/>
        <w:gridCol w:w="799"/>
        <w:gridCol w:w="799"/>
        <w:gridCol w:w="958"/>
        <w:gridCol w:w="958"/>
      </w:tblGrid>
      <w:tr>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1"/>
        </w:rPr>
        <w:t>注：货物名称内容必须与投标文件中货物名称内容一致。</w:t>
      </w:r>
    </w:p>
    <w:p>
      <w:pPr>
        <w:pStyle w:val="null3"/>
        <w:ind w:left="480"/>
        <w:jc w:val="both"/>
      </w:pPr>
      <w:r>
        <w:rPr>
          <w:sz w:val="21"/>
          <w:b/>
        </w:rPr>
        <w:t>二、</w:t>
      </w:r>
      <w:r>
        <w:rPr>
          <w:sz w:val="21"/>
          <w:b/>
        </w:rPr>
        <w:t>合同金额：</w:t>
      </w:r>
    </w:p>
    <w:p>
      <w:pPr>
        <w:pStyle w:val="null3"/>
        <w:ind w:firstLine="420"/>
        <w:jc w:val="both"/>
      </w:pPr>
      <w:r>
        <w:rPr>
          <w:sz w:val="21"/>
        </w:rPr>
        <w:t>合同金额为（大写）：</w:t>
      </w:r>
      <w:r>
        <w:rPr>
          <w:sz w:val="21"/>
          <w:u w:val="single"/>
        </w:rPr>
        <w:t xml:space="preserve">             </w:t>
      </w:r>
      <w:r>
        <w:rPr>
          <w:sz w:val="21"/>
        </w:rPr>
        <w:t>_____元（￥</w:t>
      </w:r>
      <w:r>
        <w:rPr>
          <w:sz w:val="21"/>
          <w:u w:val="single"/>
        </w:rPr>
        <w:t xml:space="preserve">             </w:t>
      </w:r>
      <w:r>
        <w:rPr>
          <w:sz w:val="21"/>
        </w:rPr>
        <w:t>___元）人民币。</w:t>
      </w:r>
    </w:p>
    <w:p>
      <w:pPr>
        <w:pStyle w:val="null3"/>
        <w:ind w:left="480"/>
        <w:jc w:val="both"/>
      </w:pPr>
      <w:r>
        <w:rPr>
          <w:sz w:val="21"/>
          <w:b/>
        </w:rPr>
        <w:t>三、</w:t>
      </w:r>
      <w:r>
        <w:rPr>
          <w:sz w:val="21"/>
          <w:b/>
        </w:rPr>
        <w:t>设备要求：</w:t>
      </w:r>
    </w:p>
    <w:p>
      <w:pPr>
        <w:pStyle w:val="null3"/>
        <w:ind w:firstLine="420"/>
        <w:jc w:val="both"/>
      </w:pPr>
      <w:r>
        <w:rPr>
          <w:sz w:val="21"/>
        </w:rPr>
        <w:t>1</w:t>
      </w:r>
      <w:r>
        <w:rPr>
          <w:sz w:val="21"/>
        </w:rPr>
        <w:t>.</w:t>
      </w:r>
      <w:r>
        <w:rPr>
          <w:sz w:val="21"/>
        </w:rPr>
        <w:t>货物为原制造商制造的全新产品，整机无污染，无侵权行为、表面无划损、无任何缺陷隐患，在中国境内可依常规安全合法使用。</w:t>
      </w:r>
    </w:p>
    <w:p>
      <w:pPr>
        <w:pStyle w:val="null3"/>
        <w:ind w:firstLine="420"/>
        <w:jc w:val="both"/>
      </w:pPr>
      <w:r>
        <w:rPr>
          <w:sz w:val="21"/>
        </w:rPr>
        <w:t>2</w:t>
      </w:r>
      <w:r>
        <w:rPr>
          <w:sz w:val="21"/>
        </w:rPr>
        <w:t>.</w:t>
      </w:r>
      <w:r>
        <w:rPr>
          <w:sz w:val="21"/>
        </w:rPr>
        <w:t>交付验收标准依次序对照适用标准为：</w:t>
      </w:r>
      <w:r>
        <w:rPr>
          <w:sz w:val="21"/>
        </w:rPr>
        <w:t xml:space="preserve">①符合中华人民共和国国家安全质量标准、环保标准或行业标准；②符合采购文件和响应承诺中甲方认可的合理最佳配置、参数及各项要求；③货物来源国官方标准。    </w:t>
      </w:r>
    </w:p>
    <w:p>
      <w:pPr>
        <w:pStyle w:val="null3"/>
        <w:ind w:firstLine="420"/>
        <w:jc w:val="both"/>
      </w:pPr>
      <w:r>
        <w:rPr>
          <w:sz w:val="21"/>
        </w:rPr>
        <w:t>3</w:t>
      </w:r>
      <w:r>
        <w:rPr>
          <w:sz w:val="21"/>
        </w:rPr>
        <w:t>.</w:t>
      </w:r>
      <w:r>
        <w:rPr>
          <w:sz w:val="21"/>
        </w:rPr>
        <w:t>进口产品必须具备原产地证明和商检局的检验证明及合法进货渠道证明。</w:t>
      </w:r>
    </w:p>
    <w:p>
      <w:pPr>
        <w:pStyle w:val="null3"/>
        <w:ind w:firstLine="420"/>
        <w:jc w:val="both"/>
      </w:pPr>
      <w:r>
        <w:rPr>
          <w:sz w:val="21"/>
        </w:rPr>
        <w:t>4</w:t>
      </w:r>
      <w:r>
        <w:rPr>
          <w:sz w:val="21"/>
        </w:rPr>
        <w:t>.</w:t>
      </w:r>
      <w:r>
        <w:rPr>
          <w:sz w:val="21"/>
        </w:rPr>
        <w:t>货物为原厂商未启封全新包装，具出厂合格证，序列号、包装箱号与出厂批号一致，并可追索查阅。</w:t>
      </w:r>
    </w:p>
    <w:p>
      <w:pPr>
        <w:pStyle w:val="null3"/>
        <w:ind w:firstLine="420"/>
        <w:jc w:val="both"/>
      </w:pPr>
      <w:r>
        <w:rPr>
          <w:sz w:val="21"/>
        </w:rPr>
        <w:t>5</w:t>
      </w:r>
      <w:r>
        <w:rPr>
          <w:sz w:val="21"/>
        </w:rPr>
        <w:t>.</w:t>
      </w:r>
      <w:r>
        <w:rPr>
          <w:sz w:val="21"/>
        </w:rPr>
        <w:t>乙方应将关键主机设备的用户手册、保修手册、有关单证资料及配备件、随机工具等交付给甲方，使用操作及安全须知等重要资料应附有中文说明。</w:t>
      </w:r>
    </w:p>
    <w:p>
      <w:pPr>
        <w:pStyle w:val="null3"/>
        <w:ind w:left="480"/>
        <w:jc w:val="both"/>
      </w:pPr>
      <w:r>
        <w:rPr>
          <w:sz w:val="21"/>
          <w:b/>
        </w:rPr>
        <w:t>四、</w:t>
      </w:r>
      <w:r>
        <w:rPr>
          <w:sz w:val="21"/>
          <w:b/>
        </w:rPr>
        <w:t>交货期、交货方式及交货地点：</w:t>
      </w:r>
    </w:p>
    <w:p>
      <w:pPr>
        <w:pStyle w:val="null3"/>
        <w:ind w:firstLine="420"/>
        <w:jc w:val="both"/>
      </w:pPr>
      <w:r>
        <w:rPr>
          <w:sz w:val="21"/>
        </w:rPr>
        <w:t>1</w:t>
      </w:r>
      <w:r>
        <w:rPr>
          <w:sz w:val="21"/>
        </w:rPr>
        <w:t>.</w:t>
      </w:r>
      <w:r>
        <w:rPr>
          <w:sz w:val="21"/>
        </w:rPr>
        <w:t>交货期：</w:t>
      </w:r>
      <w:r>
        <w:rPr>
          <w:sz w:val="21"/>
        </w:rPr>
        <w:t>合同签订生效之日起</w:t>
      </w:r>
      <w:r>
        <w:rPr>
          <w:sz w:val="21"/>
        </w:rPr>
        <w:t>45个工作日内完成交货、安装和调试，并经验收合格后交付采购人使用。</w:t>
      </w:r>
    </w:p>
    <w:p>
      <w:pPr>
        <w:pStyle w:val="null3"/>
        <w:ind w:firstLine="420"/>
        <w:jc w:val="both"/>
      </w:pPr>
      <w:r>
        <w:rPr>
          <w:sz w:val="21"/>
        </w:rPr>
        <w:t>2.</w:t>
      </w:r>
      <w:r>
        <w:rPr>
          <w:sz w:val="21"/>
        </w:rPr>
        <w:t>交货地点：甲方指定地点。</w:t>
      </w:r>
    </w:p>
    <w:p>
      <w:pPr>
        <w:pStyle w:val="null3"/>
        <w:ind w:left="480"/>
        <w:jc w:val="both"/>
      </w:pPr>
      <w:r>
        <w:rPr>
          <w:sz w:val="21"/>
          <w:b/>
        </w:rPr>
        <w:t>五、</w:t>
      </w:r>
      <w:r>
        <w:rPr>
          <w:sz w:val="21"/>
          <w:b/>
        </w:rPr>
        <w:t>合同签订及</w:t>
      </w:r>
      <w:r>
        <w:rPr>
          <w:sz w:val="21"/>
          <w:b/>
        </w:rPr>
        <w:t>付款方式：</w:t>
      </w:r>
    </w:p>
    <w:p>
      <w:pPr>
        <w:pStyle w:val="null3"/>
        <w:ind w:left="30" w:firstLine="420"/>
        <w:jc w:val="both"/>
      </w:pPr>
      <w:r>
        <w:rPr>
          <w:sz w:val="21"/>
        </w:rPr>
        <w:t>1.合同签订时间：从中标通知书发出之日起30日内签订合同。</w:t>
      </w:r>
    </w:p>
    <w:p>
      <w:pPr>
        <w:pStyle w:val="null3"/>
        <w:ind w:left="30" w:firstLine="420"/>
        <w:jc w:val="both"/>
      </w:pPr>
      <w:r>
        <w:rPr>
          <w:sz w:val="21"/>
        </w:rPr>
        <w:t>2.付款方式：</w:t>
      </w:r>
    </w:p>
    <w:p>
      <w:pPr>
        <w:pStyle w:val="null3"/>
        <w:ind w:left="30" w:firstLine="420"/>
        <w:jc w:val="both"/>
      </w:pPr>
      <w:r>
        <w:rPr>
          <w:sz w:val="21"/>
        </w:rPr>
        <w:t>（</w:t>
      </w:r>
      <w:r>
        <w:rPr>
          <w:sz w:val="21"/>
        </w:rPr>
        <w:t>1）在合同签订后，采购人收到供应商发票后15日内向中标供应商支付合同总额的60%。（如果与中小企业签订合同，采购人在合同签订后5个工作日内支付合同总额的60%。）</w:t>
      </w:r>
    </w:p>
    <w:p>
      <w:pPr>
        <w:pStyle w:val="null3"/>
        <w:ind w:left="30" w:firstLine="420"/>
        <w:jc w:val="both"/>
      </w:pPr>
      <w:r>
        <w:rPr>
          <w:sz w:val="21"/>
        </w:rPr>
        <w:t>（</w:t>
      </w:r>
      <w:r>
        <w:rPr>
          <w:sz w:val="21"/>
        </w:rPr>
        <w:t>2）在全部货物到达交货地点，安装、调试并验收合格后，采购人收到发票后15日内支付合同总额的40%。（如果与中小企业签订合同，采购人在全部货物到达交货地点，安装、调试并验收合格之日起60日内支付合同总额的40%。）</w:t>
      </w:r>
    </w:p>
    <w:p>
      <w:pPr>
        <w:pStyle w:val="null3"/>
        <w:ind w:left="480"/>
        <w:jc w:val="both"/>
      </w:pPr>
      <w:r>
        <w:rPr>
          <w:sz w:val="21"/>
          <w:b/>
        </w:rPr>
        <w:t>六、质保期和售后服务</w:t>
      </w:r>
      <w:r>
        <w:rPr>
          <w:sz w:val="21"/>
          <w:b/>
        </w:rPr>
        <w:t>：</w:t>
      </w:r>
    </w:p>
    <w:p>
      <w:pPr>
        <w:pStyle w:val="null3"/>
        <w:ind w:firstLine="420"/>
        <w:jc w:val="both"/>
      </w:pPr>
      <w:r>
        <w:rPr>
          <w:sz w:val="21"/>
        </w:rPr>
        <w:t>1.底盘车辆提供不低于3年或6万公里（先到为准）保修服务，车辆改装部</w:t>
      </w:r>
    </w:p>
    <w:p>
      <w:pPr>
        <w:pStyle w:val="null3"/>
        <w:ind w:firstLine="420"/>
        <w:jc w:val="both"/>
      </w:pPr>
      <w:r>
        <w:rPr>
          <w:sz w:val="21"/>
        </w:rPr>
        <w:t>分提供不低于</w:t>
      </w:r>
      <w:r>
        <w:rPr>
          <w:sz w:val="21"/>
        </w:rPr>
        <w:t>3年的保修服务，车载医疗设备提供不低于1年的保修服务。保修期内，由非人为因素引起的故障均在保修范围内，中标人完全免费提供保修服务。保修期外，中标人提供终身的维修服务，且要求相关配件及人工费用低于平均市场价格。</w:t>
      </w:r>
    </w:p>
    <w:p>
      <w:pPr>
        <w:pStyle w:val="null3"/>
        <w:ind w:firstLine="420"/>
        <w:jc w:val="both"/>
      </w:pPr>
      <w:r>
        <w:rPr>
          <w:sz w:val="21"/>
        </w:rPr>
        <w:t>2.中标人需提供至少3人/次的培训服务，确保采购人至少有2名操作</w:t>
      </w:r>
    </w:p>
    <w:p>
      <w:pPr>
        <w:pStyle w:val="null3"/>
        <w:ind w:firstLine="420"/>
        <w:jc w:val="both"/>
      </w:pPr>
      <w:r>
        <w:rPr>
          <w:sz w:val="21"/>
        </w:rPr>
        <w:t>人员可熟练使用。</w:t>
      </w:r>
    </w:p>
    <w:p>
      <w:pPr>
        <w:pStyle w:val="null3"/>
        <w:ind w:firstLine="420"/>
        <w:jc w:val="both"/>
      </w:pPr>
      <w:r>
        <w:rPr>
          <w:sz w:val="21"/>
        </w:rPr>
        <w:t>3.中标人须提供24小时电话应急服务，接到采购人维修通知（含电话）</w:t>
      </w:r>
    </w:p>
    <w:p>
      <w:pPr>
        <w:pStyle w:val="null3"/>
        <w:ind w:firstLine="420"/>
        <w:jc w:val="both"/>
      </w:pPr>
      <w:r>
        <w:rPr>
          <w:sz w:val="21"/>
        </w:rPr>
        <w:t>后</w:t>
      </w:r>
      <w:r>
        <w:rPr>
          <w:sz w:val="21"/>
        </w:rPr>
        <w:t>24小时内解决故障。</w:t>
      </w:r>
    </w:p>
    <w:p>
      <w:pPr>
        <w:pStyle w:val="null3"/>
        <w:ind w:firstLine="422"/>
        <w:jc w:val="both"/>
      </w:pPr>
      <w:r>
        <w:rPr>
          <w:sz w:val="21"/>
          <w:b/>
        </w:rPr>
        <w:t>七</w:t>
      </w:r>
      <w:r>
        <w:rPr>
          <w:sz w:val="21"/>
          <w:b/>
        </w:rPr>
        <w:t>、培训要求</w:t>
      </w:r>
    </w:p>
    <w:p>
      <w:pPr>
        <w:pStyle w:val="null3"/>
        <w:ind w:firstLine="420"/>
        <w:jc w:val="both"/>
      </w:pPr>
      <w:r>
        <w:rPr>
          <w:sz w:val="21"/>
        </w:rPr>
        <w:t>1.为保证项目的正常实施和日常维护，中标人需在现场对车辆使用人员和设备操作人员进行产品特性、构造、工作原理、相关功能的运用操作、日常保养及维护等进行全程示范、操作性专职培训，保证采购人使用人员能够熟练掌握各种设备和软件等常规使用方法。</w:t>
      </w:r>
    </w:p>
    <w:p>
      <w:pPr>
        <w:pStyle w:val="null3"/>
        <w:ind w:firstLine="420"/>
        <w:jc w:val="both"/>
      </w:pPr>
      <w:r>
        <w:rPr>
          <w:sz w:val="21"/>
        </w:rPr>
        <w:t xml:space="preserve"> </w:t>
      </w:r>
      <w:r>
        <w:rPr>
          <w:sz w:val="21"/>
        </w:rPr>
        <w:t>2.在现场安装及日常维护时负责对设备维修保养人员进行免费培训，负责设备的一般维修保养。</w:t>
      </w:r>
    </w:p>
    <w:p>
      <w:pPr>
        <w:pStyle w:val="null3"/>
        <w:ind w:firstLine="420"/>
        <w:jc w:val="both"/>
      </w:pPr>
      <w:r>
        <w:rPr>
          <w:sz w:val="21"/>
        </w:rPr>
        <w:t xml:space="preserve"> </w:t>
      </w:r>
      <w:r>
        <w:rPr>
          <w:sz w:val="21"/>
        </w:rPr>
        <w:t>3.及时对用户产品进行技术升级，确保用户享受厂家所提供的新科技成果，并负责免费技术指导、培训。</w:t>
      </w:r>
    </w:p>
    <w:p>
      <w:pPr>
        <w:pStyle w:val="null3"/>
        <w:ind w:left="480"/>
        <w:jc w:val="both"/>
      </w:pPr>
      <w:r>
        <w:rPr>
          <w:sz w:val="21"/>
          <w:b/>
        </w:rPr>
        <w:t>八</w:t>
      </w:r>
      <w:r>
        <w:rPr>
          <w:sz w:val="21"/>
          <w:b/>
        </w:rPr>
        <w:t>、</w:t>
      </w:r>
      <w:r>
        <w:rPr>
          <w:sz w:val="21"/>
          <w:b/>
        </w:rPr>
        <w:t>安装、调试要求</w:t>
      </w:r>
      <w:r>
        <w:rPr>
          <w:sz w:val="21"/>
          <w:b/>
        </w:rPr>
        <w:t>：</w:t>
      </w:r>
    </w:p>
    <w:p>
      <w:pPr>
        <w:pStyle w:val="null3"/>
        <w:ind w:firstLine="420"/>
        <w:jc w:val="both"/>
      </w:pPr>
      <w:r>
        <w:rPr>
          <w:sz w:val="21"/>
        </w:rPr>
        <w:t>11.中标供应商将货物运送至采购人指定地点时，采购人先对货物外观、状态、数量进行检视，发现货物有明显损毁、数量不符等情况的，采购人有权当场拒收并要求中标供应商退换货。</w:t>
      </w:r>
    </w:p>
    <w:p>
      <w:pPr>
        <w:pStyle w:val="null3"/>
        <w:ind w:firstLine="420"/>
        <w:jc w:val="both"/>
      </w:pPr>
      <w:r>
        <w:rPr>
          <w:sz w:val="21"/>
        </w:rPr>
        <w:t>2.当所有的货物都通过采购人的验收后，双方签字认可，货物正式交付给采购人。货物正式交付采购人前，货物的损毁、灭失风险由中标供应商承担。</w:t>
      </w:r>
    </w:p>
    <w:p>
      <w:pPr>
        <w:pStyle w:val="null3"/>
        <w:ind w:firstLine="420"/>
        <w:jc w:val="both"/>
      </w:pPr>
      <w:r>
        <w:rPr>
          <w:sz w:val="21"/>
        </w:rPr>
        <w:t>3.中标供应商需依照招标文件的要求和投标文件的承诺，将设备安装并调试至正常使用的最佳状态。</w:t>
      </w:r>
    </w:p>
    <w:p>
      <w:pPr>
        <w:pStyle w:val="null3"/>
        <w:ind w:firstLine="420"/>
        <w:jc w:val="both"/>
      </w:pPr>
      <w:r>
        <w:rPr>
          <w:sz w:val="21"/>
        </w:rPr>
        <w:t>4.货物为原厂商未启封全新包装，具出厂合格证，序列号、包装箱号与出厂批号一致，并可追索查阅。所有随设备的附件齐全且应在交货时一并交付。</w:t>
      </w:r>
    </w:p>
    <w:p>
      <w:pPr>
        <w:pStyle w:val="null3"/>
        <w:ind w:left="480"/>
        <w:jc w:val="both"/>
      </w:pPr>
      <w:r>
        <w:rPr>
          <w:sz w:val="21"/>
          <w:b/>
        </w:rPr>
        <w:t>九</w:t>
      </w:r>
      <w:r>
        <w:rPr>
          <w:sz w:val="21"/>
          <w:b/>
        </w:rPr>
        <w:t>、验收要求</w:t>
      </w:r>
      <w:r>
        <w:rPr>
          <w:sz w:val="21"/>
          <w:b/>
        </w:rPr>
        <w:t>：</w:t>
      </w:r>
    </w:p>
    <w:p>
      <w:pPr>
        <w:pStyle w:val="null3"/>
        <w:ind w:firstLine="420"/>
        <w:jc w:val="both"/>
      </w:pPr>
      <w:r>
        <w:rPr>
          <w:sz w:val="21"/>
        </w:rPr>
        <w:t>1.货物若有国家标准按照国家标准验收，若无国家标准按行业标准验收，为</w:t>
      </w:r>
    </w:p>
    <w:p>
      <w:pPr>
        <w:pStyle w:val="null3"/>
        <w:ind w:firstLine="420"/>
        <w:jc w:val="both"/>
      </w:pPr>
      <w:r>
        <w:rPr>
          <w:sz w:val="21"/>
        </w:rPr>
        <w:t>原制造商制造的全新产品，整机无污染，无侵权行为、表面无划损、无任何缺陷隐患，在中国境内可依常规安全合法使用。</w:t>
      </w:r>
    </w:p>
    <w:p>
      <w:pPr>
        <w:pStyle w:val="null3"/>
        <w:ind w:firstLine="420"/>
        <w:jc w:val="both"/>
      </w:pPr>
      <w:r>
        <w:rPr>
          <w:sz w:val="21"/>
        </w:rPr>
        <w:t>2.货物为原厂商未启封全新包装，具出厂合格证，序列号、包装箱号与出厂</w:t>
      </w:r>
    </w:p>
    <w:p>
      <w:pPr>
        <w:pStyle w:val="null3"/>
        <w:ind w:firstLine="420"/>
        <w:jc w:val="both"/>
      </w:pPr>
      <w:r>
        <w:rPr>
          <w:sz w:val="21"/>
        </w:rPr>
        <w:t>批号一致，并可追索查阅。所有随设备的附件必须齐全。</w:t>
      </w:r>
    </w:p>
    <w:p>
      <w:pPr>
        <w:pStyle w:val="null3"/>
        <w:ind w:firstLine="420"/>
        <w:jc w:val="both"/>
      </w:pPr>
      <w:r>
        <w:rPr>
          <w:sz w:val="21"/>
        </w:rPr>
        <w:t>3.中标人应将车辆的用户手册、保修手册、有关单证资料及配备件、随车医疗器械工具等交付给采购人，使用操作及安全须知等重要资料应附有中文说明。</w:t>
      </w:r>
    </w:p>
    <w:p>
      <w:pPr>
        <w:pStyle w:val="null3"/>
        <w:ind w:firstLine="420"/>
        <w:jc w:val="both"/>
      </w:pPr>
      <w:r>
        <w:rPr>
          <w:sz w:val="21"/>
        </w:rPr>
        <w:t>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p>
      <w:pPr>
        <w:pStyle w:val="null3"/>
        <w:ind w:left="480"/>
        <w:jc w:val="both"/>
      </w:pPr>
      <w:r>
        <w:rPr>
          <w:sz w:val="21"/>
          <w:b/>
        </w:rPr>
        <w:t>十</w:t>
      </w:r>
      <w:r>
        <w:rPr>
          <w:sz w:val="21"/>
          <w:b/>
        </w:rPr>
        <w:t>、</w:t>
      </w:r>
      <w:r>
        <w:rPr>
          <w:sz w:val="21"/>
          <w:b/>
        </w:rPr>
        <w:t>违约责任与赔偿损失：</w:t>
      </w:r>
    </w:p>
    <w:p>
      <w:pPr>
        <w:pStyle w:val="null3"/>
        <w:ind w:firstLine="420"/>
        <w:jc w:val="both"/>
      </w:pPr>
      <w:r>
        <w:rPr>
          <w:sz w:val="21"/>
        </w:rPr>
        <w:t>1</w:t>
      </w:r>
      <w:r>
        <w:rPr>
          <w:sz w:val="21"/>
        </w:rPr>
        <w:t>.</w:t>
      </w:r>
      <w:r>
        <w:rPr>
          <w:sz w:val="21"/>
        </w:rPr>
        <w:t>乙方交付的货物、工程</w:t>
      </w:r>
      <w:r>
        <w:rPr>
          <w:sz w:val="21"/>
        </w:rPr>
        <w:t>/提供的服务不符合采购文件、报价文件或本合同规定的，甲方有权拒收，并且乙方须向甲方支付本合同总价5%的违约金。</w:t>
      </w:r>
    </w:p>
    <w:p>
      <w:pPr>
        <w:pStyle w:val="null3"/>
        <w:ind w:firstLine="420"/>
        <w:jc w:val="both"/>
      </w:pPr>
      <w:r>
        <w:rPr>
          <w:sz w:val="21"/>
        </w:rPr>
        <w:t>2</w:t>
      </w:r>
      <w:r>
        <w:rPr>
          <w:sz w:val="21"/>
        </w:rPr>
        <w:t>.</w:t>
      </w:r>
      <w:r>
        <w:rPr>
          <w:sz w:val="21"/>
        </w:rPr>
        <w:t>乙方未能按本合同规定的交货时间交付货物的</w:t>
      </w:r>
      <w:r>
        <w:rPr>
          <w:sz w:val="21"/>
        </w:rPr>
        <w:t>/提供服务，从逾期之日起每日按本合同总价3‰的数额向甲方支付违约金；逾期半个月以上的，甲方有权终止合同，由此造成的甲方经济损失由乙方承担。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w:t>
      </w:r>
      <w:r>
        <w:rPr>
          <w:sz w:val="21"/>
        </w:rPr>
        <w:t>.</w:t>
      </w:r>
      <w:r>
        <w:rPr>
          <w:sz w:val="21"/>
        </w:rPr>
        <w:t>甲方无正当理由拒收货物</w:t>
      </w:r>
      <w:r>
        <w:rPr>
          <w:sz w:val="21"/>
        </w:rPr>
        <w:t>/接受服务，到期拒付货物/服务款项的，甲方向乙方偿付本合同总的5%的违约金。甲方人逾期付款，</w:t>
      </w:r>
      <w:r>
        <w:rPr>
          <w:sz w:val="21"/>
        </w:rPr>
        <w:t>则每日按应付未付款的万分之一向乙方偿付违约金。</w:t>
      </w:r>
    </w:p>
    <w:p>
      <w:pPr>
        <w:pStyle w:val="null3"/>
        <w:ind w:firstLine="420"/>
        <w:jc w:val="both"/>
      </w:pPr>
      <w:r>
        <w:rPr>
          <w:sz w:val="21"/>
        </w:rPr>
        <w:t>4</w:t>
      </w:r>
      <w:r>
        <w:rPr>
          <w:sz w:val="21"/>
        </w:rPr>
        <w:t>.</w:t>
      </w:r>
      <w:r>
        <w:rPr>
          <w:sz w:val="21"/>
        </w:rPr>
        <w:t>其它违约责任按</w:t>
      </w:r>
      <w:r>
        <w:rPr>
          <w:sz w:val="21"/>
        </w:rPr>
        <w:t>《</w:t>
      </w:r>
      <w:r>
        <w:rPr>
          <w:sz w:val="21"/>
        </w:rPr>
        <w:t>中华人民共和国民法典</w:t>
      </w:r>
      <w:r>
        <w:rPr>
          <w:sz w:val="21"/>
        </w:rPr>
        <w:t>》</w:t>
      </w:r>
      <w:r>
        <w:rPr>
          <w:sz w:val="21"/>
        </w:rPr>
        <w:t>处理。</w:t>
      </w:r>
    </w:p>
    <w:p>
      <w:pPr>
        <w:pStyle w:val="null3"/>
        <w:ind w:left="480"/>
        <w:jc w:val="both"/>
      </w:pPr>
      <w:r>
        <w:rPr>
          <w:sz w:val="21"/>
          <w:b/>
        </w:rPr>
        <w:t>十</w:t>
      </w:r>
      <w:r>
        <w:rPr>
          <w:sz w:val="21"/>
          <w:b/>
        </w:rPr>
        <w:t>一</w:t>
      </w:r>
      <w:r>
        <w:rPr>
          <w:sz w:val="21"/>
          <w:b/>
        </w:rPr>
        <w:t>、</w:t>
      </w:r>
      <w:r>
        <w:rPr>
          <w:sz w:val="21"/>
          <w:b/>
        </w:rPr>
        <w:t>争议的解决</w:t>
      </w:r>
      <w:r>
        <w:rPr>
          <w:sz w:val="21"/>
          <w:b/>
        </w:rPr>
        <w:t>:</w:t>
      </w:r>
    </w:p>
    <w:p>
      <w:pPr>
        <w:pStyle w:val="null3"/>
        <w:ind w:firstLine="420"/>
        <w:jc w:val="both"/>
      </w:pPr>
      <w:r>
        <w:rPr>
          <w:sz w:val="21"/>
        </w:rPr>
        <w:t>1</w:t>
      </w:r>
      <w:r>
        <w:rPr>
          <w:sz w:val="21"/>
        </w:rPr>
        <w:t>.</w:t>
      </w:r>
      <w:r>
        <w:rPr>
          <w:sz w:val="21"/>
        </w:rPr>
        <w:t>合同执行过程中发生的任何争议，如双方不能通过友好协商解决，按相关法律法规处理。</w:t>
      </w:r>
    </w:p>
    <w:p>
      <w:pPr>
        <w:pStyle w:val="null3"/>
        <w:ind w:left="480"/>
        <w:jc w:val="both"/>
      </w:pPr>
      <w:r>
        <w:rPr>
          <w:sz w:val="21"/>
          <w:b/>
        </w:rPr>
        <w:t>十</w:t>
      </w:r>
      <w:r>
        <w:rPr>
          <w:sz w:val="21"/>
          <w:b/>
        </w:rPr>
        <w:t>二</w:t>
      </w:r>
      <w:r>
        <w:rPr>
          <w:sz w:val="21"/>
          <w:b/>
        </w:rPr>
        <w:t>、</w:t>
      </w:r>
      <w:r>
        <w:rPr>
          <w:sz w:val="21"/>
          <w:b/>
        </w:rPr>
        <w:t>不可抗力：</w:t>
      </w:r>
    </w:p>
    <w:p>
      <w:pPr>
        <w:pStyle w:val="null3"/>
        <w:ind w:firstLine="420"/>
        <w:jc w:val="both"/>
      </w:pPr>
      <w:r>
        <w:rPr>
          <w:sz w:val="21"/>
        </w:rPr>
        <w:t>1</w:t>
      </w:r>
      <w:r>
        <w:rPr>
          <w:sz w:val="21"/>
        </w:rPr>
        <w:t>.</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left="480"/>
        <w:jc w:val="both"/>
      </w:pPr>
      <w:r>
        <w:rPr>
          <w:sz w:val="21"/>
          <w:b/>
        </w:rPr>
        <w:t>十</w:t>
      </w:r>
      <w:r>
        <w:rPr>
          <w:sz w:val="21"/>
          <w:b/>
        </w:rPr>
        <w:t>三</w:t>
      </w:r>
      <w:r>
        <w:rPr>
          <w:sz w:val="21"/>
          <w:b/>
        </w:rPr>
        <w:t>、</w:t>
      </w:r>
      <w:r>
        <w:rPr>
          <w:sz w:val="21"/>
          <w:b/>
        </w:rPr>
        <w:t>其它</w:t>
      </w:r>
      <w:r>
        <w:rPr>
          <w:sz w:val="21"/>
          <w:b/>
        </w:rPr>
        <w:t>:</w:t>
      </w:r>
    </w:p>
    <w:p>
      <w:pPr>
        <w:pStyle w:val="null3"/>
        <w:ind w:firstLine="420"/>
        <w:jc w:val="both"/>
      </w:pPr>
      <w:r>
        <w:rPr>
          <w:sz w:val="21"/>
        </w:rPr>
        <w:t>1</w:t>
      </w:r>
      <w:r>
        <w:rPr>
          <w:sz w:val="21"/>
        </w:rPr>
        <w:t>.</w:t>
      </w:r>
      <w:r>
        <w:rPr>
          <w:sz w:val="21"/>
        </w:rPr>
        <w:t>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1"/>
        </w:rPr>
        <w:t>2</w:t>
      </w:r>
      <w:r>
        <w:rPr>
          <w:sz w:val="21"/>
        </w:rPr>
        <w:t>.</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w:t>
      </w:r>
      <w:r>
        <w:rPr>
          <w:sz w:val="21"/>
        </w:rPr>
        <w:t>如一方地址、电话、传真号码有变更，应在变更当日内书面通知对方，否则，应承担相应责任。</w:t>
      </w:r>
    </w:p>
    <w:p>
      <w:pPr>
        <w:pStyle w:val="null3"/>
        <w:ind w:firstLine="420"/>
        <w:jc w:val="both"/>
      </w:pPr>
      <w:r>
        <w:rPr>
          <w:sz w:val="21"/>
        </w:rPr>
        <w:t>4</w:t>
      </w:r>
      <w:r>
        <w:rPr>
          <w:sz w:val="21"/>
        </w:rPr>
        <w:t>.</w:t>
      </w:r>
      <w:r>
        <w:rPr>
          <w:sz w:val="21"/>
        </w:rPr>
        <w:t>除甲方事先书面同意外，乙方不得部分或全部转让其应履行的合同项下的义务。</w:t>
      </w:r>
    </w:p>
    <w:p>
      <w:pPr>
        <w:pStyle w:val="null3"/>
        <w:ind w:firstLine="420"/>
        <w:jc w:val="both"/>
      </w:pPr>
      <w:r>
        <w:rPr>
          <w:sz w:val="21"/>
        </w:rPr>
        <w:t>5.</w:t>
      </w:r>
      <w:r>
        <w:rPr>
          <w:sz w:val="21"/>
        </w:rPr>
        <w:t>乙方完全遵守《中华人民共和国民法典》有关规定和《中华人民共和国妇女权益保障法》中关于</w:t>
      </w:r>
      <w:r>
        <w:rPr>
          <w:sz w:val="21"/>
        </w:rPr>
        <w:t>“</w:t>
      </w:r>
      <w:r>
        <w:rPr>
          <w:sz w:val="21"/>
        </w:rPr>
        <w:t>劳动和社会保障权益</w:t>
      </w:r>
      <w:r>
        <w:rPr>
          <w:sz w:val="21"/>
        </w:rPr>
        <w:t>”</w:t>
      </w:r>
      <w:r>
        <w:rPr>
          <w:sz w:val="21"/>
        </w:rPr>
        <w:t>的有关要求。</w:t>
      </w:r>
    </w:p>
    <w:p>
      <w:pPr>
        <w:pStyle w:val="null3"/>
        <w:ind w:left="480"/>
        <w:jc w:val="both"/>
      </w:pPr>
      <w:r>
        <w:rPr>
          <w:sz w:val="21"/>
          <w:b/>
        </w:rPr>
        <w:t>十</w:t>
      </w:r>
      <w:r>
        <w:rPr>
          <w:sz w:val="21"/>
          <w:b/>
        </w:rPr>
        <w:t>四</w:t>
      </w:r>
      <w:r>
        <w:rPr>
          <w:sz w:val="21"/>
          <w:b/>
        </w:rPr>
        <w:t>、</w:t>
      </w:r>
      <w:r>
        <w:rPr>
          <w:sz w:val="21"/>
          <w:b/>
        </w:rPr>
        <w:t>合同生效：</w:t>
      </w:r>
    </w:p>
    <w:p>
      <w:pPr>
        <w:pStyle w:val="null3"/>
        <w:ind w:firstLine="420"/>
        <w:jc w:val="both"/>
      </w:pPr>
      <w:r>
        <w:rPr>
          <w:sz w:val="21"/>
        </w:rPr>
        <w:t>1</w:t>
      </w:r>
      <w:r>
        <w:rPr>
          <w:sz w:val="21"/>
        </w:rPr>
        <w:t>.</w:t>
      </w:r>
      <w:r>
        <w:rPr>
          <w:sz w:val="21"/>
        </w:rPr>
        <w:t>本合同在甲乙双方法人代表或其授权代表签字盖章后生效。</w:t>
      </w:r>
    </w:p>
    <w:p>
      <w:pPr>
        <w:pStyle w:val="null3"/>
        <w:ind w:firstLine="420"/>
        <w:jc w:val="both"/>
      </w:pPr>
      <w:r>
        <w:rPr>
          <w:sz w:val="21"/>
        </w:rPr>
        <w:t>2</w:t>
      </w:r>
      <w:r>
        <w:rPr>
          <w:sz w:val="21"/>
        </w:rPr>
        <w:t>.</w:t>
      </w:r>
      <w:r>
        <w:rPr>
          <w:sz w:val="21"/>
        </w:rPr>
        <w:t>合同壹式</w:t>
      </w:r>
      <w:r>
        <w:rPr>
          <w:sz w:val="21"/>
          <w:u w:val="single"/>
        </w:rPr>
        <w:t xml:space="preserve"> </w:t>
      </w:r>
      <w:r>
        <w:rPr>
          <w:sz w:val="21"/>
          <w:u w:val="single"/>
        </w:rPr>
        <w:t xml:space="preserve"> </w:t>
      </w:r>
      <w:r>
        <w:rPr>
          <w:sz w:val="21"/>
          <w:u w:val="single"/>
        </w:rPr>
        <w:t xml:space="preserve"> </w:t>
      </w:r>
      <w:r>
        <w:rPr>
          <w:sz w:val="21"/>
        </w:rPr>
        <w:t>份，其中甲乙双方各执</w:t>
      </w:r>
      <w:r>
        <w:rPr>
          <w:sz w:val="21"/>
          <w:u w:val="single"/>
        </w:rPr>
        <w:t xml:space="preserve"> </w:t>
      </w:r>
      <w:r>
        <w:rPr>
          <w:sz w:val="21"/>
          <w:u w:val="single"/>
        </w:rPr>
        <w:t xml:space="preserve"> </w:t>
      </w:r>
      <w:r>
        <w:rPr>
          <w:sz w:val="21"/>
          <w:u w:val="single"/>
        </w:rPr>
        <w:t xml:space="preserve"> </w:t>
      </w:r>
      <w:r>
        <w:rPr>
          <w:sz w:val="21"/>
        </w:rPr>
        <w:t>份，采购代理机构执壹份</w:t>
      </w:r>
      <w:r>
        <w:rPr>
          <w:sz w:val="21"/>
        </w:rPr>
        <w:t>。</w:t>
      </w:r>
    </w:p>
    <w:p>
      <w:pPr>
        <w:pStyle w:val="null3"/>
        <w:ind w:firstLine="420"/>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签订地点：</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开户名称：</w:t>
      </w:r>
    </w:p>
    <w:p>
      <w:pPr>
        <w:pStyle w:val="null3"/>
        <w:ind w:firstLine="4200"/>
        <w:jc w:val="both"/>
      </w:pPr>
      <w:r>
        <w:rPr>
          <w:sz w:val="21"/>
        </w:rPr>
        <w:t>银行帐号：</w:t>
      </w:r>
    </w:p>
    <w:p>
      <w:pPr>
        <w:pStyle w:val="null3"/>
        <w:ind w:firstLine="4200"/>
        <w:jc w:val="both"/>
      </w:pPr>
      <w:r>
        <w:rPr>
          <w:sz w:val="21"/>
        </w:rPr>
        <w:t>开</w:t>
      </w:r>
      <w:r>
        <w:rPr>
          <w:sz w:val="21"/>
        </w:rPr>
        <w:t>户</w:t>
      </w:r>
      <w:r>
        <w:rPr>
          <w:sz w:val="21"/>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441701-2026-01406</w:t>
      </w:r>
    </w:p>
    <w:p>
      <w:pPr>
        <w:pStyle w:val="null3"/>
        <w:jc w:val="center"/>
        <w:outlineLvl w:val="3"/>
      </w:pPr>
      <w:r>
        <w:rPr>
          <w:sz w:val="24"/>
          <w:b/>
        </w:rPr>
        <w:t>采购项目编号：</w:t>
      </w:r>
      <w:r>
        <w:rPr>
          <w:sz w:val="24"/>
          <w:b/>
        </w:rPr>
        <w:t>0877-26GZTP6ZC0359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阳江市人民医院重症监护型救护车及车载医疗设备采购项目</w:t>
      </w:r>
      <w:r>
        <w:rPr>
          <w:u w:val="single"/>
        </w:rPr>
        <w:t>”</w:t>
      </w:r>
      <w:r>
        <w:rPr/>
        <w:t>项目的招标[采购项目编号为：</w:t>
      </w:r>
      <w:r>
        <w:rPr>
          <w:u w:val="single"/>
        </w:rPr>
        <w:t>0877-26GZTP6ZC0359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阳江市人民医院重症监护型救护车及车载医疗设备采购项目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阳江市人民医院重症监护型救护车及车载医疗设备采购项目</w:t>
      </w:r>
      <w:r>
        <w:rPr/>
        <w:t>”项目采购[采购项目编号为</w:t>
      </w:r>
      <w:r>
        <w:rPr/>
        <w:t>0877-26GZTP6ZC0359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阳江市人民医院重症监护型救护车及车载医疗设备采购项目</w:t>
      </w:r>
      <w:r>
        <w:rPr/>
        <w:t>招标中获中标（采购项目编号：</w:t>
      </w:r>
      <w:r>
        <w:rPr/>
        <w:t>0877-26GZTP6ZC0359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阳江市人民医院重症监护型救护车及车载医疗设备采购项目</w:t>
      </w:r>
      <w:r>
        <w:rPr/>
        <w:t>”项目（采购项目编号：</w:t>
      </w:r>
      <w:r>
        <w:rPr/>
        <w:t>0877-26GZTP6ZC0359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