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440001-2026-25716</w:t>
      </w:r>
    </w:p>
    <w:p>
      <w:pPr>
        <w:pStyle w:val="null3"/>
        <w:jc w:val="center"/>
        <w:outlineLvl w:val="3"/>
      </w:pPr>
      <w:r>
        <w:rPr>
          <w:sz w:val="24"/>
          <w:b/>
        </w:rPr>
        <w:t>采购项目编号：</w:t>
      </w:r>
      <w:r>
        <w:rPr>
          <w:sz w:val="24"/>
          <w:b/>
        </w:rPr>
        <w:t>0877-26GZTP4ZC0491</w:t>
      </w:r>
    </w:p>
    <w:p>
      <w:pPr>
        <w:pStyle w:val="null3"/>
        <w:jc w:val="center"/>
        <w:outlineLvl w:val="3"/>
      </w:pPr>
      <w:r>
        <w:rPr>
          <w:sz w:val="24"/>
          <w:b/>
        </w:rPr>
        <w:t>项目名称：</w:t>
      </w:r>
      <w:r>
        <w:rPr>
          <w:sz w:val="24"/>
          <w:b/>
        </w:rPr>
        <w:t>华南师范大学汕尾校区2026-2029年人才周转房租赁服务采购项目</w:t>
      </w:r>
    </w:p>
    <w:p>
      <w:pPr>
        <w:pStyle w:val="null3"/>
        <w:jc w:val="center"/>
        <w:outlineLvl w:val="3"/>
      </w:pPr>
      <w:r>
        <w:rPr>
          <w:sz w:val="24"/>
          <w:b/>
        </w:rPr>
        <w:t>采购人：</w:t>
      </w:r>
      <w:r>
        <w:rPr>
          <w:sz w:val="24"/>
          <w:b/>
        </w:rPr>
        <w:t>华南师范大学</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华南师范大学</w:t>
      </w:r>
      <w:r>
        <w:rPr/>
        <w:t>的委托，采用</w:t>
      </w:r>
      <w:r>
        <w:rPr/>
        <w:t>公开招标</w:t>
      </w:r>
      <w:r>
        <w:rPr/>
        <w:t>方式组织采购</w:t>
      </w:r>
      <w:r>
        <w:rPr/>
        <w:t>华南师范大学汕尾校区2026-2029年人才周转房租赁服务采购项目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华南师范大学汕尾校区2026-2029年人才周转房租赁服务采购项目</w:t>
      </w:r>
    </w:p>
    <w:p>
      <w:pPr>
        <w:pStyle w:val="null3"/>
        <w:ind w:firstLine="480"/>
      </w:pPr>
      <w:r>
        <w:rPr/>
        <w:t>采购计划编号：</w:t>
      </w:r>
      <w:r>
        <w:rPr/>
        <w:t>440001-2026-25716</w:t>
      </w:r>
    </w:p>
    <w:p>
      <w:pPr>
        <w:pStyle w:val="null3"/>
        <w:ind w:firstLine="480"/>
      </w:pPr>
      <w:r>
        <w:rPr/>
        <w:t>采购项目编号：</w:t>
      </w:r>
      <w:r>
        <w:rPr/>
        <w:t>0877-26GZTP4ZC0491</w:t>
      </w:r>
    </w:p>
    <w:p>
      <w:pPr>
        <w:pStyle w:val="null3"/>
        <w:ind w:firstLine="480"/>
      </w:pPr>
      <w:r>
        <w:rPr/>
        <w:t>采购方式：</w:t>
      </w:r>
      <w:r>
        <w:rPr/>
        <w:t>公开招标</w:t>
      </w:r>
    </w:p>
    <w:p>
      <w:pPr>
        <w:pStyle w:val="null3"/>
        <w:ind w:firstLine="480"/>
      </w:pPr>
      <w:r>
        <w:rPr/>
        <w:t>预算金额：</w:t>
      </w:r>
      <w:r>
        <w:rPr/>
        <w:t>14,538,000.00</w:t>
      </w:r>
      <w:r>
        <w:rPr/>
        <w:t>元</w:t>
      </w:r>
    </w:p>
    <w:p>
      <w:pPr>
        <w:pStyle w:val="null3"/>
        <w:outlineLvl w:val="3"/>
      </w:pPr>
      <w:r>
        <w:rPr>
          <w:sz w:val="24"/>
          <w:b/>
        </w:rPr>
        <w:t>2.项目内容及需求情况（采购项目技术规格、参数及要求）</w:t>
      </w:r>
    </w:p>
    <w:p>
      <w:pPr>
        <w:pStyle w:val="null3"/>
      </w:pPr>
      <w:r>
        <w:rPr/>
        <w:t>采购包1(华南师范大学汕尾校区2026-2029年人才周转房租赁服务采购):</w:t>
      </w:r>
    </w:p>
    <w:p>
      <w:pPr>
        <w:pStyle w:val="null3"/>
      </w:pPr>
      <w:r>
        <w:rPr/>
        <w:t>采购包预算金额：14,538,000.00元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房屋租赁服务</w:t>
            </w:r>
          </w:p>
        </w:tc>
        <w:tc>
          <w:tcPr>
            <w:tcW w:type="dxa" w:w="2136"/>
          </w:tcPr>
          <w:p>
            <w:pPr>
              <w:pStyle w:val="null3"/>
            </w:pPr>
            <w:r>
              <w:rPr/>
              <w:t>华南师范大学汕尾校区人才周转房租赁服务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合同履行期限：2026年9月12日至2029年9月11日，共计3年。（具体实施时间以采购合同约定为准）。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采购包1（华南师范大学汕尾校区2026-2029年人才周转房租赁服务采购）：</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采购包1（华南师范大学汕尾校区2026-2029年人才周转房租赁服务采购）：</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华南师范大学</w:t>
      </w:r>
    </w:p>
    <w:p>
      <w:pPr>
        <w:pStyle w:val="null3"/>
        <w:ind w:firstLine="480"/>
      </w:pPr>
      <w:r>
        <w:rPr/>
        <w:t xml:space="preserve"> 地址：</w:t>
      </w:r>
      <w:r>
        <w:rPr/>
        <w:t>广州市天河区中山大道西55号</w:t>
      </w:r>
    </w:p>
    <w:p>
      <w:pPr>
        <w:pStyle w:val="null3"/>
        <w:ind w:firstLine="480"/>
      </w:pPr>
      <w:r>
        <w:rPr/>
        <w:t xml:space="preserve"> 联系方式：</w:t>
      </w:r>
      <w:r>
        <w:rPr/>
        <w:t>020-85210903</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020-38931901、38931902转859或860</w:t>
      </w:r>
    </w:p>
    <w:p>
      <w:pPr>
        <w:pStyle w:val="null3"/>
        <w:outlineLvl w:val="3"/>
      </w:pPr>
      <w:r>
        <w:rPr>
          <w:sz w:val="24"/>
          <w:b/>
        </w:rPr>
        <w:t xml:space="preserve"> 3.项目联系方式</w:t>
      </w:r>
    </w:p>
    <w:p>
      <w:pPr>
        <w:pStyle w:val="null3"/>
        <w:ind w:firstLine="480"/>
      </w:pPr>
      <w:r>
        <w:rPr/>
        <w:t xml:space="preserve"> 项目联系人：</w:t>
      </w:r>
      <w:r>
        <w:rPr/>
        <w:t>李工（跟进人员）（电话无人接听请发邮件limengxue@gztpc.com咨询，我司会及时回复）</w:t>
      </w:r>
    </w:p>
    <w:p>
      <w:pPr>
        <w:pStyle w:val="null3"/>
        <w:ind w:firstLine="480"/>
      </w:pPr>
      <w:r>
        <w:rPr/>
        <w:t xml:space="preserve"> 电话：</w:t>
      </w:r>
      <w:r>
        <w:rPr/>
        <w:t>020-38931901、38931902转859或860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w:t>
      </w:r>
      <w:r>
        <w:rPr>
          <w:sz w:val="21"/>
        </w:rPr>
        <w:t>服务类</w:t>
      </w:r>
    </w:p>
    <w:p>
      <w:pPr>
        <w:pStyle w:val="null3"/>
        <w:jc w:val="both"/>
      </w:pPr>
      <w:r>
        <w:rPr>
          <w:sz w:val="21"/>
        </w:rPr>
        <w:t>品目分类：</w:t>
      </w:r>
      <w:r>
        <w:rPr>
          <w:sz w:val="21"/>
        </w:rPr>
        <w:t>房屋租赁服务</w:t>
      </w:r>
    </w:p>
    <w:p>
      <w:pPr>
        <w:pStyle w:val="null3"/>
      </w:pPr>
      <w:r>
        <w:rPr>
          <w:sz w:val="21"/>
        </w:rPr>
        <w:t>本项目对应的中小企业划分标准所属行业为：</w:t>
      </w:r>
      <w:r>
        <w:rPr>
          <w:sz w:val="21"/>
        </w:rPr>
        <w:t>租赁和商务服务业</w:t>
      </w:r>
    </w:p>
    <w:p>
      <w:pPr>
        <w:pStyle w:val="null3"/>
        <w:ind w:firstLine="420"/>
        <w:jc w:val="both"/>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ind w:firstLine="480"/>
        <w:jc w:val="both"/>
      </w:pPr>
      <w:r>
        <w:rPr>
          <w:sz w:val="24"/>
          <w:b/>
        </w:rPr>
        <w:t>1.1</w:t>
      </w:r>
      <w:r>
        <w:rPr>
          <w:sz w:val="24"/>
          <w:b/>
        </w:rPr>
        <w:t>、项目的购置背景及目的</w:t>
      </w:r>
      <w:r>
        <w:rPr>
          <w:sz w:val="24"/>
        </w:rPr>
        <w:t>：</w:t>
      </w:r>
    </w:p>
    <w:p>
      <w:pPr>
        <w:pStyle w:val="null3"/>
        <w:ind w:firstLine="420"/>
        <w:jc w:val="both"/>
      </w:pPr>
      <w:r>
        <w:rPr>
          <w:sz w:val="21"/>
          <w:color w:val="222222"/>
          <w:shd w:fill="FFFFFF" w:val="clear"/>
        </w:rPr>
        <w:t>根据广东省教育厅、汕尾市人民政府、华南师范大学、深圳大学签订的汕尾校区建设工作协议（以下简称</w:t>
      </w:r>
      <w:r>
        <w:rPr>
          <w:sz w:val="21"/>
          <w:color w:val="222222"/>
          <w:shd w:fill="FFFFFF" w:val="clear"/>
        </w:rPr>
        <w:t>“四方协议”），汕尾市人民政府需为校区提供112套商品房作为人才周转房，为保障校区人才周转房持续稳定供应，现拟启动2026—2029年人才周转房租赁服务项目采购工作。</w:t>
      </w:r>
    </w:p>
    <w:p>
      <w:pPr>
        <w:pStyle w:val="null3"/>
        <w:jc w:val="both"/>
      </w:pPr>
      <w:r>
        <w:rPr>
          <w:sz w:val="24"/>
          <w:b/>
        </w:rPr>
        <w:t>1.2</w:t>
      </w:r>
      <w:r>
        <w:rPr>
          <w:sz w:val="24"/>
          <w:b/>
        </w:rPr>
        <w:t>、项目的服务对象及范围</w:t>
      </w:r>
      <w:r>
        <w:rPr>
          <w:sz w:val="24"/>
        </w:rPr>
        <w:t>：</w:t>
      </w:r>
    </w:p>
    <w:p>
      <w:pPr>
        <w:pStyle w:val="null3"/>
        <w:ind w:firstLine="420"/>
        <w:jc w:val="both"/>
      </w:pPr>
      <w:r>
        <w:rPr>
          <w:sz w:val="21"/>
          <w:color w:val="222222"/>
          <w:shd w:fill="FFFFFF" w:val="clear"/>
        </w:rPr>
        <w:t>租赁</w:t>
      </w:r>
      <w:r>
        <w:rPr>
          <w:sz w:val="21"/>
          <w:color w:val="222222"/>
          <w:shd w:fill="FFFFFF" w:val="clear"/>
        </w:rPr>
        <w:t>112套商品房作为汕尾校区人才周转房使用，对象为汕尾校区全职在岗工作的事业编制教职工和参照事业编制管理的教职工或学校同意引进的高层次人才（含聘用制引进的高层次人才）。</w:t>
      </w:r>
    </w:p>
    <w:p>
      <w:pPr>
        <w:pStyle w:val="null3"/>
        <w:jc w:val="both"/>
      </w:pPr>
      <w:r>
        <w:rPr>
          <w:sz w:val="24"/>
          <w:b/>
        </w:rPr>
        <w:t>1.3</w:t>
      </w:r>
      <w:r>
        <w:rPr>
          <w:sz w:val="24"/>
          <w:b/>
        </w:rPr>
        <w:t>、项目的必要性及意义</w:t>
      </w:r>
      <w:r>
        <w:rPr>
          <w:sz w:val="24"/>
        </w:rPr>
        <w:t>：</w:t>
      </w:r>
    </w:p>
    <w:p>
      <w:pPr>
        <w:pStyle w:val="null3"/>
        <w:ind w:firstLine="480"/>
        <w:jc w:val="both"/>
      </w:pPr>
      <w:r>
        <w:rPr>
          <w:sz w:val="21"/>
          <w:color w:val="222222"/>
          <w:shd w:fill="FFFFFF" w:val="clear"/>
        </w:rPr>
        <w:t>为保障华南师范大学汕尾校区办学运营、落实高水平人才引进战略，并响应汕尾市</w:t>
      </w:r>
      <w:r>
        <w:rPr>
          <w:sz w:val="21"/>
          <w:color w:val="222222"/>
          <w:shd w:fill="FFFFFF" w:val="clear"/>
        </w:rPr>
        <w:t>“英才来汕”人才政策，采购人才周转房租赁服务具有明确的必要性。该项目通过提供优质过渡性住房，不仅能解决新建校区教职工的迫切安居需求，直接提升学校引才竞争力，对稳定师资队伍、服务区域发展具有重要战</w:t>
      </w:r>
      <w:r>
        <w:rPr>
          <w:sz w:val="21"/>
          <w:shd w:fill="FFFFFF" w:val="clear"/>
        </w:rPr>
        <w:t>略意义。</w:t>
      </w:r>
    </w:p>
    <w:p>
      <w:pPr>
        <w:pStyle w:val="null3"/>
      </w:pPr>
      <w:r>
        <w:rPr/>
        <w:t>采购包1（华南师范大学汕尾校区2026-2029年人才周转房租赁服务采购）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2026年9月12日至2029年9月11日，共计3年。（具体实施时间以采购合同约定为准）。</w:t>
            </w:r>
          </w:p>
        </w:tc>
      </w:tr>
      <w:tr>
        <w:tc>
          <w:tcPr>
            <w:tcW w:type="dxa" w:w="4153"/>
          </w:tcPr>
          <w:p>
            <w:pPr>
              <w:pStyle w:val="null3"/>
            </w:pPr>
            <w:r>
              <w:rPr/>
              <w:t>标的提供的地点</w:t>
            </w:r>
          </w:p>
        </w:tc>
        <w:tc>
          <w:tcPr>
            <w:tcW w:type="dxa" w:w="4153"/>
          </w:tcPr>
          <w:p>
            <w:pPr>
              <w:pStyle w:val="null3"/>
            </w:pPr>
            <w:r>
              <w:rPr/>
              <w:t>广东省汕尾市。</w:t>
            </w:r>
          </w:p>
        </w:tc>
      </w:tr>
      <w:tr>
        <w:tc>
          <w:tcPr>
            <w:tcW w:type="dxa" w:w="4153"/>
          </w:tcPr>
          <w:p>
            <w:pPr>
              <w:pStyle w:val="null3"/>
            </w:pPr>
            <w:r>
              <w:rPr/>
              <w:t>付款方式</w:t>
            </w:r>
          </w:p>
        </w:tc>
        <w:tc>
          <w:tcPr>
            <w:tcW w:type="dxa" w:w="4153"/>
          </w:tcPr>
          <w:p>
            <w:pPr>
              <w:pStyle w:val="null3"/>
            </w:pPr>
            <w:r>
              <w:rPr/>
              <w:t>1期：支付比例100%,房屋租金采取按年支付、对公转账的方式，第一年的租金在交付使用后两个月内，其余年份按每年4月份支付当年租金，供应商向采购人提交足额合法有效的增值税发票后五个工作日内支付；（2）供应商需向采购人提供合法有效的增值税发票，否则采购人有权拒绝支付租金，且不承担任何违约责任；（3）采购人通过银行转账方式支付租金，供应商需提供与自身名称一致的指定银行账户信息，账户信息变更需提前书面通知采购人。 如中标人为小微企业采用以下支付方式：合同签订后五个工作日内，采购人向中标人支付合同金额的30%作为预付款。其中，房屋租金达到已经支付的预付款后，如预付款不够抵扣的，剩下的按实际结算。2.采购人按每年4月份支付当年租金。供应商向采购人提交足额合法有效的增值税发票后五个工作日内支付（服务期前期的费用从预付款中扣减，扣减完30%的预付款后再以转账方式于第二年的4月份与第二年租金共同支付）。具体支付时间以采购人财务部门办理的时间为准。 上述付款时间为采购人向财政部门申请支付的时间而非中标人实际收款时间。如因财政部门原因或银行原因导致采购人延迟支付的，不视为采购人逾期付款。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验收时间：合同约定的房源交付日（2026年9月12日）前完成全部现场交付验收工作，具体验收时间以采购合同约定为准。验收标准：二、交付资料核验标准：1.权属资料真实有效，可证明中标人对房源拥有合法产权或使用权，权利期限完全覆盖2026年9月12日至2029年9月11日的服务周期。2.交付时提供承诺函均加盖供应商公章，承诺内容符合采购文件及合同约定，无模糊表述。3.房屋配套资料完整齐全，设施清单与实际交付情况一一对应，计量装置均经校验合格。4.服务配置资料清晰明确，人员配置、服务流程符合投标承诺及合同要求。三、房源整体指标验收标准：1.实际交付房源共计112套，其中三房二厅（单套建筑面积不少于100㎡）56 套，四房二厅（单套建筑面积不少于120㎡）56套，户型数量与配比与合同约定完全一致。2.112 套房源总建筑面积不低于13200平方米。3.房源集中分布在同一栋或两栋楼内，无分散排布情况。四、分户房屋验收标准：1.装修整体达到简易装修标准，墙面、地面、顶面平整完好，无明显质量缺陷；厨卫防水合格，无渗漏隐患。2.给排水系统运行正常，给水水压稳定，排水通畅无堵塞、无反水。3.供电系统安全可靠，所有开关、插座、灯具功能正常，漏电保护有效，无用电安全隐患。4.燃气系统符合安全规范，无漏气隐患，燃气表计量准确。5.门窗开关顺畅、密封良好，锁具、五金件齐全完好。6.室内水、电、气、网络基础配套齐全，全部可正常使用，满足教职工基本居住需求。五、共用部位与设施设备验收标准：1.楼栋共用部位整洁完好，公共照明全覆盖且正常使用，消防通道保持畅通。2.电梯在有效检验周期内，运行平稳、响应正常，应急装置功能完好。3.消防设施齐全有效，符合国家消防技术规范要求，可正常投入使用。4.小区公共服务设施与投标承诺一致，可正常开放使用；安保、门禁系统运行正常。六、合规性验收标准：1.房屋权利状态清晰，无查封、违规抵押、法律纠纷等影响正常居住使用的情形。2.房屋规划用途为住宅，符合人才周转房居住使用要求。3.中标人全部履约承诺均符合采购文件及合同约定，无实质性违约情形。交付前配合采购人开展房源验收工作，提供房屋产权证明、使用权证明等相关合法文件；验收合格后，与采购人办理正式交接手续，明确房屋及附属设施的现状，双方签署房源交接清单。</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.，一、住房保障服务： （1）租赁期满或合同解除后，中标人有权收回房屋，采购人应将房屋及其附属物品、设备设施予以返还，返还标准为符合租赁物正常使用后的状态，不包含自然损耗、合理磨损及使用折旧。双方应共同现场查验房屋及附属设施设备状况、水电燃气等使用数据，并结清各自应承担的费用。除采购人故意损坏、重大过失或违规使用造成的毁损外，采购人不承担修复或赔偿责任。 （2）在租赁期内，中标人对房屋及其附着设施至少每隔十二个月检查、修缮一次，采购人及采购人分配的房屋实际使用人应予积极协助，不得阻挠施工。正常的房屋大修理费用及日常的房屋维修由中标人承担。因采购人分配的房屋实际使用人使用不善造成房屋及其相关设备的损失和维修费用，由房屋实际使用人承担损失赔偿责任，并赔偿维修费用或损失造成的相关费用。 （3）如出现房屋维修周期长，短时期内无法解决的情况，中标人须就近提供同等条件的房源供用户临时居住。 （4）如租赁期间因房屋结构、公共设施引发的安全事件（战争、自然灾害等不可抗力除外），由中标人负责安全保障并承担相应责任。 二、服务承诺：投标人需按照附件格式提供以下承诺函：1.附件2（《关于不派出企业任何人员协助其他供应商参与投标（响应）的承诺函》）；2.附件3（《对投标文件所有响应内容真实性负责的承诺函》）。</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房屋租赁服务</w:t>
            </w:r>
          </w:p>
        </w:tc>
        <w:tc>
          <w:tcPr>
            <w:tcW w:type="dxa" w:w="933"/>
          </w:tcPr>
          <w:p>
            <w:pPr>
              <w:pStyle w:val="null3"/>
              <w:jc w:val="left"/>
            </w:pPr>
            <w:r>
              <w:rPr/>
              <w:t>华南师范大学汕尾校区人才周转房租赁服务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14,538,000.00</w:t>
            </w:r>
          </w:p>
        </w:tc>
        <w:tc>
          <w:tcPr>
            <w:tcW w:type="dxa" w:w="933"/>
          </w:tcPr>
          <w:p>
            <w:pPr>
              <w:pStyle w:val="null3"/>
              <w:jc w:val="right"/>
            </w:pPr>
            <w:r>
              <w:rPr/>
              <w:t>14,538,000.00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华南师范大学汕尾校区人才周转房租赁服务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1"/>
              </w:rPr>
              <w:t>一、</w:t>
            </w:r>
            <w:r>
              <w:rPr>
                <w:sz w:val="21"/>
              </w:rPr>
              <w:t>房源交付服务</w:t>
            </w:r>
            <w:r>
              <w:br/>
            </w:r>
            <w:r>
              <w:rPr>
                <w:sz w:val="21"/>
              </w:rPr>
              <w:t>（</w:t>
            </w:r>
            <w:r>
              <w:rPr>
                <w:sz w:val="21"/>
              </w:rPr>
              <w:t>1）房源标准：共112套房源，总建筑面积不低于13200平方米；房型为三房二厅（建筑面积</w:t>
            </w:r>
            <w:r>
              <w:rPr>
                <w:sz w:val="21"/>
              </w:rPr>
              <w:t>不少于</w:t>
            </w:r>
            <w:r>
              <w:rPr>
                <w:sz w:val="21"/>
              </w:rPr>
              <w:t>100平方米）56套、四房二厅（建筑面积</w:t>
            </w:r>
            <w:r>
              <w:rPr>
                <w:sz w:val="21"/>
              </w:rPr>
              <w:t>不少于</w:t>
            </w:r>
            <w:r>
              <w:rPr>
                <w:sz w:val="21"/>
              </w:rPr>
              <w:t>120平方米）56套，房源集中分布在同一栋或两栋楼内；</w:t>
            </w:r>
            <w:r>
              <w:rPr>
                <w:sz w:val="21"/>
              </w:rPr>
              <w:t>居住房距离华南师范大学汕尾校区</w:t>
            </w:r>
            <w:r>
              <w:rPr>
                <w:sz w:val="21"/>
              </w:rPr>
              <w:t>(</w:t>
            </w:r>
            <w:r>
              <w:rPr>
                <w:sz w:val="21"/>
              </w:rPr>
              <w:t>汕尾市城区马宫街道香江大道西</w:t>
            </w:r>
            <w:r>
              <w:rPr>
                <w:sz w:val="21"/>
              </w:rPr>
              <w:t>55</w:t>
            </w:r>
            <w:r>
              <w:rPr>
                <w:sz w:val="21"/>
              </w:rPr>
              <w:t>号</w:t>
            </w:r>
            <w:r>
              <w:rPr>
                <w:sz w:val="21"/>
              </w:rPr>
              <w:t>)</w:t>
            </w:r>
            <w:r>
              <w:rPr>
                <w:sz w:val="21"/>
              </w:rPr>
              <w:t>应在</w:t>
            </w:r>
            <w:r>
              <w:rPr>
                <w:sz w:val="21"/>
              </w:rPr>
              <w:t>10</w:t>
            </w:r>
            <w:r>
              <w:rPr>
                <w:sz w:val="21"/>
              </w:rPr>
              <w:t>公里内；</w:t>
            </w:r>
            <w:r>
              <w:rPr>
                <w:sz w:val="21"/>
              </w:rPr>
              <w:t>房屋为现房，装修标准为简易装修</w:t>
            </w:r>
            <w:r>
              <w:rPr>
                <w:sz w:val="21"/>
              </w:rPr>
              <w:t>，</w:t>
            </w:r>
            <w:r>
              <w:rPr>
                <w:sz w:val="21"/>
              </w:rPr>
              <w:t>交付标准不含家具、家电等可移动物品</w:t>
            </w:r>
            <w:r>
              <w:rPr>
                <w:sz w:val="21"/>
              </w:rPr>
              <w:t>，满足教职工基本居住需求；投标人应确保交付的房产及附属设施能够正常使用，保证房屋的建筑结构和设备设施符合建筑、消防、治安、卫生等方面有关法律法规、规章和规范性文件规定的安全条件，且具备一定的基础设备和配套设施，如水、电、气、网络接口及管线。</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1"/>
              </w:rPr>
              <w:t>（</w:t>
            </w:r>
            <w:r>
              <w:rPr>
                <w:sz w:val="21"/>
              </w:rPr>
              <w:t>2）交付要求：2026年</w:t>
            </w:r>
            <w:r>
              <w:rPr>
                <w:sz w:val="21"/>
              </w:rPr>
              <w:t>9</w:t>
            </w:r>
            <w:r>
              <w:rPr>
                <w:sz w:val="21"/>
              </w:rPr>
              <w:t>月</w:t>
            </w:r>
            <w:r>
              <w:rPr>
                <w:sz w:val="21"/>
              </w:rPr>
              <w:t>12日前完成全部房源交付（具体以采购合同约定时间为准）。</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1"/>
              </w:rPr>
              <w:t>（</w:t>
            </w:r>
            <w:r>
              <w:rPr>
                <w:sz w:val="21"/>
              </w:rPr>
              <w:t>3）交付流程：交付前配合采购人开展房源验收工作，提供房屋产权证明、使用权证明等相关合法文件；验收合格后，与采购人办理正式交接手续，明确房屋及附属设施的现状，双方签署房源交接清单。</w:t>
            </w:r>
          </w:p>
        </w:tc>
      </w:tr>
      <w:tr>
        <w:tc>
          <w:tcPr>
            <w:tcW w:type="dxa" w:w="2076"/>
          </w:tcPr>
          <w:p/>
        </w:tc>
        <w:tc>
          <w:tcPr>
            <w:tcW w:type="dxa" w:w="415"/>
          </w:tcPr>
          <w:p>
            <w:pPr>
              <w:pStyle w:val="null3"/>
            </w:pPr>
            <w:r>
              <w:rPr/>
              <w:t>4</w:t>
            </w:r>
          </w:p>
        </w:tc>
        <w:tc>
          <w:tcPr>
            <w:tcW w:type="dxa" w:w="5814"/>
          </w:tcPr>
          <w:p>
            <w:pPr>
              <w:pStyle w:val="null3"/>
            </w:pPr>
            <w:r>
              <w:rPr>
                <w:sz w:val="21"/>
              </w:rPr>
              <w:t>（</w:t>
            </w:r>
            <w:r>
              <w:rPr>
                <w:sz w:val="21"/>
              </w:rPr>
              <w:t>4）服务期限：2026年</w:t>
            </w:r>
            <w:r>
              <w:rPr>
                <w:sz w:val="21"/>
              </w:rPr>
              <w:t>9</w:t>
            </w:r>
            <w:r>
              <w:rPr>
                <w:sz w:val="21"/>
              </w:rPr>
              <w:t>月</w:t>
            </w:r>
            <w:r>
              <w:rPr>
                <w:sz w:val="21"/>
              </w:rPr>
              <w:t>12日至2029年</w:t>
            </w:r>
            <w:r>
              <w:rPr>
                <w:sz w:val="21"/>
              </w:rPr>
              <w:t>9</w:t>
            </w:r>
            <w:r>
              <w:rPr>
                <w:sz w:val="21"/>
              </w:rPr>
              <w:t>月</w:t>
            </w:r>
            <w:r>
              <w:rPr>
                <w:sz w:val="21"/>
              </w:rPr>
              <w:t>11日，共计3年（具体实施时间以采购合同约定为准）。</w:t>
            </w:r>
          </w:p>
        </w:tc>
      </w:tr>
      <w:tr>
        <w:tc>
          <w:tcPr>
            <w:tcW w:type="dxa" w:w="2076"/>
          </w:tcPr>
          <w:p/>
        </w:tc>
        <w:tc>
          <w:tcPr>
            <w:tcW w:type="dxa" w:w="415"/>
          </w:tcPr>
          <w:p>
            <w:pPr>
              <w:pStyle w:val="null3"/>
            </w:pPr>
            <w:r>
              <w:rPr/>
              <w:t>5</w:t>
            </w:r>
          </w:p>
        </w:tc>
        <w:tc>
          <w:tcPr>
            <w:tcW w:type="dxa" w:w="5814"/>
          </w:tcPr>
          <w:p>
            <w:pPr>
              <w:pStyle w:val="null3"/>
            </w:pPr>
            <w:r>
              <w:rPr>
                <w:sz w:val="21"/>
              </w:rPr>
              <w:t>二、</w:t>
            </w:r>
            <w:r>
              <w:rPr>
                <w:sz w:val="21"/>
              </w:rPr>
              <w:t>物业服务</w:t>
            </w:r>
            <w:r>
              <w:br/>
            </w:r>
            <w:r>
              <w:rPr>
                <w:sz w:val="21"/>
              </w:rPr>
              <w:t>（</w:t>
            </w:r>
            <w:r>
              <w:rPr>
                <w:sz w:val="21"/>
              </w:rPr>
              <w:t>1）公共秩序维护：小区实行24小时安保巡逻制度，配备必要的安保设备和人员，保障小区内人员及财产安全；规范维护小区内交通秩序，合理规划车辆停放，确保停车位充足且使用有序。</w:t>
            </w:r>
          </w:p>
        </w:tc>
      </w:tr>
      <w:tr>
        <w:tc>
          <w:tcPr>
            <w:tcW w:type="dxa" w:w="2076"/>
          </w:tcPr>
          <w:p/>
        </w:tc>
        <w:tc>
          <w:tcPr>
            <w:tcW w:type="dxa" w:w="415"/>
          </w:tcPr>
          <w:p>
            <w:pPr>
              <w:pStyle w:val="null3"/>
            </w:pPr>
            <w:r>
              <w:rPr/>
              <w:t>6</w:t>
            </w:r>
          </w:p>
        </w:tc>
        <w:tc>
          <w:tcPr>
            <w:tcW w:type="dxa" w:w="5814"/>
          </w:tcPr>
          <w:p>
            <w:pPr>
              <w:pStyle w:val="null3"/>
            </w:pPr>
            <w:r>
              <w:rPr>
                <w:sz w:val="21"/>
              </w:rPr>
              <w:t>（</w:t>
            </w:r>
            <w:r>
              <w:rPr>
                <w:sz w:val="21"/>
              </w:rPr>
              <w:t>2）环境卫生维护：定期对小区楼道、电梯、停车场、公共健身场所等公共区域进行清洁消毒，保持环境整洁；垃圾做到日产日清，定期清理；维护小区内绿化景观，及时对绿植进行修剪、浇灌，保证绿化效果。</w:t>
            </w:r>
          </w:p>
        </w:tc>
      </w:tr>
      <w:tr>
        <w:tc>
          <w:tcPr>
            <w:tcW w:type="dxa" w:w="2076"/>
          </w:tcPr>
          <w:p/>
        </w:tc>
        <w:tc>
          <w:tcPr>
            <w:tcW w:type="dxa" w:w="415"/>
          </w:tcPr>
          <w:p>
            <w:pPr>
              <w:pStyle w:val="null3"/>
            </w:pPr>
            <w:r>
              <w:rPr/>
              <w:t>7</w:t>
            </w:r>
          </w:p>
        </w:tc>
        <w:tc>
          <w:tcPr>
            <w:tcW w:type="dxa" w:w="5814"/>
          </w:tcPr>
          <w:p>
            <w:pPr>
              <w:pStyle w:val="null3"/>
            </w:pPr>
            <w:r>
              <w:rPr>
                <w:sz w:val="21"/>
              </w:rPr>
              <w:t>（</w:t>
            </w:r>
            <w:r>
              <w:rPr>
                <w:sz w:val="21"/>
              </w:rPr>
              <w:t>3）维修维护服务：建立标准化维修响应机制，定期对房屋共用部位、共用设施设备（电梯、供水供电设施、消防设施等）进行检查和维护，确保其正常运行；建立完善的维修台账，详细记录维修时间、内容、结果等信息，及时向采购人反馈维修情况。</w:t>
            </w:r>
          </w:p>
        </w:tc>
      </w:tr>
      <w:tr>
        <w:tc>
          <w:tcPr>
            <w:tcW w:type="dxa" w:w="2076"/>
          </w:tcPr>
          <w:p/>
        </w:tc>
        <w:tc>
          <w:tcPr>
            <w:tcW w:type="dxa" w:w="415"/>
          </w:tcPr>
          <w:p>
            <w:pPr>
              <w:pStyle w:val="null3"/>
            </w:pPr>
            <w:r>
              <w:rPr/>
              <w:t>8</w:t>
            </w:r>
          </w:p>
        </w:tc>
        <w:tc>
          <w:tcPr>
            <w:tcW w:type="dxa" w:w="5814"/>
          </w:tcPr>
          <w:p>
            <w:pPr>
              <w:pStyle w:val="null3"/>
            </w:pPr>
            <w:r>
              <w:rPr>
                <w:sz w:val="21"/>
              </w:rPr>
              <w:t>（</w:t>
            </w:r>
            <w:r>
              <w:rPr>
                <w:sz w:val="21"/>
              </w:rPr>
              <w:t>4）投诉处理服务：建立健全投诉处理机制，设立专门的投诉电话、邮箱等渠道，及时受理教职工的投诉和建议，在规定时限内进行处置和回复，持续改进服务质量。</w:t>
            </w:r>
          </w:p>
        </w:tc>
      </w:tr>
      <w:tr>
        <w:tc>
          <w:tcPr>
            <w:tcW w:type="dxa" w:w="2076"/>
          </w:tcPr>
          <w:p/>
        </w:tc>
        <w:tc>
          <w:tcPr>
            <w:tcW w:type="dxa" w:w="415"/>
          </w:tcPr>
          <w:p>
            <w:pPr>
              <w:pStyle w:val="null3"/>
            </w:pPr>
            <w:r>
              <w:rPr/>
              <w:t>9</w:t>
            </w:r>
          </w:p>
        </w:tc>
        <w:tc>
          <w:tcPr>
            <w:tcW w:type="dxa" w:w="5814"/>
          </w:tcPr>
          <w:p>
            <w:pPr>
              <w:pStyle w:val="null3"/>
            </w:pPr>
            <w:r>
              <w:rPr>
                <w:sz w:val="21"/>
              </w:rPr>
              <w:t>三、</w:t>
            </w:r>
            <w:r>
              <w:rPr>
                <w:sz w:val="21"/>
              </w:rPr>
              <w:t>配套保障服务</w:t>
            </w:r>
            <w:r>
              <w:br/>
            </w:r>
            <w:r>
              <w:rPr>
                <w:sz w:val="21"/>
              </w:rPr>
              <w:t>（</w:t>
            </w:r>
            <w:r>
              <w:rPr>
                <w:sz w:val="21"/>
              </w:rPr>
              <w:t>1）公共设施保障：确保小区内社区活动中心、游泳池、公共健身场所等公共服务设施（如有）正常开放，定期进行维护保养，保障教职工正常使用。</w:t>
            </w:r>
          </w:p>
        </w:tc>
      </w:tr>
      <w:tr>
        <w:tc>
          <w:tcPr>
            <w:tcW w:type="dxa" w:w="2076"/>
          </w:tcPr>
          <w:p/>
        </w:tc>
        <w:tc>
          <w:tcPr>
            <w:tcW w:type="dxa" w:w="415"/>
          </w:tcPr>
          <w:p>
            <w:pPr>
              <w:pStyle w:val="null3"/>
            </w:pPr>
            <w:r>
              <w:rPr/>
              <w:t>10</w:t>
            </w:r>
          </w:p>
        </w:tc>
        <w:tc>
          <w:tcPr>
            <w:tcW w:type="dxa" w:w="5814"/>
          </w:tcPr>
          <w:p>
            <w:pPr>
              <w:pStyle w:val="null3"/>
            </w:pPr>
            <w:r>
              <w:rPr>
                <w:sz w:val="21"/>
              </w:rPr>
              <w:t>（</w:t>
            </w:r>
            <w:r>
              <w:rPr>
                <w:sz w:val="21"/>
              </w:rPr>
              <w:t>2）生活配套协调：积极协助协调小区周边学校、菜市场、超市、医院、银行等生活配套资源的使用，为教职工日常生活提供便利。</w:t>
            </w:r>
          </w:p>
        </w:tc>
      </w:tr>
      <w:tr>
        <w:tc>
          <w:tcPr>
            <w:tcW w:type="dxa" w:w="2076"/>
          </w:tcPr>
          <w:p/>
        </w:tc>
        <w:tc>
          <w:tcPr>
            <w:tcW w:type="dxa" w:w="415"/>
          </w:tcPr>
          <w:p>
            <w:pPr>
              <w:pStyle w:val="null3"/>
            </w:pPr>
            <w:r>
              <w:rPr/>
              <w:t>11</w:t>
            </w:r>
          </w:p>
        </w:tc>
        <w:tc>
          <w:tcPr>
            <w:tcW w:type="dxa" w:w="5814"/>
          </w:tcPr>
          <w:p>
            <w:pPr>
              <w:pStyle w:val="null3"/>
            </w:pPr>
            <w:r>
              <w:rPr>
                <w:sz w:val="21"/>
              </w:rPr>
              <w:t>（</w:t>
            </w:r>
            <w:r>
              <w:rPr>
                <w:sz w:val="21"/>
              </w:rPr>
              <w:t>3）信息公示服务：在小区显著位置设立固定公示栏，定期公示物业服务内容、收费标准、维修基金使用情况、投诉处理结果等信息，主动接受教职工监督。</w:t>
            </w:r>
          </w:p>
        </w:tc>
      </w:tr>
      <w:tr>
        <w:tc>
          <w:tcPr>
            <w:tcW w:type="dxa" w:w="2076"/>
          </w:tcPr>
          <w:p/>
        </w:tc>
        <w:tc>
          <w:tcPr>
            <w:tcW w:type="dxa" w:w="415"/>
          </w:tcPr>
          <w:p>
            <w:pPr>
              <w:pStyle w:val="null3"/>
            </w:pPr>
            <w:r>
              <w:rPr/>
              <w:t>12</w:t>
            </w:r>
          </w:p>
        </w:tc>
        <w:tc>
          <w:tcPr>
            <w:tcW w:type="dxa" w:w="5814"/>
          </w:tcPr>
          <w:p>
            <w:pPr>
              <w:pStyle w:val="null3"/>
            </w:pPr>
            <w:r>
              <w:rPr>
                <w:sz w:val="21"/>
              </w:rPr>
              <w:t>四、</w:t>
            </w:r>
            <w:r>
              <w:rPr>
                <w:sz w:val="21"/>
              </w:rPr>
              <w:t>合规与安全服务</w:t>
            </w:r>
            <w:r>
              <w:br/>
            </w:r>
            <w:r>
              <w:rPr>
                <w:sz w:val="21"/>
              </w:rPr>
              <w:t>（</w:t>
            </w:r>
            <w:r>
              <w:rPr>
                <w:sz w:val="21"/>
              </w:rPr>
              <w:t>1）合规运营：严格遵守国家及地方关于住房租赁、物业服务的相关法律法规，依法履行纳税义务，规范开展经营活动；不得擅自改变房屋规划用途，不得向教职工收取合同约定外的任何费用。</w:t>
            </w:r>
          </w:p>
        </w:tc>
      </w:tr>
      <w:tr>
        <w:tc>
          <w:tcPr>
            <w:tcW w:type="dxa" w:w="2076"/>
          </w:tcPr>
          <w:p/>
        </w:tc>
        <w:tc>
          <w:tcPr>
            <w:tcW w:type="dxa" w:w="415"/>
          </w:tcPr>
          <w:p>
            <w:pPr>
              <w:pStyle w:val="null3"/>
            </w:pPr>
            <w:r>
              <w:rPr/>
              <w:t>13</w:t>
            </w:r>
          </w:p>
        </w:tc>
        <w:tc>
          <w:tcPr>
            <w:tcW w:type="dxa" w:w="5814"/>
          </w:tcPr>
          <w:p>
            <w:pPr>
              <w:pStyle w:val="null3"/>
            </w:pPr>
            <w:r>
              <w:rPr>
                <w:sz w:val="21"/>
              </w:rPr>
              <w:t>（</w:t>
            </w:r>
            <w:r>
              <w:rPr>
                <w:sz w:val="21"/>
              </w:rPr>
              <w:t>2）安全管理：建立健全安全管理制度，定期开展消防安全、用电安全、用气安全等专项检查，及时消除安全隐患；制定完善的突发安全事件应急预案，定期组织应急演练，能够妥善处置各类突发安全事件。</w:t>
            </w:r>
          </w:p>
        </w:tc>
      </w:tr>
      <w:tr>
        <w:tc>
          <w:tcPr>
            <w:tcW w:type="dxa" w:w="2076"/>
          </w:tcPr>
          <w:p/>
        </w:tc>
        <w:tc>
          <w:tcPr>
            <w:tcW w:type="dxa" w:w="415"/>
          </w:tcPr>
          <w:p>
            <w:pPr>
              <w:pStyle w:val="null3"/>
            </w:pPr>
            <w:r>
              <w:rPr/>
              <w:t>14</w:t>
            </w:r>
          </w:p>
        </w:tc>
        <w:tc>
          <w:tcPr>
            <w:tcW w:type="dxa" w:w="5814"/>
          </w:tcPr>
          <w:p>
            <w:pPr>
              <w:pStyle w:val="null3"/>
            </w:pPr>
            <w:r>
              <w:rPr>
                <w:sz w:val="21"/>
              </w:rPr>
              <w:t>（</w:t>
            </w:r>
            <w:r>
              <w:rPr>
                <w:sz w:val="21"/>
              </w:rPr>
              <w:t>3）保密义务：对在服务过程中获取的教职工个人信息（身份证号、联系方式、家庭情况等）严格履行保密义务，不得泄露、出售或用于其他非法用途。</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sz w:val="21"/>
              </w:rPr>
              <w:t>五、投标人必须提供书面承诺，房源必须为现楼，一次性交付使用，保证在交接时具有法定出租权，无出让、出租、出借、查封、抵押</w:t>
            </w:r>
            <w:r>
              <w:rPr>
                <w:sz w:val="21"/>
              </w:rPr>
              <w:t>(银行除外)、担保(银行除外)等。中标签订合同后，三年内不得出售、出借或者二次出租等。如违反上述承诺及出现其他影响房源使用情形，需经采购人同意，就近进行更换房源，搬迁费用由投标人承担且按不低于年租金10%的标准支付违约金。（</w:t>
            </w:r>
            <w:r>
              <w:rPr>
                <w:sz w:val="21"/>
              </w:rPr>
              <w:t>提供承诺函</w:t>
            </w:r>
            <w:r>
              <w:rPr>
                <w:sz w:val="21"/>
              </w:rPr>
              <w:t>加盖</w:t>
            </w:r>
            <w:r>
              <w:rPr>
                <w:sz w:val="21"/>
              </w:rPr>
              <w:t>投标人</w:t>
            </w:r>
            <w:r>
              <w:rPr>
                <w:sz w:val="21"/>
              </w:rPr>
              <w:t>公章</w:t>
            </w:r>
            <w:r>
              <w:rPr>
                <w:sz w:val="21"/>
              </w:rPr>
              <w:t>，</w:t>
            </w:r>
            <w:r>
              <w:rPr>
                <w:sz w:val="21"/>
              </w:rPr>
              <w:t>格式自拟。）</w:t>
            </w:r>
          </w:p>
        </w:tc>
      </w:tr>
      <w:tr>
        <w:tc>
          <w:tcPr>
            <w:tcW w:type="dxa" w:w="2076"/>
          </w:tcPr>
          <w:p/>
        </w:tc>
        <w:tc>
          <w:tcPr>
            <w:tcW w:type="dxa" w:w="415"/>
          </w:tcPr>
          <w:p>
            <w:pPr>
              <w:pStyle w:val="null3"/>
            </w:pPr>
            <w:r>
              <w:rPr/>
              <w:t>16</w:t>
            </w:r>
          </w:p>
        </w:tc>
        <w:tc>
          <w:tcPr>
            <w:tcW w:type="dxa" w:w="5814"/>
          </w:tcPr>
          <w:p>
            <w:pPr>
              <w:pStyle w:val="null3"/>
            </w:pPr>
            <w:r>
              <w:rPr>
                <w:sz w:val="21"/>
              </w:rPr>
              <w:t>六、</w:t>
            </w:r>
            <w:r>
              <w:rPr>
                <w:sz w:val="21"/>
              </w:rPr>
              <w:t>其他要求</w:t>
            </w:r>
            <w:r>
              <w:br/>
            </w:r>
            <w:r>
              <w:rPr>
                <w:sz w:val="21"/>
              </w:rPr>
              <w:t>（</w:t>
            </w:r>
            <w:r>
              <w:rPr>
                <w:sz w:val="21"/>
              </w:rPr>
              <w:t>1）中标人需依法按期申报缴纳不动产租赁环节所涉及的税费。</w:t>
            </w:r>
          </w:p>
        </w:tc>
      </w:tr>
      <w:tr>
        <w:tc>
          <w:tcPr>
            <w:tcW w:type="dxa" w:w="2076"/>
          </w:tcPr>
          <w:p/>
        </w:tc>
        <w:tc>
          <w:tcPr>
            <w:tcW w:type="dxa" w:w="415"/>
          </w:tcPr>
          <w:p>
            <w:pPr>
              <w:pStyle w:val="null3"/>
            </w:pPr>
            <w:r>
              <w:rPr/>
              <w:t>17</w:t>
            </w:r>
          </w:p>
        </w:tc>
        <w:tc>
          <w:tcPr>
            <w:tcW w:type="dxa" w:w="5814"/>
          </w:tcPr>
          <w:p>
            <w:pPr>
              <w:pStyle w:val="null3"/>
            </w:pPr>
            <w:r>
              <w:rPr>
                <w:sz w:val="21"/>
              </w:rPr>
              <w:t>（</w:t>
            </w:r>
            <w:r>
              <w:rPr>
                <w:sz w:val="21"/>
              </w:rPr>
              <w:t>2）合同租赁期内，该房产的物业管理费、停车费、水电费、煤气费、网络通讯费等由采购人或采购人分配的房屋实际使用人全额承担。其中物业管理费用从华南师范大学向教职工收取的人才周转房管理服务费专项账户中支出，由华南师范大学统一缴纳，入住的教职工不再另外缴纳。</w:t>
            </w:r>
          </w:p>
        </w:tc>
      </w:tr>
      <w:tr>
        <w:tc>
          <w:tcPr>
            <w:tcW w:type="dxa" w:w="2076"/>
          </w:tcPr>
          <w:p/>
        </w:tc>
        <w:tc>
          <w:tcPr>
            <w:tcW w:type="dxa" w:w="415"/>
          </w:tcPr>
          <w:p>
            <w:pPr>
              <w:pStyle w:val="null3"/>
            </w:pPr>
            <w:r>
              <w:rPr/>
              <w:t>18</w:t>
            </w:r>
          </w:p>
        </w:tc>
        <w:tc>
          <w:tcPr>
            <w:tcW w:type="dxa" w:w="5814"/>
          </w:tcPr>
          <w:p>
            <w:pPr>
              <w:pStyle w:val="null3"/>
            </w:pPr>
            <w:r>
              <w:rPr>
                <w:sz w:val="21"/>
              </w:rPr>
              <w:t>（</w:t>
            </w:r>
            <w:r>
              <w:rPr>
                <w:sz w:val="21"/>
              </w:rPr>
              <w:t>3）水电费、煤气费按政府相关部门收费标准收取，根据实际使用量由采购人单位分配的</w:t>
            </w:r>
            <w:r>
              <w:rPr>
                <w:sz w:val="21"/>
              </w:rPr>
              <w:t>入住的教职工</w:t>
            </w:r>
            <w:r>
              <w:rPr>
                <w:sz w:val="21"/>
              </w:rPr>
              <w:t>按月支付给相应政府部门或由物业公司代收代缴。</w:t>
            </w:r>
          </w:p>
        </w:tc>
      </w:tr>
      <w:tr>
        <w:tc>
          <w:tcPr>
            <w:tcW w:type="dxa" w:w="2076"/>
          </w:tcPr>
          <w:p/>
        </w:tc>
        <w:tc>
          <w:tcPr>
            <w:tcW w:type="dxa" w:w="415"/>
          </w:tcPr>
          <w:p>
            <w:pPr>
              <w:pStyle w:val="null3"/>
            </w:pPr>
            <w:r>
              <w:rPr/>
              <w:t>19</w:t>
            </w:r>
          </w:p>
        </w:tc>
        <w:tc>
          <w:tcPr>
            <w:tcW w:type="dxa" w:w="5814"/>
          </w:tcPr>
          <w:p>
            <w:pPr>
              <w:pStyle w:val="null3"/>
            </w:pPr>
            <w:r>
              <w:rPr>
                <w:sz w:val="21"/>
              </w:rPr>
              <w:t>（</w:t>
            </w:r>
            <w:r>
              <w:rPr>
                <w:sz w:val="21"/>
              </w:rPr>
              <w:t>4）采购人单位或其分配的房屋实际使用人无需缴纳租房押金。</w:t>
            </w:r>
          </w:p>
        </w:tc>
      </w:tr>
      <w:tr>
        <w:tc>
          <w:tcPr>
            <w:tcW w:type="dxa" w:w="2076"/>
          </w:tcPr>
          <w:p/>
        </w:tc>
        <w:tc>
          <w:tcPr>
            <w:tcW w:type="dxa" w:w="415"/>
          </w:tcPr>
          <w:p>
            <w:pPr>
              <w:pStyle w:val="null3"/>
            </w:pPr>
            <w:r>
              <w:rPr/>
              <w:t>20</w:t>
            </w:r>
          </w:p>
        </w:tc>
        <w:tc>
          <w:tcPr>
            <w:tcW w:type="dxa" w:w="5814"/>
          </w:tcPr>
          <w:p>
            <w:pPr>
              <w:pStyle w:val="null3"/>
            </w:pPr>
            <w:r>
              <w:rPr>
                <w:sz w:val="21"/>
              </w:rPr>
              <w:t>（</w:t>
            </w:r>
            <w:r>
              <w:rPr>
                <w:sz w:val="21"/>
              </w:rPr>
              <w:t>5）中标人应按照与采购人约定的的房屋设备清单，在合同约定的时间组织现场验收交付。若中标人未按合同约定时间向采购人交付房产，采购人无需支付延迟期间的租金，且租赁期限相应顺延。</w:t>
            </w:r>
          </w:p>
        </w:tc>
      </w:tr>
      <w:tr>
        <w:tc>
          <w:tcPr>
            <w:tcW w:type="dxa" w:w="2076"/>
          </w:tcPr>
          <w:p/>
        </w:tc>
        <w:tc>
          <w:tcPr>
            <w:tcW w:type="dxa" w:w="415"/>
          </w:tcPr>
          <w:p>
            <w:pPr>
              <w:pStyle w:val="null3"/>
            </w:pPr>
            <w:r>
              <w:rPr/>
              <w:t>21</w:t>
            </w:r>
          </w:p>
        </w:tc>
        <w:tc>
          <w:tcPr>
            <w:tcW w:type="dxa" w:w="5814"/>
          </w:tcPr>
          <w:p>
            <w:pPr>
              <w:pStyle w:val="null3"/>
            </w:pPr>
            <w:r>
              <w:rPr>
                <w:sz w:val="21"/>
              </w:rPr>
              <w:t>（</w:t>
            </w:r>
            <w:r>
              <w:rPr>
                <w:sz w:val="21"/>
              </w:rPr>
              <w:t>6</w:t>
            </w:r>
            <w:r>
              <w:rPr>
                <w:sz w:val="21"/>
              </w:rPr>
              <w:t>）</w:t>
            </w:r>
            <w:r>
              <w:rPr>
                <w:sz w:val="21"/>
              </w:rPr>
              <w:t>由于中标人因建筑结构、建筑质量、装修质量、消防安保等原因，如：租用期间若因消防系统不能正常运行，物业安保管理等问题，导致发生火灾，造成财产损失、人身伤亡由中标人承担一切责任并赔偿采购人损失。（提供承诺函，格式自拟，加盖</w:t>
            </w:r>
            <w:r>
              <w:rPr>
                <w:sz w:val="21"/>
              </w:rPr>
              <w:t>投标人</w:t>
            </w:r>
            <w:r>
              <w:rPr>
                <w:sz w:val="21"/>
              </w:rPr>
              <w:t>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华南师范大学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华南师范大学汕尾校区2026-2029年人才周转房租赁服务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采购包1（华南师范大学汕尾校区2026-2029年人才周转房租赁服务采购）：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采购包1（华南师范大学汕尾校区2026-2029年人才周转房租赁服务采购）：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采购包1（华南师范大学汕尾校区2026-2029年人才周转房租赁服务采购）：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采购包1(华南师范大学汕尾校区2026-2029年人才周转房租赁服务采购):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技术(参数)要求响应 (16.0分)</w:t>
            </w:r>
          </w:p>
        </w:tc>
        <w:tc>
          <w:tcPr>
            <w:tcW w:type="dxa" w:w="5076"/>
          </w:tcPr>
          <w:p>
            <w:pPr>
              <w:pStyle w:val="null3"/>
              <w:jc w:val="left"/>
            </w:pPr>
            <w:r>
              <w:rPr/>
              <w:t>（一）根据投标人对本项目采购需求中重要技术参数（“▲”）的响应情况进行评审：重要技术参数（“▲”）共3项，每一项完全满足或优于参数要求得2.5分，本小项最高得7.5分。 （二）根据投标人对本项目采购需求中未标注“★”及“▲”的技术参数要求响应情况进行评审：未标注“★”“▲”的技术参数（共17项），每一项完全满足或优于参数要求得0.5分，本小项最高得8.5分。 注：（以《技术和服务要求响应表》的“是否偏离”作为评审依据，如采购需求中明确要求提供佐证，未按要求提供相关证明材料的视为视为不满足。</w:t>
            </w:r>
          </w:p>
        </w:tc>
      </w:tr>
      <w:tr>
        <w:tc>
          <w:tcPr>
            <w:tcW w:type="dxa" w:w="922"/>
            <w:gridSpan w:val="2"/>
            <w:vMerge/>
          </w:tcPr>
          <w:p/>
        </w:tc>
        <w:tc>
          <w:tcPr>
            <w:tcW w:type="dxa" w:w="2307"/>
          </w:tcPr>
          <w:p>
            <w:pPr>
              <w:pStyle w:val="null3"/>
              <w:jc w:val="left"/>
            </w:pPr>
            <w:r>
              <w:rPr/>
              <w:t>房源情况介绍 (12.0分)</w:t>
            </w:r>
          </w:p>
        </w:tc>
        <w:tc>
          <w:tcPr>
            <w:tcW w:type="dxa" w:w="5076"/>
          </w:tcPr>
          <w:p>
            <w:pPr>
              <w:pStyle w:val="null3"/>
              <w:jc w:val="left"/>
            </w:pPr>
            <w:r>
              <w:rPr/>
              <w:t>对投标人根据采购需求“房源标准”提供的房源情况介绍（包括但不限于房屋格局、装饰装修、配套设施等）进行评审： 1.房屋格局设计新颖舒适，装饰装修精致，配套设施齐全、布局合理，房屋周边配套设施介绍详细全面，完全满足或优于采购需求，得12分； 2.房屋格局设计基本合理，装饰装修简单，配套设施基本齐全、布局基本合理，房屋周边配套设施介绍基本详细，基本满足采购需求，得7分； 3.房屋格局设计普通，装饰装修效果一般，配套设施不够完善，存在不足，房屋周边配套设施介绍简单，不满足采购需求，得2分； 4.有房源情况介绍描述，但未涵盖上述所有内容，得1分； 5.没有提供房源情况介绍的，不得分。 注：须提供房屋环境的图片，不提供不得分。</w:t>
            </w:r>
          </w:p>
        </w:tc>
      </w:tr>
      <w:tr>
        <w:tc>
          <w:tcPr>
            <w:tcW w:type="dxa" w:w="922"/>
            <w:gridSpan w:val="2"/>
            <w:vMerge/>
          </w:tcPr>
          <w:p/>
        </w:tc>
        <w:tc>
          <w:tcPr>
            <w:tcW w:type="dxa" w:w="2307"/>
          </w:tcPr>
          <w:p>
            <w:pPr>
              <w:pStyle w:val="null3"/>
              <w:jc w:val="left"/>
            </w:pPr>
            <w:r>
              <w:rPr/>
              <w:t>居住便利性 (18.0分)</w:t>
            </w:r>
          </w:p>
        </w:tc>
        <w:tc>
          <w:tcPr>
            <w:tcW w:type="dxa" w:w="5076"/>
          </w:tcPr>
          <w:p>
            <w:pPr>
              <w:pStyle w:val="null3"/>
              <w:jc w:val="left"/>
            </w:pPr>
            <w:r>
              <w:rPr/>
              <w:t>一、根据投标人提供的居住房距离华南师范大学汕尾校区东门（正门）(汕尾市城区马宫街道香江大道西55号)的距离进行评审： 1.单程自驾10分钟内（含10分钟）到达目的地的，得10分； 2.单程自驾10分钟-16分钟内（含16分钟）到达目的地的，得6分； 3.单程自驾16分钟-25分钟内（含25分钟）到达目的地的，得2分； 4.单程自驾超过25分钟（不含25分钟）到达目的地的，得1分； 5.未提供不得分。 注：提供承诺函，格式自拟，不提供不得分。 二、提供的居住房全部在同一小区且集中在同一栋得8分；在同一小区且集中在两栋楼得5分；在同一小区非同一栋或两栋楼得2分；非同一小区不得分。 注：提供具体位置布局图并加盖公章，不提供不得分。</w:t>
            </w:r>
          </w:p>
        </w:tc>
      </w:tr>
      <w:tr>
        <w:tc>
          <w:tcPr>
            <w:tcW w:type="dxa" w:w="922"/>
            <w:gridSpan w:val="2"/>
            <w:vMerge/>
          </w:tcPr>
          <w:p/>
        </w:tc>
        <w:tc>
          <w:tcPr>
            <w:tcW w:type="dxa" w:w="2307"/>
          </w:tcPr>
          <w:p>
            <w:pPr>
              <w:pStyle w:val="null3"/>
              <w:jc w:val="left"/>
            </w:pPr>
            <w:r>
              <w:rPr/>
              <w:t>公共秩序维护方案 (6.0分)</w:t>
            </w:r>
          </w:p>
        </w:tc>
        <w:tc>
          <w:tcPr>
            <w:tcW w:type="dxa" w:w="5076"/>
          </w:tcPr>
          <w:p>
            <w:pPr>
              <w:pStyle w:val="null3"/>
              <w:jc w:val="left"/>
            </w:pPr>
            <w:r>
              <w:rPr/>
              <w:t>对投标人根据采购需求“公共秩序维护”提供的公共秩序维护方案（包括但不限于安保巡逻制度、安保设备和人员配备情况等）进行评审： 1.服务方案详细，完全满足或优于采购需求，得6分； 2.服务方案合理，基本满足采购需求，得4分； 3.服务方案一般，不满足采购需求，得2分； 4.提供服务方案，但未涵盖上述所有内容，得1分； 5.未提供不得分。</w:t>
            </w:r>
          </w:p>
        </w:tc>
      </w:tr>
      <w:tr>
        <w:tc>
          <w:tcPr>
            <w:tcW w:type="dxa" w:w="922"/>
            <w:gridSpan w:val="2"/>
            <w:vMerge/>
          </w:tcPr>
          <w:p/>
        </w:tc>
        <w:tc>
          <w:tcPr>
            <w:tcW w:type="dxa" w:w="2307"/>
          </w:tcPr>
          <w:p>
            <w:pPr>
              <w:pStyle w:val="null3"/>
              <w:jc w:val="left"/>
            </w:pPr>
            <w:r>
              <w:rPr/>
              <w:t>环境卫生维护方案 (6.0分)</w:t>
            </w:r>
          </w:p>
        </w:tc>
        <w:tc>
          <w:tcPr>
            <w:tcW w:type="dxa" w:w="5076"/>
          </w:tcPr>
          <w:p>
            <w:pPr>
              <w:pStyle w:val="null3"/>
              <w:jc w:val="left"/>
            </w:pPr>
            <w:r>
              <w:rPr/>
              <w:t>对投标人根据采购需求“环境卫生维护”提供的环境卫生维护方案（包括但不限于公共区域的清洁消毒、垃圾回收方案、绿化维护等）进行评审： 1.服务方案详细，完全满足或优于采购需求，得6分； 2.服务方案合理，基本满足采购需求，得4分； 3.服务方案一般，不满足采购需求，得2分； 4.提供服务方案，但未涵盖上述所有内容，得1分； 5.未提供不得分。</w:t>
            </w:r>
          </w:p>
        </w:tc>
      </w:tr>
      <w:tr>
        <w:tc>
          <w:tcPr>
            <w:tcW w:type="dxa" w:w="922"/>
            <w:gridSpan w:val="2"/>
            <w:vMerge/>
          </w:tcPr>
          <w:p/>
        </w:tc>
        <w:tc>
          <w:tcPr>
            <w:tcW w:type="dxa" w:w="2307"/>
          </w:tcPr>
          <w:p>
            <w:pPr>
              <w:pStyle w:val="null3"/>
              <w:jc w:val="left"/>
            </w:pPr>
            <w:r>
              <w:rPr/>
              <w:t>维修维护服务方案 (6.0分)</w:t>
            </w:r>
          </w:p>
        </w:tc>
        <w:tc>
          <w:tcPr>
            <w:tcW w:type="dxa" w:w="5076"/>
          </w:tcPr>
          <w:p>
            <w:pPr>
              <w:pStyle w:val="null3"/>
              <w:jc w:val="left"/>
            </w:pPr>
            <w:r>
              <w:rPr/>
              <w:t>对投标人根据采购需求“维修维护服务”提供的维修维护服务方案（包括但不限于维修响应机制、维修台账的建立、停电停水、台风暴雨、人群疏散等紧急情况等）进行评审： 1.服务方案详细，完全满足或优于采购需求，得6分； 2.服务方案合理，基本满足采购需求，得4分； 3.服务方案一般，不满足采购需求，得2分； 4.提供服务方案，但未涵盖上述所有内容，得1分； 5.未提供不得分。</w:t>
            </w:r>
          </w:p>
        </w:tc>
      </w:tr>
      <w:tr>
        <w:tc>
          <w:tcPr>
            <w:tcW w:type="dxa" w:w="922"/>
            <w:gridSpan w:val="2"/>
            <w:vMerge/>
          </w:tcPr>
          <w:p/>
        </w:tc>
        <w:tc>
          <w:tcPr>
            <w:tcW w:type="dxa" w:w="2307"/>
          </w:tcPr>
          <w:p>
            <w:pPr>
              <w:pStyle w:val="null3"/>
              <w:jc w:val="left"/>
            </w:pPr>
            <w:r>
              <w:rPr/>
              <w:t>投诉处理服务方案 (6.0分)</w:t>
            </w:r>
          </w:p>
        </w:tc>
        <w:tc>
          <w:tcPr>
            <w:tcW w:type="dxa" w:w="5076"/>
          </w:tcPr>
          <w:p>
            <w:pPr>
              <w:pStyle w:val="null3"/>
              <w:jc w:val="left"/>
            </w:pPr>
            <w:r>
              <w:rPr/>
              <w:t>对投标人根据采购需求“投诉处理服务”提供的投诉处理服务方案（包括但不限于健全投诉处理机制、投诉处理的响应时间等）进行评审： 1.服务方案详细，完全满足或优于采购需求，得6分； 2.服务方案合理，基本满足采购需求，得4分； 3.服务方案一般，不满足采购需求，得2分； 4.提供服务方案，但未涵盖上述所有内容，得1分； 5.未提供不得分。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业绩经验 (10.0分)</w:t>
            </w:r>
          </w:p>
        </w:tc>
        <w:tc>
          <w:tcPr>
            <w:tcW w:type="dxa" w:w="5076"/>
          </w:tcPr>
          <w:p>
            <w:pPr>
              <w:pStyle w:val="null3"/>
              <w:jc w:val="left"/>
            </w:pPr>
            <w:r>
              <w:rPr/>
              <w:t>根据投标人2023年1月1日（以合同签订时间为准）至今具有同类（物业租赁或房屋租赁或公寓租赁相关项目）项目业绩，每提供一个业绩的，得2.5分，最高得10分。 注：提供租赁合同复印件、合同期内发票作为证明材料，不提供的不得分。（须提供合同复印件加盖投标人公章）</w:t>
            </w:r>
          </w:p>
        </w:tc>
      </w:tr>
      <w:tr>
        <w:tc>
          <w:tcPr>
            <w:tcW w:type="dxa" w:w="922"/>
            <w:gridSpan w:val="2"/>
            <w:vMerge/>
          </w:tcPr>
          <w:p/>
        </w:tc>
        <w:tc>
          <w:tcPr>
            <w:tcW w:type="dxa" w:w="2307"/>
          </w:tcPr>
          <w:p>
            <w:pPr>
              <w:pStyle w:val="null3"/>
              <w:jc w:val="left"/>
            </w:pPr>
            <w:r>
              <w:rPr/>
              <w:t>住房保障服务方案 (10.0分)</w:t>
            </w:r>
          </w:p>
        </w:tc>
        <w:tc>
          <w:tcPr>
            <w:tcW w:type="dxa" w:w="5076"/>
          </w:tcPr>
          <w:p>
            <w:pPr>
              <w:pStyle w:val="null3"/>
              <w:jc w:val="left"/>
            </w:pPr>
            <w:r>
              <w:rPr/>
              <w:t>对投标人根据采购需求“住房保障服务”提供的住房保障服务方案（包括但不限于设施设备验收方案、设施设备检修方案等）进行评审： 1.服务方案详细，完全满足或优于采购需求，得10分； 2.服务方案合理，基本满足采购需求，得6分； 3.服务方案一般，不满足采购需求，得2分； 4.提供服务方案，但未涵盖上述所有内容，得1分； 5.未提供不得分。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440001-2026-25716</w:t>
      </w:r>
    </w:p>
    <w:p>
      <w:pPr>
        <w:pStyle w:val="null3"/>
        <w:jc w:val="center"/>
        <w:outlineLvl w:val="3"/>
      </w:pPr>
      <w:r>
        <w:rPr>
          <w:sz w:val="24"/>
          <w:b/>
        </w:rPr>
        <w:t>采购项目编号：</w:t>
      </w:r>
      <w:r>
        <w:rPr>
          <w:sz w:val="24"/>
          <w:b/>
        </w:rPr>
        <w:t>0877-26GZTP4ZC0491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华南师范大学汕尾校区2026-2029年人才周转房租赁服务采购项目</w:t>
      </w:r>
      <w:r>
        <w:rPr>
          <w:u w:val="single"/>
        </w:rPr>
        <w:t>”</w:t>
      </w:r>
      <w:r>
        <w:rPr/>
        <w:t>项目的招标[采购项目编号为：</w:t>
      </w:r>
      <w:r>
        <w:rPr>
          <w:u w:val="single"/>
        </w:rPr>
        <w:t>0877-26GZTP4ZC0491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华南师范大学汕尾校区2026-2029年人才周转房租赁服务采购项目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华南师范大学汕尾校区2026-2029年人才周转房租赁服务采购项目</w:t>
      </w:r>
      <w:r>
        <w:rPr/>
        <w:t>”项目采购[采购项目编号为</w:t>
      </w:r>
      <w:r>
        <w:rPr/>
        <w:t>0877-26GZTP4ZC0491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华南师范大学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华南师范大学汕尾校区2026-2029年人才周转房租赁服务采购项目</w:t>
      </w:r>
      <w:r>
        <w:rPr/>
        <w:t>招标中获中标（采购项目编号：</w:t>
      </w:r>
      <w:r>
        <w:rPr/>
        <w:t>0877-26GZTP4ZC0491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华南师范大学汕尾校区2026-2029年人才周转房租赁服务采购项目</w:t>
      </w:r>
      <w:r>
        <w:rPr/>
        <w:t>”项目（采购项目编号：</w:t>
      </w:r>
      <w:r>
        <w:rPr/>
        <w:t>0877-26GZTP4ZC0491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