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DC257">
      <w:pPr>
        <w:rPr>
          <w:rFonts w:ascii="仿宋" w:hAnsi="仿宋" w:eastAsia="仿宋" w:cs="Helvetica Neue"/>
          <w:b/>
          <w:color w:val="000000" w:themeColor="text1"/>
          <w:kern w:val="0"/>
          <w:sz w:val="32"/>
          <w:szCs w:val="32"/>
          <w14:textFill>
            <w14:solidFill>
              <w14:schemeClr w14:val="tx1"/>
            </w14:solidFill>
          </w14:textFill>
        </w:rPr>
        <w:sectPr>
          <w:headerReference r:id="rId3" w:type="default"/>
          <w:footerReference r:id="rId4" w:type="default"/>
          <w:pgSz w:w="11900" w:h="16840"/>
          <w:pgMar w:top="1440" w:right="1800" w:bottom="1440" w:left="1800" w:header="851" w:footer="992" w:gutter="0"/>
          <w:cols w:space="425" w:num="1"/>
          <w:docGrid w:type="lines" w:linePitch="312" w:charSpace="0"/>
        </w:sectPr>
      </w:pPr>
    </w:p>
    <w:p w14:paraId="020C63DE">
      <w:pPr>
        <w:jc w:val="center"/>
        <w:rPr>
          <w:rFonts w:hint="eastAsia" w:ascii="黑体" w:hAnsi="黑体" w:eastAsia="黑体"/>
          <w:sz w:val="44"/>
          <w:szCs w:val="44"/>
          <w:lang w:eastAsia="zh-CN"/>
        </w:rPr>
      </w:pPr>
      <w:r>
        <w:rPr>
          <w:rFonts w:hint="eastAsia" w:ascii="黑体" w:hAnsi="黑体" w:eastAsia="黑体"/>
          <w:sz w:val="44"/>
          <w:szCs w:val="44"/>
        </w:rPr>
        <w:t>采购需求</w:t>
      </w:r>
    </w:p>
    <w:p w14:paraId="44118677">
      <w:pPr>
        <w:numPr>
          <w:ilvl w:val="0"/>
          <w:numId w:val="0"/>
        </w:numPr>
        <w:spacing w:line="360" w:lineRule="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采购项目需实现的功能和目标：</w:t>
      </w:r>
    </w:p>
    <w:p w14:paraId="1AD66FED">
      <w:pPr>
        <w:numPr>
          <w:ilvl w:val="0"/>
          <w:numId w:val="0"/>
        </w:numPr>
        <w:spacing w:line="360" w:lineRule="auto"/>
        <w:ind w:firstLine="640" w:firstLineChars="200"/>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动态监测广州市邻近海域海水、海洋生物中放射性核素水平，全面、准确把握我市邻近海域放射性核素分布情况，及时发现并应对可能存在的放射性污染风险，保障公众健康和环境安全。</w:t>
      </w:r>
    </w:p>
    <w:p w14:paraId="597A586D">
      <w:pPr>
        <w:rPr>
          <w:b w:val="0"/>
          <w:bCs w:val="0"/>
          <w:color w:val="auto"/>
        </w:rPr>
        <w:sectPr>
          <w:headerReference r:id="rId5" w:type="default"/>
          <w:footerReference r:id="rId6" w:type="default"/>
          <w:type w:val="continuous"/>
          <w:pgSz w:w="11900" w:h="16840"/>
          <w:pgMar w:top="1440" w:right="1800" w:bottom="1440" w:left="1800" w:header="851" w:footer="992" w:gutter="0"/>
          <w:pgNumType w:start="1"/>
          <w:cols w:space="425" w:num="1"/>
          <w:docGrid w:type="lines" w:linePitch="312" w:charSpace="0"/>
        </w:sectPr>
      </w:pPr>
    </w:p>
    <w:p w14:paraId="564F72F3">
      <w:pPr>
        <w:spacing w:line="360" w:lineRule="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技术要求与商务要求</w:t>
      </w:r>
    </w:p>
    <w:p w14:paraId="47DE905F">
      <w:pPr>
        <w:spacing w:line="360" w:lineRule="auto"/>
        <w:rPr>
          <w:rFonts w:hint="eastAsia" w:ascii="仿宋" w:hAnsi="仿宋" w:eastAsia="仿宋"/>
          <w:b w:val="0"/>
          <w:bCs w:val="0"/>
          <w:color w:val="auto"/>
          <w:sz w:val="32"/>
          <w:szCs w:val="32"/>
        </w:rPr>
      </w:pPr>
      <w:r>
        <w:rPr>
          <w:rFonts w:hint="eastAsia" w:ascii="仿宋" w:hAnsi="仿宋" w:eastAsia="仿宋"/>
          <w:b w:val="0"/>
          <w:bCs w:val="0"/>
          <w:color w:val="auto"/>
          <w:sz w:val="32"/>
          <w:szCs w:val="40"/>
        </w:rPr>
        <w:t>（</w:t>
      </w:r>
      <w:r>
        <w:rPr>
          <w:rFonts w:hint="eastAsia" w:ascii="仿宋" w:hAnsi="仿宋" w:eastAsia="仿宋"/>
          <w:b w:val="0"/>
          <w:bCs w:val="0"/>
          <w:color w:val="auto"/>
          <w:sz w:val="32"/>
          <w:szCs w:val="40"/>
          <w:lang w:val="en-US" w:eastAsia="zh-CN"/>
        </w:rPr>
        <w:t>1</w:t>
      </w:r>
      <w:r>
        <w:rPr>
          <w:rFonts w:hint="eastAsia" w:ascii="仿宋" w:hAnsi="仿宋" w:eastAsia="仿宋"/>
          <w:b w:val="0"/>
          <w:bCs w:val="0"/>
          <w:color w:val="auto"/>
          <w:sz w:val="32"/>
          <w:szCs w:val="40"/>
        </w:rPr>
        <w:t>）技术要求</w:t>
      </w:r>
      <w:r>
        <w:rPr>
          <w:rFonts w:hint="eastAsia" w:ascii="仿宋" w:hAnsi="仿宋" w:eastAsia="仿宋"/>
          <w:b w:val="0"/>
          <w:bCs w:val="0"/>
          <w:color w:val="auto"/>
          <w:sz w:val="32"/>
          <w:szCs w:val="32"/>
        </w:rPr>
        <w:t>：</w:t>
      </w:r>
    </w:p>
    <w:p w14:paraId="4BF63B1A">
      <w:pPr>
        <w:numPr>
          <w:ilvl w:val="0"/>
          <w:numId w:val="0"/>
        </w:numPr>
        <w:rPr>
          <w:rFonts w:hint="default" w:ascii="仿宋" w:hAnsi="仿宋" w:eastAsia="仿宋" w:cs="仿宋"/>
          <w:b w:val="0"/>
          <w:bCs w:val="0"/>
          <w:color w:val="auto"/>
          <w:kern w:val="2"/>
          <w:sz w:val="30"/>
          <w:szCs w:val="30"/>
          <w:lang w:val="en-US" w:eastAsia="zh-CN" w:bidi="ar-SA"/>
        </w:rPr>
      </w:pPr>
      <w:r>
        <w:rPr>
          <w:rFonts w:hint="eastAsia" w:ascii="仿宋" w:hAnsi="仿宋" w:eastAsia="仿宋" w:cs="仿宋"/>
          <w:b w:val="0"/>
          <w:bCs w:val="0"/>
          <w:color w:val="auto"/>
          <w:kern w:val="2"/>
          <w:sz w:val="30"/>
          <w:szCs w:val="30"/>
          <w:lang w:val="en-US" w:eastAsia="zh-CN" w:bidi="ar-SA"/>
        </w:rPr>
        <w:t>（一）、采样点及采样量要求：</w:t>
      </w:r>
    </w:p>
    <w:p w14:paraId="34F876D7">
      <w:pPr>
        <w:numPr>
          <w:ilvl w:val="0"/>
          <w:numId w:val="0"/>
        </w:numPr>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kern w:val="2"/>
          <w:sz w:val="30"/>
          <w:szCs w:val="30"/>
          <w:lang w:val="en-US" w:eastAsia="zh-CN" w:bidi="ar-SA"/>
        </w:rPr>
        <w:t>1.</w:t>
      </w:r>
      <w:r>
        <w:rPr>
          <w:rFonts w:hint="eastAsia" w:ascii="仿宋" w:hAnsi="仿宋" w:eastAsia="仿宋" w:cs="仿宋"/>
          <w:b w:val="0"/>
          <w:bCs w:val="0"/>
          <w:color w:val="auto"/>
          <w:sz w:val="30"/>
          <w:szCs w:val="30"/>
          <w:lang w:val="en-US" w:eastAsia="zh-CN"/>
        </w:rPr>
        <w:t>在番禺区莲花山海域、南沙区虎门大桥海域及南沙十九涌海域各设置3个海水采样站位，每个站位采集至少100L海水样品；</w:t>
      </w:r>
    </w:p>
    <w:p w14:paraId="77A59633">
      <w:pPr>
        <w:pStyle w:val="2"/>
        <w:numPr>
          <w:ilvl w:val="0"/>
          <w:numId w:val="0"/>
        </w:numPr>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2.在番禺区莲花山海域、南沙区虎门大桥海域及南沙十九涌海域采集不少于10种鱼类、虾类、贝类、蟹类和头足类样品，约250kg鲜样，包括养殖区定点采购和近海捕捞样品采集及后续鉴定；</w:t>
      </w:r>
    </w:p>
    <w:p w14:paraId="44FEAAD8">
      <w:pPr>
        <w:spacing w:line="360" w:lineRule="auto"/>
        <w:rPr>
          <w:rFonts w:hint="default"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（二）、采样质控要求：</w:t>
      </w:r>
    </w:p>
    <w:p w14:paraId="69468785">
      <w:pPr>
        <w:spacing w:line="360" w:lineRule="auto"/>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1.需保障样品溯源信息完整、清晰，并能提供现场采样人员照片、采样记录、GPS 定位截图、采样信息登记表等溯源信息记录。</w:t>
      </w:r>
    </w:p>
    <w:p w14:paraId="15B7C19A">
      <w:pPr>
        <w:pStyle w:val="2"/>
        <w:rPr>
          <w:rFonts w:hint="default" w:ascii="仿宋" w:hAnsi="仿宋" w:eastAsia="仿宋" w:cstheme="minorBidi"/>
          <w:b w:val="0"/>
          <w:bCs w:val="0"/>
          <w:color w:val="auto"/>
          <w:kern w:val="2"/>
          <w:sz w:val="32"/>
          <w:szCs w:val="32"/>
          <w:lang w:val="en-US" w:eastAsia="zh-CN" w:bidi="ar-SA"/>
        </w:rPr>
      </w:pPr>
      <w:r>
        <w:rPr>
          <w:rFonts w:hint="eastAsia" w:ascii="仿宋" w:hAnsi="仿宋" w:eastAsia="仿宋" w:cstheme="minorBidi"/>
          <w:b w:val="0"/>
          <w:bCs w:val="0"/>
          <w:color w:val="auto"/>
          <w:kern w:val="2"/>
          <w:sz w:val="32"/>
          <w:szCs w:val="32"/>
          <w:lang w:val="en-US" w:eastAsia="zh-CN" w:bidi="ar-SA"/>
        </w:rPr>
        <w:t>2.需配合我院技术人员参与样品前处理的技术监督工作。</w:t>
      </w:r>
    </w:p>
    <w:p w14:paraId="06A8ACBE">
      <w:pPr>
        <w:pStyle w:val="2"/>
        <w:rPr>
          <w:rFonts w:hint="eastAsia" w:ascii="仿宋" w:hAnsi="仿宋" w:eastAsia="仿宋" w:cstheme="minorBidi"/>
          <w:b w:val="0"/>
          <w:bCs w:val="0"/>
          <w:color w:val="auto"/>
          <w:kern w:val="2"/>
          <w:sz w:val="32"/>
          <w:szCs w:val="32"/>
          <w:lang w:val="en-US" w:eastAsia="zh-CN" w:bidi="ar-SA"/>
        </w:rPr>
      </w:pPr>
      <w:r>
        <w:rPr>
          <w:rFonts w:hint="eastAsia" w:ascii="仿宋" w:hAnsi="仿宋" w:eastAsia="仿宋" w:cstheme="minorBidi"/>
          <w:b w:val="0"/>
          <w:bCs w:val="0"/>
          <w:color w:val="auto"/>
          <w:kern w:val="2"/>
          <w:sz w:val="32"/>
          <w:szCs w:val="32"/>
          <w:lang w:val="en-US" w:eastAsia="zh-CN" w:bidi="ar-SA"/>
        </w:rPr>
        <w:t>（三）、第三方技术能力要求：</w:t>
      </w:r>
    </w:p>
    <w:p w14:paraId="769894A8">
      <w:pPr>
        <w:pStyle w:val="2"/>
        <w:rPr>
          <w:rFonts w:hint="eastAsia" w:ascii="仿宋" w:hAnsi="仿宋" w:eastAsia="仿宋"/>
          <w:b w:val="0"/>
          <w:bCs w:val="0"/>
          <w:color w:val="auto"/>
          <w:sz w:val="32"/>
          <w:szCs w:val="32"/>
        </w:rPr>
      </w:pPr>
      <w:r>
        <w:rPr>
          <w:rFonts w:hint="eastAsia" w:ascii="仿宋" w:hAnsi="仿宋" w:eastAsia="仿宋"/>
          <w:b w:val="0"/>
          <w:bCs w:val="0"/>
          <w:color w:val="auto"/>
          <w:sz w:val="32"/>
          <w:szCs w:val="32"/>
        </w:rPr>
        <w:t>1.第三方专业技术人员团队具有较好的协调能力，表达流利，熟悉样品采集工作；</w:t>
      </w:r>
    </w:p>
    <w:p w14:paraId="55FFCF99">
      <w:pPr>
        <w:pStyle w:val="2"/>
        <w:rPr>
          <w:rFonts w:hint="eastAsia" w:ascii="仿宋" w:hAnsi="仿宋" w:eastAsia="仿宋"/>
          <w:b w:val="0"/>
          <w:bCs w:val="0"/>
          <w:color w:val="auto"/>
          <w:sz w:val="32"/>
          <w:szCs w:val="32"/>
        </w:rPr>
      </w:pPr>
      <w:r>
        <w:rPr>
          <w:rFonts w:hint="eastAsia" w:ascii="仿宋" w:hAnsi="仿宋" w:eastAsia="仿宋"/>
          <w:b w:val="0"/>
          <w:bCs w:val="0"/>
          <w:color w:val="auto"/>
          <w:sz w:val="32"/>
          <w:szCs w:val="32"/>
          <w:lang w:val="en-US" w:eastAsia="zh-CN"/>
        </w:rPr>
        <w:t>2.需要独立完成样品冻干、贝类去壳等样品前处理工作后再送样</w:t>
      </w:r>
      <w:r>
        <w:rPr>
          <w:rFonts w:hint="eastAsia" w:ascii="仿宋" w:hAnsi="仿宋" w:eastAsia="仿宋"/>
          <w:b w:val="0"/>
          <w:bCs w:val="0"/>
          <w:color w:val="auto"/>
          <w:sz w:val="32"/>
          <w:szCs w:val="32"/>
        </w:rPr>
        <w:t>。</w:t>
      </w:r>
    </w:p>
    <w:p w14:paraId="50469742">
      <w:pPr>
        <w:pStyle w:val="2"/>
        <w:rPr>
          <w:rFonts w:hint="eastAsia" w:ascii="仿宋" w:hAnsi="仿宋" w:eastAsia="仿宋" w:cstheme="minorBidi"/>
          <w:b w:val="0"/>
          <w:bCs w:val="0"/>
          <w:color w:val="auto"/>
          <w:kern w:val="2"/>
          <w:sz w:val="32"/>
          <w:szCs w:val="32"/>
          <w:lang w:val="en-US" w:eastAsia="zh-CN" w:bidi="ar-SA"/>
        </w:rPr>
      </w:pPr>
      <w:r>
        <w:rPr>
          <w:rFonts w:hint="eastAsia" w:ascii="仿宋" w:hAnsi="仿宋" w:eastAsia="仿宋" w:cstheme="minorBidi"/>
          <w:b w:val="0"/>
          <w:bCs w:val="0"/>
          <w:color w:val="auto"/>
          <w:kern w:val="2"/>
          <w:sz w:val="32"/>
          <w:szCs w:val="32"/>
          <w:lang w:val="en-US" w:eastAsia="zh-CN" w:bidi="ar-SA"/>
        </w:rPr>
        <w:t>3.第三方自行解决海水及海产品样品采集所用船舶租赁及能自行保障海上作业能力。</w:t>
      </w:r>
    </w:p>
    <w:p w14:paraId="58483D81">
      <w:r>
        <w:rPr>
          <w:rFonts w:hint="eastAsia" w:ascii="仿宋" w:hAnsi="仿宋" w:eastAsia="仿宋" w:cstheme="minorBidi"/>
          <w:b w:val="0"/>
          <w:bCs w:val="0"/>
          <w:color w:val="auto"/>
          <w:kern w:val="2"/>
          <w:sz w:val="32"/>
          <w:szCs w:val="32"/>
          <w:lang w:val="en-US" w:eastAsia="zh-CN" w:bidi="ar-SA"/>
        </w:rPr>
        <w:t>4.第三方需包含样品运输、冷链保存、冰袋及保温服务等。</w:t>
      </w:r>
    </w:p>
    <w:p w14:paraId="6D726AB5">
      <w:pPr>
        <w:spacing w:line="360" w:lineRule="auto"/>
        <w:rPr>
          <w:rFonts w:hint="eastAsia" w:ascii="仿宋" w:hAnsi="仿宋" w:eastAsia="仿宋"/>
          <w:sz w:val="32"/>
          <w:szCs w:val="40"/>
        </w:rPr>
      </w:pPr>
      <w:r>
        <w:rPr>
          <w:rFonts w:hint="eastAsia" w:ascii="仿宋" w:hAnsi="仿宋" w:eastAsia="仿宋"/>
          <w:sz w:val="32"/>
          <w:szCs w:val="40"/>
          <w:lang w:eastAsia="zh-CN"/>
        </w:rPr>
        <w:t>（</w:t>
      </w:r>
      <w:r>
        <w:rPr>
          <w:rFonts w:hint="eastAsia" w:ascii="仿宋" w:hAnsi="仿宋" w:eastAsia="仿宋"/>
          <w:sz w:val="32"/>
          <w:szCs w:val="40"/>
          <w:lang w:val="en-US" w:eastAsia="zh-CN"/>
        </w:rPr>
        <w:t>2</w:t>
      </w:r>
      <w:r>
        <w:rPr>
          <w:rFonts w:hint="eastAsia" w:ascii="仿宋" w:hAnsi="仿宋" w:eastAsia="仿宋"/>
          <w:sz w:val="32"/>
          <w:szCs w:val="40"/>
          <w:lang w:eastAsia="zh-CN"/>
        </w:rPr>
        <w:t>）</w:t>
      </w:r>
      <w:r>
        <w:rPr>
          <w:rFonts w:hint="eastAsia" w:ascii="仿宋" w:hAnsi="仿宋" w:eastAsia="仿宋"/>
          <w:sz w:val="32"/>
          <w:szCs w:val="40"/>
        </w:rPr>
        <w:t>配置清单</w:t>
      </w:r>
    </w:p>
    <w:p w14:paraId="4D752D64">
      <w:pPr>
        <w:pStyle w:val="2"/>
        <w:keepNext/>
        <w:widowControl w:val="0"/>
        <w:numPr>
          <w:ilvl w:val="0"/>
          <w:numId w:val="0"/>
        </w:numPr>
        <w:ind w:firstLine="640" w:firstLineChars="200"/>
        <w:jc w:val="both"/>
        <w:outlineLvl w:val="2"/>
        <w:rPr>
          <w:rFonts w:hint="eastAsia"/>
        </w:rPr>
      </w:pPr>
      <w:r>
        <w:rPr>
          <w:rFonts w:hint="eastAsia" w:ascii="仿宋" w:hAnsi="仿宋" w:eastAsia="仿宋" w:cs="仿宋"/>
          <w:b w:val="0"/>
          <w:bCs w:val="0"/>
          <w:lang w:val="en-US" w:eastAsia="zh-CN"/>
        </w:rPr>
        <w:t>无</w:t>
      </w:r>
      <w:bookmarkStart w:id="0" w:name="_GoBack"/>
      <w:bookmarkEnd w:id="0"/>
    </w:p>
    <w:p w14:paraId="0B79792D">
      <w:pPr>
        <w:numPr>
          <w:ilvl w:val="0"/>
          <w:numId w:val="0"/>
        </w:numPr>
        <w:spacing w:line="360" w:lineRule="auto"/>
        <w:ind w:leftChars="0"/>
        <w:rPr>
          <w:b w:val="0"/>
          <w:bCs w:val="0"/>
        </w:rPr>
      </w:pPr>
      <w:r>
        <w:rPr>
          <w:rFonts w:hint="eastAsia" w:ascii="仿宋" w:hAnsi="仿宋" w:eastAsia="仿宋"/>
          <w:b w:val="0"/>
          <w:bCs w:val="0"/>
          <w:sz w:val="32"/>
          <w:szCs w:val="32"/>
          <w:lang w:eastAsia="zh-CN"/>
        </w:rPr>
        <w:t>（</w:t>
      </w:r>
      <w:r>
        <w:rPr>
          <w:rFonts w:hint="eastAsia" w:ascii="仿宋" w:hAnsi="仿宋" w:eastAsia="仿宋"/>
          <w:b w:val="0"/>
          <w:bCs w:val="0"/>
          <w:sz w:val="32"/>
          <w:szCs w:val="32"/>
          <w:lang w:val="en-US" w:eastAsia="zh-CN"/>
        </w:rPr>
        <w:t>3</w:t>
      </w:r>
      <w:r>
        <w:rPr>
          <w:rFonts w:hint="eastAsia" w:ascii="仿宋" w:hAnsi="仿宋" w:eastAsia="仿宋"/>
          <w:b w:val="0"/>
          <w:bCs w:val="0"/>
          <w:sz w:val="32"/>
          <w:szCs w:val="32"/>
          <w:lang w:eastAsia="zh-CN"/>
        </w:rPr>
        <w:t>）</w:t>
      </w:r>
      <w:r>
        <w:rPr>
          <w:rFonts w:hint="eastAsia" w:ascii="仿宋" w:hAnsi="仿宋" w:eastAsia="仿宋"/>
          <w:b w:val="0"/>
          <w:bCs w:val="0"/>
          <w:sz w:val="32"/>
          <w:szCs w:val="32"/>
        </w:rPr>
        <w:t>商务要求：</w:t>
      </w:r>
    </w:p>
    <w:p w14:paraId="24438F55">
      <w:pPr>
        <w:pStyle w:val="29"/>
        <w:numPr>
          <w:ilvl w:val="0"/>
          <w:numId w:val="0"/>
        </w:numPr>
        <w:spacing w:line="360" w:lineRule="auto"/>
        <w:ind w:firstLine="640" w:firstLineChars="200"/>
        <w:rPr>
          <w:rFonts w:hint="eastAsia" w:ascii="仿宋" w:hAnsi="仿宋" w:eastAsia="仿宋" w:cstheme="minorBidi"/>
          <w:kern w:val="2"/>
          <w:sz w:val="32"/>
          <w:szCs w:val="40"/>
          <w:lang w:val="en-US" w:eastAsia="zh-CN" w:bidi="ar-SA"/>
        </w:rPr>
      </w:pPr>
      <w:r>
        <w:rPr>
          <w:rFonts w:hint="eastAsia" w:ascii="仿宋" w:hAnsi="仿宋" w:eastAsia="仿宋" w:cstheme="minorBidi"/>
          <w:kern w:val="2"/>
          <w:sz w:val="32"/>
          <w:szCs w:val="40"/>
          <w:lang w:val="en-US" w:eastAsia="zh-CN" w:bidi="ar-SA"/>
        </w:rPr>
        <w:t>1.交货地点：广州市第十二人民医院。</w:t>
      </w:r>
    </w:p>
    <w:p w14:paraId="1EC37B5E">
      <w:pPr>
        <w:pStyle w:val="29"/>
        <w:numPr>
          <w:numId w:val="0"/>
        </w:numPr>
        <w:spacing w:line="360" w:lineRule="auto"/>
        <w:ind w:leftChars="200" w:firstLine="320" w:firstLineChars="100"/>
        <w:rPr>
          <w:rFonts w:hint="eastAsia" w:ascii="仿宋" w:hAnsi="仿宋" w:eastAsia="仿宋" w:cstheme="minorBidi"/>
          <w:kern w:val="2"/>
          <w:sz w:val="32"/>
          <w:szCs w:val="40"/>
          <w:lang w:val="en-US" w:eastAsia="zh-CN" w:bidi="ar-SA"/>
        </w:rPr>
      </w:pPr>
      <w:r>
        <w:rPr>
          <w:rFonts w:hint="eastAsia" w:ascii="仿宋" w:hAnsi="仿宋" w:eastAsia="仿宋" w:cstheme="minorBidi"/>
          <w:kern w:val="2"/>
          <w:sz w:val="32"/>
          <w:szCs w:val="40"/>
          <w:lang w:val="en-US" w:eastAsia="zh-CN" w:bidi="ar-SA"/>
        </w:rPr>
        <w:t>2.付款方式：①合同生效后，乙方向甲方提供合同书、并开具的正规、合法、有效、等额发票，经审核无误后，甲方在具备支付条件5个工作日内支付合同金额的70%；②需在合同生效后30个工作日内完成验收，乙方完成并交付相关技术服务（或验收报告），开具的正规、合法、有效、等额发票，经审核无误后后，甲方在具备支付条件5个工作日内支付合同金额的30%尾款。</w:t>
      </w:r>
    </w:p>
    <w:p w14:paraId="58359499">
      <w:pPr>
        <w:pStyle w:val="29"/>
        <w:numPr>
          <w:ilvl w:val="0"/>
          <w:numId w:val="0"/>
        </w:numPr>
        <w:spacing w:line="360" w:lineRule="auto"/>
        <w:ind w:firstLine="640" w:firstLineChars="200"/>
        <w:rPr>
          <w:rFonts w:hint="default" w:ascii="仿宋" w:hAnsi="仿宋" w:eastAsia="仿宋" w:cstheme="minorBidi"/>
          <w:kern w:val="2"/>
          <w:sz w:val="32"/>
          <w:szCs w:val="40"/>
          <w:lang w:val="en-US" w:eastAsia="zh-CN" w:bidi="ar-SA"/>
        </w:rPr>
      </w:pPr>
      <w:r>
        <w:rPr>
          <w:rFonts w:hint="eastAsia" w:ascii="仿宋" w:hAnsi="仿宋" w:eastAsia="仿宋" w:cstheme="minorBidi"/>
          <w:kern w:val="2"/>
          <w:sz w:val="32"/>
          <w:szCs w:val="40"/>
          <w:lang w:val="en-US" w:eastAsia="zh-CN" w:bidi="ar-SA"/>
        </w:rPr>
        <w:t>3.服务期限：签订合同后至2026年10月31日。</w:t>
      </w:r>
    </w:p>
    <w:sectPr>
      <w:headerReference r:id="rId7" w:type="default"/>
      <w:type w:val="continuous"/>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31711">
    <w:pPr>
      <w:pStyle w:val="7"/>
      <w:jc w:val="center"/>
    </w:pPr>
  </w:p>
  <w:p w14:paraId="17E501D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docPartObj>
        <w:docPartGallery w:val="autotext"/>
      </w:docPartObj>
    </w:sdtPr>
    <w:sdtContent>
      <w:p w14:paraId="2E9B5024">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859F4">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67962">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1AF8A">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3NGVjMDA1ZDBkOWQzYzgwMmM0MTRiM2IzZWE1YTcifQ=="/>
  </w:docVars>
  <w:rsids>
    <w:rsidRoot w:val="008F294C"/>
    <w:rsid w:val="00017EC7"/>
    <w:rsid w:val="0003109B"/>
    <w:rsid w:val="00033C45"/>
    <w:rsid w:val="0005284C"/>
    <w:rsid w:val="00054A11"/>
    <w:rsid w:val="000762D5"/>
    <w:rsid w:val="000935C6"/>
    <w:rsid w:val="000A7AFC"/>
    <w:rsid w:val="000B2854"/>
    <w:rsid w:val="000C429D"/>
    <w:rsid w:val="000E6FC2"/>
    <w:rsid w:val="001003C8"/>
    <w:rsid w:val="0011378F"/>
    <w:rsid w:val="001250A0"/>
    <w:rsid w:val="001260A5"/>
    <w:rsid w:val="0016016F"/>
    <w:rsid w:val="001834EA"/>
    <w:rsid w:val="001F72EA"/>
    <w:rsid w:val="002001EF"/>
    <w:rsid w:val="002033DB"/>
    <w:rsid w:val="00212F08"/>
    <w:rsid w:val="002169C6"/>
    <w:rsid w:val="002175D5"/>
    <w:rsid w:val="0022176A"/>
    <w:rsid w:val="00225A3F"/>
    <w:rsid w:val="00245536"/>
    <w:rsid w:val="0025311A"/>
    <w:rsid w:val="00254F64"/>
    <w:rsid w:val="00255E05"/>
    <w:rsid w:val="00276DCD"/>
    <w:rsid w:val="002C181E"/>
    <w:rsid w:val="002C3634"/>
    <w:rsid w:val="002E4D1F"/>
    <w:rsid w:val="00314F7E"/>
    <w:rsid w:val="00317C9C"/>
    <w:rsid w:val="0032514A"/>
    <w:rsid w:val="003437B1"/>
    <w:rsid w:val="00344C2F"/>
    <w:rsid w:val="0035465B"/>
    <w:rsid w:val="00362B69"/>
    <w:rsid w:val="00385822"/>
    <w:rsid w:val="00385995"/>
    <w:rsid w:val="003928D9"/>
    <w:rsid w:val="003E413B"/>
    <w:rsid w:val="003F1CC5"/>
    <w:rsid w:val="003F60A1"/>
    <w:rsid w:val="00412469"/>
    <w:rsid w:val="00424A97"/>
    <w:rsid w:val="004462FE"/>
    <w:rsid w:val="004678AA"/>
    <w:rsid w:val="00475E63"/>
    <w:rsid w:val="004765E2"/>
    <w:rsid w:val="0048273F"/>
    <w:rsid w:val="00482D8C"/>
    <w:rsid w:val="00495EBA"/>
    <w:rsid w:val="004D68A6"/>
    <w:rsid w:val="004E0223"/>
    <w:rsid w:val="004F0BA3"/>
    <w:rsid w:val="005054ED"/>
    <w:rsid w:val="0050637C"/>
    <w:rsid w:val="00513686"/>
    <w:rsid w:val="00535489"/>
    <w:rsid w:val="00564C6D"/>
    <w:rsid w:val="00572F3B"/>
    <w:rsid w:val="00597A7C"/>
    <w:rsid w:val="005A55DD"/>
    <w:rsid w:val="005A5926"/>
    <w:rsid w:val="005C43B4"/>
    <w:rsid w:val="005C71D6"/>
    <w:rsid w:val="005F4DB6"/>
    <w:rsid w:val="00600E35"/>
    <w:rsid w:val="0060634A"/>
    <w:rsid w:val="00653B6E"/>
    <w:rsid w:val="00663784"/>
    <w:rsid w:val="006725E6"/>
    <w:rsid w:val="006A7115"/>
    <w:rsid w:val="006A78FE"/>
    <w:rsid w:val="006B6A96"/>
    <w:rsid w:val="006E4B91"/>
    <w:rsid w:val="006F1648"/>
    <w:rsid w:val="00710B61"/>
    <w:rsid w:val="00721ECA"/>
    <w:rsid w:val="007263B4"/>
    <w:rsid w:val="00745DA6"/>
    <w:rsid w:val="00747877"/>
    <w:rsid w:val="00757E0E"/>
    <w:rsid w:val="007879F5"/>
    <w:rsid w:val="00795440"/>
    <w:rsid w:val="007A5ACA"/>
    <w:rsid w:val="007C68B1"/>
    <w:rsid w:val="00801555"/>
    <w:rsid w:val="0080439A"/>
    <w:rsid w:val="00805922"/>
    <w:rsid w:val="0081176D"/>
    <w:rsid w:val="00811888"/>
    <w:rsid w:val="0083635E"/>
    <w:rsid w:val="00841D3F"/>
    <w:rsid w:val="00860E4A"/>
    <w:rsid w:val="0089687D"/>
    <w:rsid w:val="0089739C"/>
    <w:rsid w:val="008C41B2"/>
    <w:rsid w:val="008D3B15"/>
    <w:rsid w:val="008F294C"/>
    <w:rsid w:val="009004DB"/>
    <w:rsid w:val="00901872"/>
    <w:rsid w:val="00925546"/>
    <w:rsid w:val="00937842"/>
    <w:rsid w:val="00965317"/>
    <w:rsid w:val="00970F35"/>
    <w:rsid w:val="009778C7"/>
    <w:rsid w:val="00984983"/>
    <w:rsid w:val="009B15EB"/>
    <w:rsid w:val="009D6B77"/>
    <w:rsid w:val="009E5390"/>
    <w:rsid w:val="00A01D02"/>
    <w:rsid w:val="00A153A7"/>
    <w:rsid w:val="00A52B45"/>
    <w:rsid w:val="00A64B7B"/>
    <w:rsid w:val="00A93230"/>
    <w:rsid w:val="00AC0453"/>
    <w:rsid w:val="00AE6905"/>
    <w:rsid w:val="00AF17C0"/>
    <w:rsid w:val="00B270BA"/>
    <w:rsid w:val="00B705A2"/>
    <w:rsid w:val="00B968B6"/>
    <w:rsid w:val="00BC1838"/>
    <w:rsid w:val="00BC4524"/>
    <w:rsid w:val="00BD789C"/>
    <w:rsid w:val="00BE1A28"/>
    <w:rsid w:val="00BE4E22"/>
    <w:rsid w:val="00C00265"/>
    <w:rsid w:val="00C014DB"/>
    <w:rsid w:val="00C119F8"/>
    <w:rsid w:val="00C15EE4"/>
    <w:rsid w:val="00C31CEC"/>
    <w:rsid w:val="00C55A1E"/>
    <w:rsid w:val="00C62E68"/>
    <w:rsid w:val="00C64291"/>
    <w:rsid w:val="00C716DF"/>
    <w:rsid w:val="00CD0F7A"/>
    <w:rsid w:val="00CD344F"/>
    <w:rsid w:val="00CE01F6"/>
    <w:rsid w:val="00CE04E7"/>
    <w:rsid w:val="00CF384C"/>
    <w:rsid w:val="00D179DF"/>
    <w:rsid w:val="00D3200B"/>
    <w:rsid w:val="00D33AD0"/>
    <w:rsid w:val="00D50F38"/>
    <w:rsid w:val="00D65806"/>
    <w:rsid w:val="00D91AC4"/>
    <w:rsid w:val="00DA5F0B"/>
    <w:rsid w:val="00E03022"/>
    <w:rsid w:val="00E17256"/>
    <w:rsid w:val="00E20E56"/>
    <w:rsid w:val="00E417D0"/>
    <w:rsid w:val="00E54530"/>
    <w:rsid w:val="00E60FE3"/>
    <w:rsid w:val="00E7636B"/>
    <w:rsid w:val="00E918EE"/>
    <w:rsid w:val="00EA7FBC"/>
    <w:rsid w:val="00EB2819"/>
    <w:rsid w:val="00EB355B"/>
    <w:rsid w:val="00EB4367"/>
    <w:rsid w:val="00EC1164"/>
    <w:rsid w:val="00EC1C8C"/>
    <w:rsid w:val="00EC20AE"/>
    <w:rsid w:val="00EC4572"/>
    <w:rsid w:val="00EC7E25"/>
    <w:rsid w:val="00ED02BE"/>
    <w:rsid w:val="00ED540F"/>
    <w:rsid w:val="00EE483C"/>
    <w:rsid w:val="00EF1E9F"/>
    <w:rsid w:val="00EF3B66"/>
    <w:rsid w:val="00F02E01"/>
    <w:rsid w:val="00F12096"/>
    <w:rsid w:val="00F15F4A"/>
    <w:rsid w:val="00F56E88"/>
    <w:rsid w:val="00F6286B"/>
    <w:rsid w:val="00F660BD"/>
    <w:rsid w:val="00F80A98"/>
    <w:rsid w:val="00FB0B26"/>
    <w:rsid w:val="00FB2B4E"/>
    <w:rsid w:val="00FB5470"/>
    <w:rsid w:val="00FB54B7"/>
    <w:rsid w:val="00FC6132"/>
    <w:rsid w:val="00FD5A4F"/>
    <w:rsid w:val="00FF6D04"/>
    <w:rsid w:val="01E0087C"/>
    <w:rsid w:val="072A1523"/>
    <w:rsid w:val="0855058A"/>
    <w:rsid w:val="0D963232"/>
    <w:rsid w:val="0E3176E6"/>
    <w:rsid w:val="0F4040A2"/>
    <w:rsid w:val="1178280F"/>
    <w:rsid w:val="1A194DF2"/>
    <w:rsid w:val="24CF5440"/>
    <w:rsid w:val="254F1D14"/>
    <w:rsid w:val="263B71BF"/>
    <w:rsid w:val="28953804"/>
    <w:rsid w:val="2A574CBB"/>
    <w:rsid w:val="2C3753E4"/>
    <w:rsid w:val="2EB41EDE"/>
    <w:rsid w:val="30110809"/>
    <w:rsid w:val="310B5831"/>
    <w:rsid w:val="39A20CFD"/>
    <w:rsid w:val="3DE75F30"/>
    <w:rsid w:val="4070745F"/>
    <w:rsid w:val="42F41CB4"/>
    <w:rsid w:val="4642087F"/>
    <w:rsid w:val="47F33399"/>
    <w:rsid w:val="4BE83164"/>
    <w:rsid w:val="4C8A18A8"/>
    <w:rsid w:val="4D7627E2"/>
    <w:rsid w:val="4E06057E"/>
    <w:rsid w:val="5F1E7EC7"/>
    <w:rsid w:val="61617ECB"/>
    <w:rsid w:val="61A54544"/>
    <w:rsid w:val="62753567"/>
    <w:rsid w:val="65FB49E1"/>
    <w:rsid w:val="6DBD0CA3"/>
    <w:rsid w:val="6ED92188"/>
    <w:rsid w:val="6F453DE5"/>
    <w:rsid w:val="71CB5E83"/>
    <w:rsid w:val="728F3D2C"/>
    <w:rsid w:val="74394FB6"/>
    <w:rsid w:val="74B7167A"/>
    <w:rsid w:val="74C72FD7"/>
    <w:rsid w:val="791A02D2"/>
    <w:rsid w:val="7B9847D1"/>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style>
  <w:style w:type="paragraph" w:styleId="5">
    <w:name w:val="annotation text"/>
    <w:basedOn w:val="1"/>
    <w:link w:val="23"/>
    <w:unhideWhenUsed/>
    <w:qFormat/>
    <w:uiPriority w:val="99"/>
    <w:pPr>
      <w:jc w:val="left"/>
    </w:p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annotation subject"/>
    <w:basedOn w:val="5"/>
    <w:next w:val="5"/>
    <w:link w:val="24"/>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21"/>
      <w:szCs w:val="21"/>
    </w:rPr>
  </w:style>
  <w:style w:type="character" w:customStyle="1" w:styleId="18">
    <w:name w:val="页眉 字符"/>
    <w:basedOn w:val="13"/>
    <w:link w:val="8"/>
    <w:qFormat/>
    <w:uiPriority w:val="99"/>
    <w:rPr>
      <w:sz w:val="18"/>
      <w:szCs w:val="18"/>
    </w:rPr>
  </w:style>
  <w:style w:type="character" w:customStyle="1" w:styleId="19">
    <w:name w:val="页脚 字符"/>
    <w:basedOn w:val="13"/>
    <w:link w:val="7"/>
    <w:qFormat/>
    <w:uiPriority w:val="99"/>
    <w:rPr>
      <w:sz w:val="18"/>
      <w:szCs w:val="18"/>
    </w:rPr>
  </w:style>
  <w:style w:type="character" w:customStyle="1" w:styleId="20">
    <w:name w:val="批注框文本 字符"/>
    <w:basedOn w:val="13"/>
    <w:link w:val="6"/>
    <w:semiHidden/>
    <w:qFormat/>
    <w:uiPriority w:val="99"/>
    <w:rPr>
      <w:sz w:val="18"/>
      <w:szCs w:val="18"/>
    </w:rPr>
  </w:style>
  <w:style w:type="paragraph" w:styleId="21">
    <w:name w:val="List Paragraph"/>
    <w:basedOn w:val="1"/>
    <w:qFormat/>
    <w:uiPriority w:val="34"/>
    <w:pPr>
      <w:ind w:firstLine="420" w:firstLineChars="200"/>
    </w:pPr>
    <w:rPr>
      <w:rFonts w:eastAsia="黑体"/>
      <w:bCs/>
      <w:sz w:val="30"/>
      <w:szCs w:val="30"/>
    </w:rPr>
  </w:style>
  <w:style w:type="paragraph" w:customStyle="1" w:styleId="22">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3">
    <w:name w:val="批注文字 字符"/>
    <w:basedOn w:val="13"/>
    <w:link w:val="5"/>
    <w:qFormat/>
    <w:uiPriority w:val="99"/>
    <w:rPr>
      <w:rFonts w:asciiTheme="minorHAnsi" w:hAnsiTheme="minorHAnsi" w:eastAsiaTheme="minorEastAsia" w:cstheme="minorBidi"/>
      <w:kern w:val="2"/>
      <w:sz w:val="21"/>
      <w:szCs w:val="24"/>
    </w:rPr>
  </w:style>
  <w:style w:type="character" w:customStyle="1" w:styleId="24">
    <w:name w:val="批注主题 字符"/>
    <w:basedOn w:val="23"/>
    <w:link w:val="10"/>
    <w:semiHidden/>
    <w:qFormat/>
    <w:uiPriority w:val="99"/>
    <w:rPr>
      <w:rFonts w:asciiTheme="minorHAnsi" w:hAnsiTheme="minorHAnsi" w:eastAsiaTheme="minorEastAsia" w:cstheme="minorBidi"/>
      <w:b/>
      <w:bCs/>
      <w:kern w:val="2"/>
      <w:sz w:val="21"/>
      <w:szCs w:val="24"/>
    </w:rPr>
  </w:style>
  <w:style w:type="character" w:customStyle="1" w:styleId="25">
    <w:name w:val="标题 1 字符"/>
    <w:basedOn w:val="13"/>
    <w:link w:val="3"/>
    <w:qFormat/>
    <w:uiPriority w:val="9"/>
    <w:rPr>
      <w:rFonts w:asciiTheme="minorHAnsi" w:hAnsiTheme="minorHAnsi" w:eastAsiaTheme="minorEastAsia" w:cstheme="minorBidi"/>
      <w:b/>
      <w:bCs/>
      <w:kern w:val="44"/>
      <w:sz w:val="44"/>
      <w:szCs w:val="44"/>
    </w:rPr>
  </w:style>
  <w:style w:type="character" w:customStyle="1" w:styleId="26">
    <w:name w:val="未处理的提及1"/>
    <w:basedOn w:val="13"/>
    <w:semiHidden/>
    <w:unhideWhenUsed/>
    <w:qFormat/>
    <w:uiPriority w:val="99"/>
    <w:rPr>
      <w:color w:val="605E5C"/>
      <w:shd w:val="clear" w:color="auto" w:fill="E1DFDD"/>
    </w:rPr>
  </w:style>
  <w:style w:type="paragraph" w:customStyle="1" w:styleId="27">
    <w:name w:val="表格文字"/>
    <w:basedOn w:val="1"/>
    <w:qFormat/>
    <w:uiPriority w:val="0"/>
    <w:pPr>
      <w:spacing w:before="25" w:after="25"/>
      <w:jc w:val="left"/>
    </w:pPr>
    <w:rPr>
      <w:rFonts w:ascii="Times New Roman" w:hAnsi="Times New Roman"/>
      <w:bCs/>
      <w:spacing w:val="10"/>
      <w:kern w:val="0"/>
      <w:sz w:val="24"/>
      <w:szCs w:val="20"/>
    </w:rPr>
  </w:style>
  <w:style w:type="paragraph" w:customStyle="1" w:styleId="28">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29">
    <w:name w:val="列表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EBCEA-0D0D-41EF-AF1A-160C019084B7}">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2</Pages>
  <Words>700</Words>
  <Characters>730</Characters>
  <Lines>17</Lines>
  <Paragraphs>4</Paragraphs>
  <TotalTime>5</TotalTime>
  <ScaleCrop>false</ScaleCrop>
  <LinksUpToDate>false</LinksUpToDate>
  <CharactersWithSpaces>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2021-08-05T08:55:00Z</dcterms:created>
  <dc:creator>River</dc:creator>
  <cp:lastModifiedBy>陈琼</cp:lastModifiedBy>
  <cp:lastPrinted>2021-08-04T06:09:00Z</cp:lastPrinted>
  <dcterms:modified xsi:type="dcterms:W3CDTF">2026-08-13T01:00:19Z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5826326929B44A999AA759EF1475E44A_13</vt:lpwstr>
  </property>
  <property fmtid="{D5CDD505-2E9C-101B-9397-08002B2CF9AE}" pid="4" name="KSOTemplateDocerSaveRecord">
    <vt:lpwstr>eyJoZGlkIjoiN2Y4ZjU0YWM4MjZiNzk0YTc3YzAzMmIzYTA3OTE3M2YiLCJ1c2VySWQiOiIxMDQzNDczNTE2In0=</vt:lpwstr>
  </property>
</Properties>
</file>