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440101-2026-13022</w:t>
      </w:r>
    </w:p>
    <w:p>
      <w:pPr>
        <w:pStyle w:val="null3"/>
        <w:jc w:val="center"/>
        <w:outlineLvl w:val="3"/>
      </w:pPr>
      <w:r>
        <w:rPr>
          <w:sz w:val="24"/>
          <w:b/>
        </w:rPr>
        <w:t>采购项目编号：</w:t>
      </w:r>
      <w:r>
        <w:rPr>
          <w:sz w:val="24"/>
          <w:b/>
        </w:rPr>
        <w:t>0877-26GZTP1ZC0559</w:t>
      </w:r>
    </w:p>
    <w:p>
      <w:pPr>
        <w:pStyle w:val="null3"/>
        <w:jc w:val="center"/>
        <w:outlineLvl w:val="3"/>
      </w:pPr>
      <w:r>
        <w:rPr>
          <w:sz w:val="24"/>
          <w:b/>
        </w:rPr>
        <w:t>项目名称：</w:t>
      </w:r>
      <w:r>
        <w:rPr>
          <w:sz w:val="24"/>
          <w:b/>
        </w:rPr>
        <w:t>广州医科大学附属市八医院2026-2027年度外送样本检测服务项目</w:t>
      </w:r>
    </w:p>
    <w:p>
      <w:pPr>
        <w:pStyle w:val="null3"/>
        <w:jc w:val="center"/>
        <w:outlineLvl w:val="3"/>
      </w:pPr>
      <w:r>
        <w:rPr>
          <w:sz w:val="24"/>
          <w:b/>
        </w:rPr>
        <w:t>采购人：</w:t>
      </w:r>
      <w:r>
        <w:rPr>
          <w:sz w:val="24"/>
          <w:b/>
        </w:rPr>
        <w:t>广州医科大学附属市八医院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广州医科大学附属市八医院</w:t>
      </w:r>
      <w:r>
        <w:rPr/>
        <w:t>的委托，采用</w:t>
      </w:r>
      <w:r>
        <w:rPr/>
        <w:t>公开招标</w:t>
      </w:r>
      <w:r>
        <w:rPr/>
        <w:t>方式组织采购</w:t>
      </w:r>
      <w:r>
        <w:rPr/>
        <w:t>广州医科大学附属市八医院2026-2027年度外送样本检测服务项目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广州医科大学附属市八医院2026-2027年度外送样本检测服务项目</w:t>
      </w:r>
    </w:p>
    <w:p>
      <w:pPr>
        <w:pStyle w:val="null3"/>
        <w:ind w:firstLine="480"/>
      </w:pPr>
      <w:r>
        <w:rPr/>
        <w:t>采购计划编号：</w:t>
      </w:r>
      <w:r>
        <w:rPr/>
        <w:t>440101-2026-13022</w:t>
      </w:r>
    </w:p>
    <w:p>
      <w:pPr>
        <w:pStyle w:val="null3"/>
        <w:ind w:firstLine="480"/>
      </w:pPr>
      <w:r>
        <w:rPr/>
        <w:t>采购项目编号：</w:t>
      </w:r>
      <w:r>
        <w:rPr/>
        <w:t>0877-26GZTP1ZC0559</w:t>
      </w:r>
    </w:p>
    <w:p>
      <w:pPr>
        <w:pStyle w:val="null3"/>
        <w:ind w:firstLine="480"/>
      </w:pPr>
      <w:r>
        <w:rPr/>
        <w:t>采购方式：</w:t>
      </w:r>
      <w:r>
        <w:rPr/>
        <w:t>公开招标</w:t>
      </w:r>
    </w:p>
    <w:p>
      <w:pPr>
        <w:pStyle w:val="null3"/>
        <w:ind w:firstLine="480"/>
      </w:pPr>
      <w:r>
        <w:rPr/>
        <w:t>预算金额：</w:t>
      </w:r>
      <w:r>
        <w:rPr/>
        <w:t>8,000,000.00</w:t>
      </w:r>
      <w:r>
        <w:rPr/>
        <w:t>元</w:t>
      </w:r>
    </w:p>
    <w:p>
      <w:pPr>
        <w:pStyle w:val="null3"/>
        <w:outlineLvl w:val="3"/>
      </w:pPr>
      <w:r>
        <w:rPr>
          <w:sz w:val="24"/>
          <w:b/>
        </w:rPr>
        <w:t>2.项目内容及需求情况（采购项目技术规格、参数及要求）</w:t>
      </w:r>
    </w:p>
    <w:p>
      <w:pPr>
        <w:pStyle w:val="null3"/>
      </w:pPr>
      <w:r>
        <w:rPr/>
        <w:t>采购包1(广州医科大学附属市八医院2026-2027年度外送样本检测服务项目):</w:t>
      </w:r>
    </w:p>
    <w:p>
      <w:pPr>
        <w:pStyle w:val="null3"/>
      </w:pPr>
      <w:r>
        <w:rPr/>
        <w:t>采购包预算金额：8,000,000.00元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外送样本检测服务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合同履行期限：合同签订生效之日起24个月，或采购金额达到采购预算时止，以两者先到者为准。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采购包1（广州医科大学附属市八医院2026-2027年度外送样本检测服务项目）：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采购包1（广州医科大学附属市八医院2026-2027年度外送样本检测服务项目）：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卫生部门核发且在有效期内的《医疗机构执业许可证》，且承诺诊疗科目覆盖本项目服务内容。如执业许可证机构名称与供应商不一致时，还须提供两者为同一法律主体或同一单位的证明文件复印件。（提供证书、证明文件复印件及承诺函加盖供应商公章）（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广州医科大学附属市八医院</w:t>
      </w:r>
    </w:p>
    <w:p>
      <w:pPr>
        <w:pStyle w:val="null3"/>
        <w:ind w:firstLine="480"/>
      </w:pPr>
      <w:r>
        <w:rPr/>
        <w:t xml:space="preserve"> 地址：</w:t>
      </w:r>
      <w:r>
        <w:rPr/>
        <w:t>广州市白云区华英路8号</w:t>
      </w:r>
    </w:p>
    <w:p>
      <w:pPr>
        <w:pStyle w:val="null3"/>
        <w:ind w:firstLine="480"/>
      </w:pPr>
      <w:r>
        <w:rPr/>
        <w:t xml:space="preserve"> 联系方式：</w:t>
      </w:r>
      <w:r>
        <w:rPr/>
        <w:t>020-36473317</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020-38931901、38931902、38931903转809或810</w:t>
      </w:r>
    </w:p>
    <w:p>
      <w:pPr>
        <w:pStyle w:val="null3"/>
        <w:outlineLvl w:val="3"/>
      </w:pPr>
      <w:r>
        <w:rPr>
          <w:sz w:val="24"/>
          <w:b/>
        </w:rPr>
        <w:t xml:space="preserve"> 3.项目联系方式</w:t>
      </w:r>
    </w:p>
    <w:p>
      <w:pPr>
        <w:pStyle w:val="null3"/>
        <w:ind w:firstLine="480"/>
      </w:pPr>
      <w:r>
        <w:rPr/>
        <w:t xml:space="preserve"> 项目联系人：</w:t>
      </w:r>
      <w:r>
        <w:rPr/>
        <w:t>黎工，杨工（电话无人接听请发邮件yangqihui@gztpc.com咨询，我司会及时回复）</w:t>
      </w:r>
    </w:p>
    <w:p>
      <w:pPr>
        <w:pStyle w:val="null3"/>
        <w:ind w:firstLine="480"/>
      </w:pPr>
      <w:r>
        <w:rPr/>
        <w:t xml:space="preserve"> 电话：</w:t>
      </w:r>
      <w:r>
        <w:rPr/>
        <w:t>020-38931901、38931902、38931903转809或810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技术测试和分析服务</w:t>
      </w:r>
    </w:p>
    <w:p>
      <w:pPr>
        <w:pStyle w:val="null3"/>
        <w:jc w:val="both"/>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1"/>
        </w:rPr>
        <w:t>本项目对应的中小企业划分标准所属行业为：</w:t>
      </w:r>
      <w:r>
        <w:rPr>
          <w:sz w:val="21"/>
        </w:rPr>
        <w:t>其他未列明行业</w:t>
      </w:r>
      <w:r>
        <w:rPr>
          <w:sz w:val="21"/>
        </w:rPr>
        <w:t xml:space="preserve">       </w:t>
      </w:r>
    </w:p>
    <w:p>
      <w:pPr>
        <w:pStyle w:val="null3"/>
      </w:pPr>
      <w:r>
        <w:rPr>
          <w:sz w:val="21"/>
        </w:rPr>
        <w:t>根据《关于在政府采购活动中对有关美国企业采取相关措施的通知》（财库〔</w:t>
      </w:r>
      <w:r>
        <w:rPr>
          <w:sz w:val="21"/>
        </w:rPr>
        <w:t>2026</w:t>
      </w:r>
      <w:r>
        <w:rPr>
          <w:sz w:val="21"/>
        </w:rPr>
        <w:t>〕</w:t>
      </w:r>
      <w:r>
        <w:rPr>
          <w:sz w:val="21"/>
        </w:rPr>
        <w:t>10</w:t>
      </w:r>
      <w:r>
        <w:rPr>
          <w:sz w:val="21"/>
        </w:rPr>
        <w:t>号），本项目不接受该通知附件所列</w:t>
      </w:r>
      <w:r>
        <w:rPr>
          <w:sz w:val="21"/>
        </w:rPr>
        <w:t>46</w:t>
      </w:r>
      <w:r>
        <w:rPr>
          <w:sz w:val="21"/>
        </w:rPr>
        <w:t>家美国企业生产的产品参与投标。</w:t>
      </w:r>
    </w:p>
    <w:p>
      <w:pPr>
        <w:pStyle w:val="null3"/>
        <w:jc w:val="both"/>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t>（一）</w:t>
      </w:r>
      <w:r>
        <w:rPr>
          <w:sz w:val="21"/>
          <w:b/>
        </w:rPr>
        <w:t>委托检测内容</w:t>
      </w:r>
    </w:p>
    <w:p>
      <w:pPr>
        <w:pStyle w:val="null3"/>
        <w:jc w:val="both"/>
      </w:pPr>
      <w:r>
        <w:rPr>
          <w:sz w:val="21"/>
        </w:rPr>
        <w:t>共计</w:t>
      </w:r>
      <w:r>
        <w:rPr>
          <w:sz w:val="21"/>
        </w:rPr>
        <w:t>1</w:t>
      </w:r>
      <w:r>
        <w:rPr>
          <w:sz w:val="21"/>
        </w:rPr>
        <w:t>30</w:t>
      </w:r>
      <w:r>
        <w:rPr>
          <w:sz w:val="21"/>
        </w:rPr>
        <w:t>项；在本项目实施期间，</w:t>
      </w:r>
      <w:r>
        <w:rPr>
          <w:sz w:val="21"/>
        </w:rPr>
        <w:t>采购人</w:t>
      </w:r>
      <w:r>
        <w:rPr>
          <w:sz w:val="21"/>
        </w:rPr>
        <w:t>根据诊疗业务实际需求可在现有清单基础上增加同类临床检验项目数量，结算价格按照</w:t>
      </w:r>
      <w:r>
        <w:rPr>
          <w:sz w:val="21"/>
        </w:rPr>
        <w:t>中标折扣率</w:t>
      </w:r>
      <w:r>
        <w:rPr>
          <w:sz w:val="21"/>
        </w:rPr>
        <w:t>执行，合同总金额不变。</w:t>
      </w:r>
      <w:r>
        <w:rPr>
          <w:sz w:val="21"/>
        </w:rPr>
        <w:t>某些项目检测技术成熟及标本量达到可本地化开展后，采购人有权决定是否继续外送。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1"/>
        <w:gridCol w:w="5317"/>
        <w:gridCol w:w="2208"/>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5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检验项目</w:t>
            </w:r>
          </w:p>
        </w:tc>
        <w:tc>
          <w:tcPr>
            <w:tcW w:type="dxa" w:w="2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单价最高限价</w:t>
            </w:r>
          </w:p>
          <w:p>
            <w:pPr>
              <w:pStyle w:val="null3"/>
              <w:jc w:val="center"/>
            </w:pPr>
            <w:r>
              <w:rPr>
                <w:sz w:val="22"/>
                <w:b/>
              </w:rPr>
              <w:t>（人民币</w:t>
            </w:r>
            <w:r>
              <w:rPr>
                <w:sz w:val="22"/>
                <w:b/>
              </w:rPr>
              <w:t>元）</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血清药物浓度测定</w:t>
            </w:r>
            <w:r>
              <w:rPr>
                <w:sz w:val="22"/>
              </w:rPr>
              <w:t>-单抗法(甲氨蝶呤)</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284.94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血清药物浓度测定</w:t>
            </w:r>
            <w:r>
              <w:rPr>
                <w:sz w:val="22"/>
              </w:rPr>
              <w:t>-单抗法(丙戊酸)</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284.94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血清药物浓度测定</w:t>
            </w:r>
            <w:r>
              <w:rPr>
                <w:sz w:val="22"/>
              </w:rPr>
              <w:t>-色谱法(左乙拉西坦)</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112.99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地高辛血药浓度</w:t>
            </w:r>
            <w:r>
              <w:rPr>
                <w:sz w:val="22"/>
              </w:rPr>
              <w:t>(单抗法)</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284.94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环孢霉素</w:t>
            </w:r>
            <w:r>
              <w:rPr>
                <w:sz w:val="22"/>
              </w:rPr>
              <w:t>A</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284.94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普乐可夫</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284.94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基因重排克隆性检测（</w:t>
            </w:r>
            <w:r>
              <w:rPr>
                <w:sz w:val="22"/>
              </w:rPr>
              <w:t>T细胞）</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2021.88</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基因重排克隆性检测（</w:t>
            </w:r>
            <w:r>
              <w:rPr>
                <w:sz w:val="22"/>
              </w:rPr>
              <w:t>B细胞）</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2021.88</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高通量基因测序（病理科）</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277.58</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肾脏穿刺病理诊断报告</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1512.95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普通透射电镜检查与诊断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397.94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扫描电镜检查与诊断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397.94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免疫电镜检查与诊断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397.94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免疫荧光染色诊断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132.65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荧光原位杂交</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1900.00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组织样本</w:t>
            </w:r>
            <w:r>
              <w:rPr>
                <w:sz w:val="22"/>
              </w:rPr>
              <w:t>DNA/RNA的PCR+片段分析法</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640.00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免疫组织化学染色</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159.17</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免疫组织化学染色（全自动温控法）</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347.17</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特殊染色及酶组织化学染色诊断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80.10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皮肤病理活检</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222.00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精浆三酶活性测定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195.04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抗精子抗体测定</w:t>
            </w:r>
            <w:r>
              <w:rPr>
                <w:sz w:val="22"/>
              </w:rPr>
              <w:t>(定量分析)</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31.49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精浆锌测定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78.60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精子</w:t>
            </w:r>
            <w:r>
              <w:rPr>
                <w:sz w:val="22"/>
              </w:rPr>
              <w:t>DNA完整性检测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494.16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微量元素七项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66.82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高血压</w:t>
            </w:r>
            <w:r>
              <w:rPr>
                <w:sz w:val="22"/>
              </w:rPr>
              <w:t>5项(立式)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191.61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高血压</w:t>
            </w:r>
            <w:r>
              <w:rPr>
                <w:sz w:val="22"/>
              </w:rPr>
              <w:t>5项(卧式)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191.61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血液流变检测</w:t>
            </w:r>
            <w:r>
              <w:rPr>
                <w:sz w:val="22"/>
              </w:rPr>
              <w:t>14项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69.97</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同型半胱氨酸</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98.26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肝豆状核变性</w:t>
            </w:r>
            <w:r>
              <w:rPr>
                <w:sz w:val="22"/>
              </w:rPr>
              <w:t>ATP7B基因测序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2452.58</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肝豆状核变性检测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50.11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EB病毒四项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235.80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EB病毒六项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353.70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天疱疮抗体四项（酶联免疫法）</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393.04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手足口病</w:t>
            </w:r>
            <w:r>
              <w:rPr>
                <w:sz w:val="22"/>
              </w:rPr>
              <w:t>RNA定性两项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314.42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血浆脂蛋白相关磷脂酶</w:t>
            </w:r>
            <w:r>
              <w:rPr>
                <w:sz w:val="22"/>
              </w:rPr>
              <w:t>A2(Lp-PLA2)测定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193.20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雌三醇测定</w:t>
            </w:r>
            <w:r>
              <w:rPr>
                <w:sz w:val="22"/>
              </w:rPr>
              <w:t>(FE3)</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51.09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17α羟基孕酮测定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性激素结合球蛋白（</w:t>
            </w:r>
            <w:r>
              <w:rPr>
                <w:sz w:val="22"/>
              </w:rPr>
              <w:t>SHBG）</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73.69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硫酸去氢表雄酮</w:t>
            </w:r>
            <w:r>
              <w:rPr>
                <w:sz w:val="22"/>
              </w:rPr>
              <w:t>(DHEA-s)</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HEV-RNA定量检测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157.21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HPV（6、11型）-DNA PCR定量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162.12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HBV 核苷类似物耐药基因检测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617.20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分枝杆菌菌种鉴定</w:t>
            </w:r>
            <w:r>
              <w:rPr>
                <w:sz w:val="22"/>
              </w:rPr>
              <w:t>-靶向高通量测序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872.79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分枝杆菌耐药基因</w:t>
            </w:r>
            <w:r>
              <w:rPr>
                <w:sz w:val="22"/>
              </w:rPr>
              <w:t>-靶向高通量测序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581.86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中枢神经系统多种病原体靶向高通量测序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872.79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呼吸道多种病原体靶向测序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872.79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脊髓性肌萎缩症（</w:t>
            </w:r>
            <w:r>
              <w:rPr>
                <w:sz w:val="22"/>
              </w:rPr>
              <w:t>SMA）筛查（7,8外显子）项目</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344.88</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基因甲基化（无创肠癌基因筛查）检测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500.96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恶性肿瘤特异生长因子</w:t>
            </w:r>
            <w:r>
              <w:rPr>
                <w:sz w:val="22"/>
              </w:rPr>
              <w:t>(TSGF)</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70.74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肿瘤坏死因子</w:t>
            </w:r>
            <w:r>
              <w:rPr>
                <w:sz w:val="22"/>
              </w:rPr>
              <w:t>α （TNF-α）</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70.74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血清反</w:t>
            </w:r>
            <w:r>
              <w:rPr>
                <w:sz w:val="22"/>
              </w:rPr>
              <w:t>T3测定(rT3)</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33.41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甲状旁腺激素</w:t>
            </w:r>
            <w:r>
              <w:rPr>
                <w:sz w:val="22"/>
              </w:rPr>
              <w:t>(PTH)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骨代谢三项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230.91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维生素</w:t>
            </w:r>
            <w:r>
              <w:rPr>
                <w:sz w:val="22"/>
              </w:rPr>
              <w:t>D组合</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180.80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血清生长激素</w:t>
            </w:r>
            <w:r>
              <w:rPr>
                <w:sz w:val="22"/>
              </w:rPr>
              <w:t>(GH)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56.99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胰岛素样生长因子</w:t>
            </w:r>
            <w:r>
              <w:rPr>
                <w:sz w:val="22"/>
              </w:rPr>
              <w:t>-1(IGF-1)</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96.29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总</w:t>
            </w:r>
            <w:r>
              <w:rPr>
                <w:sz w:val="22"/>
              </w:rPr>
              <w:t>Ⅰ型胶原氨基端延长肽（P1NP）</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98.26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β－胶原降解产物</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83.52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骨钙素（</w:t>
            </w:r>
            <w:r>
              <w:rPr>
                <w:sz w:val="22"/>
              </w:rPr>
              <w:t>OST）</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49.13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降钙素</w:t>
            </w:r>
            <w:r>
              <w:rPr>
                <w:sz w:val="22"/>
              </w:rPr>
              <w:t>(CT)</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胰岛素抗体</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34.39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糖尿病三项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148.00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糖尿病自身抗体测定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147.38</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血清抗谷氨酸脱羧酶抗体测定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49.13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血浆促肾上腺皮质激素</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56.99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血浆皮质醇</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54.04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尿</w:t>
            </w:r>
            <w:r>
              <w:rPr>
                <w:sz w:val="22"/>
              </w:rPr>
              <w:t>17-羟皮质类固醇(17-OH)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78.60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尿</w:t>
            </w:r>
            <w:r>
              <w:rPr>
                <w:sz w:val="22"/>
              </w:rPr>
              <w:t>17-酮类固醇(17-KS)</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78.60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醛固酮</w:t>
            </w:r>
            <w:r>
              <w:rPr>
                <w:sz w:val="22"/>
              </w:rPr>
              <w:t>(ALD)</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尿醛固酮</w:t>
            </w:r>
            <w:r>
              <w:rPr>
                <w:sz w:val="22"/>
              </w:rPr>
              <w:t>(尿ALD)</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尿香草扁桃酸</w:t>
            </w:r>
            <w:r>
              <w:rPr>
                <w:sz w:val="22"/>
              </w:rPr>
              <w:t>(VMA)测定(色谱法)</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78.60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唐氏早期</w:t>
            </w:r>
            <w:r>
              <w:rPr>
                <w:sz w:val="22"/>
              </w:rPr>
              <w:t>(9-13+6周)</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173.92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唐氏中期</w:t>
            </w:r>
            <w:r>
              <w:rPr>
                <w:sz w:val="22"/>
              </w:rPr>
              <w:t>(14-20+6)</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169.00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培养细胞的染色体分析</w:t>
            </w:r>
            <w:r>
              <w:rPr>
                <w:sz w:val="22"/>
              </w:rPr>
              <w:t>(外周血)</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724.85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封闭抗体测定</w:t>
            </w:r>
            <w:r>
              <w:rPr>
                <w:sz w:val="22"/>
              </w:rPr>
              <w:t>(APLA)(血小板特异性和组织相</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320.00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地中海贫血基因检测常规组合</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340.95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α地贫点突变基因检测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306.56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不孕不育抗体五项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282.05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红细胞孵育渗透脆性试验</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26.53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遗传代谢病</w:t>
            </w:r>
            <w:r>
              <w:rPr>
                <w:sz w:val="22"/>
              </w:rPr>
              <w:t>(临床患者)</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294.75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骨髓染色体核型分析（肿瘤）</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1216.85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染色体微阵列分析</w:t>
            </w:r>
            <w:r>
              <w:rPr>
                <w:sz w:val="22"/>
              </w:rPr>
              <w:t>(Optima,流产物)</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2024.00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尿液有机酸检测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290.82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耳聋基因筛查和诊断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471.63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调节</w:t>
            </w:r>
            <w:r>
              <w:rPr>
                <w:sz w:val="22"/>
              </w:rPr>
              <w:t>T细胞</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235.80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免疫球蛋白亚类</w:t>
            </w:r>
            <w:r>
              <w:rPr>
                <w:sz w:val="22"/>
              </w:rPr>
              <w:t>(lqG4)定量测定</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127.73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抗心磷脂抗体三项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67.80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抗肾小球基底膜抗体</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49.13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20q-(del(20q),FISH)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918.69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5q-(-5/del(5q),FISH)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918.69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7q-(-7/del(7q),FISH)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918.69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AML1/ETO(RUNX1-RUNX1T1)融合基因(FISH)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918.69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AML常见基因突变（NPM1,FLT3-ITD,CEBPA,C-KIT）</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1840.00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BCR/ABL1融合基因(FISH)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918.69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BCR/ABL基因定量（p190）</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510.93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BCR/ABL基因定量（p210）</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510.93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MTHFR基因分型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460.00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PML/RARα（分型+定量）</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1021.86</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PML-RARA融合基因(FISH)</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918.69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融合基因</w:t>
            </w:r>
            <w:r>
              <w:rPr>
                <w:sz w:val="22"/>
              </w:rPr>
              <w:t xml:space="preserve">AML1/ETO(定量)  </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510.93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急慢性白血病</w:t>
            </w:r>
            <w:r>
              <w:rPr>
                <w:sz w:val="22"/>
              </w:rPr>
              <w:t xml:space="preserve">40CD   </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1886.40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高敏</w:t>
            </w:r>
            <w:r>
              <w:rPr>
                <w:sz w:val="22"/>
              </w:rPr>
              <w:t>PNH(14CD)</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660.24</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红细胞</w:t>
            </w:r>
            <w:r>
              <w:rPr>
                <w:sz w:val="22"/>
              </w:rPr>
              <w:t>CD55,CD59评估</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117.90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粒细胞</w:t>
            </w:r>
            <w:r>
              <w:rPr>
                <w:sz w:val="22"/>
              </w:rPr>
              <w:t>CD55,CD59，CD45评估</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176.85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Y染色体(AZF基因)微缺失检测</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309.51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微小残留白血病</w:t>
            </w:r>
            <w:r>
              <w:rPr>
                <w:sz w:val="22"/>
              </w:rPr>
              <w:t>15CD</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707.40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贫血三项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186.69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贫血四项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277.09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铁三项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16.70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血清免疫固定电泳</w:t>
            </w:r>
            <w:r>
              <w:rPr>
                <w:sz w:val="22"/>
              </w:rPr>
              <w:t>(IgA、IgG、IgM)</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196.51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血清免疫固定电泳</w:t>
            </w:r>
            <w:r>
              <w:rPr>
                <w:sz w:val="22"/>
              </w:rPr>
              <w:t>(IgD+IgE)</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196.51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人类白细胞抗原</w:t>
            </w:r>
            <w:r>
              <w:rPr>
                <w:sz w:val="22"/>
              </w:rPr>
              <w:t>B27测定(DNA)</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112.99</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尿本周氏蛋白电泳</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196.51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包虫</w:t>
            </w:r>
            <w:r>
              <w:rPr>
                <w:sz w:val="22"/>
              </w:rPr>
              <w:t>IgG抗体（酶联免疫法）</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19.65</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铜蓝蛋白</w:t>
            </w:r>
            <w:r>
              <w:rPr>
                <w:sz w:val="22"/>
              </w:rPr>
              <w:t>(CER)</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22.60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血管炎三项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204.60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易栓三项</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353.71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血浆蛋白</w:t>
            </w:r>
            <w:r>
              <w:rPr>
                <w:sz w:val="22"/>
              </w:rPr>
              <w:t>C活性测定(PC)</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78.60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血浆蛋白</w:t>
            </w:r>
            <w:r>
              <w:rPr>
                <w:sz w:val="22"/>
              </w:rPr>
              <w:t>S活性测定(PS)</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196.51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121</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抗凝血酶</w:t>
            </w:r>
            <w:r>
              <w:rPr>
                <w:sz w:val="22"/>
              </w:rPr>
              <w:t>III(AT-III)</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78.60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122</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w:t>
            </w:r>
            <w:r>
              <w:rPr>
                <w:sz w:val="22"/>
              </w:rPr>
              <w:t>Xa测定(利伐沙班)</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123</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w:t>
            </w:r>
            <w:r>
              <w:rPr>
                <w:sz w:val="22"/>
              </w:rPr>
              <w:t>Xa测定(普通肝素)</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124</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抗</w:t>
            </w:r>
            <w:r>
              <w:rPr>
                <w:sz w:val="22"/>
              </w:rPr>
              <w:t>Xa测定(低分子肝素)</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56.01</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125</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狼疮样抗凝物质筛查</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117.90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126</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2"/>
              </w:rPr>
              <w:t>Treg（CD127）相对计数和绝对计数</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2"/>
              </w:rPr>
              <w:t>235.80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127</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血栓三项（</w:t>
            </w:r>
            <w:r>
              <w:rPr>
                <w:sz w:val="22"/>
              </w:rPr>
              <w:t>TM、TAT、PIC）</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589.53</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128</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JAK2-V617F基因突变(定性)</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162.12</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129</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MPN常见基因突变套餐3基因</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1840.00</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w:t>
            </w:r>
          </w:p>
        </w:tc>
        <w:tc>
          <w:tcPr>
            <w:tcW w:type="dxa" w:w="5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C-肽(C-Peptide)</w:t>
            </w:r>
          </w:p>
        </w:tc>
        <w:tc>
          <w:tcPr>
            <w:tcW w:type="dxa" w:w="2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46.00</w:t>
            </w:r>
          </w:p>
        </w:tc>
      </w:tr>
    </w:tbl>
    <w:p>
      <w:pPr>
        <w:pStyle w:val="null3"/>
        <w:jc w:val="both"/>
      </w:pPr>
      <w:r>
        <w:rPr>
          <w:sz w:val="21"/>
          <w:b/>
        </w:rPr>
        <w:t>（二）报价要求</w:t>
      </w:r>
    </w:p>
    <w:p>
      <w:pPr>
        <w:pStyle w:val="null3"/>
      </w:pPr>
      <w:r>
        <w:rPr>
          <w:sz w:val="21"/>
          <w:b/>
        </w:rPr>
        <w:t>★</w:t>
      </w:r>
      <w:r>
        <w:rPr>
          <w:sz w:val="21"/>
          <w:b/>
        </w:rPr>
        <w:t>2.</w:t>
      </w:r>
      <w:r>
        <w:rPr>
          <w:sz w:val="21"/>
          <w:b/>
        </w:rPr>
        <w:t>本项目投标人应按照《广东省基本医疗服务价格项目目录（</w:t>
      </w:r>
      <w:r>
        <w:rPr>
          <w:sz w:val="21"/>
          <w:b/>
        </w:rPr>
        <w:t xml:space="preserve">2021 </w:t>
      </w:r>
      <w:r>
        <w:rPr>
          <w:sz w:val="21"/>
          <w:b/>
        </w:rPr>
        <w:t>年版）》和《广东省市场调节价医疗服务价格项目目录（</w:t>
      </w:r>
      <w:r>
        <w:rPr>
          <w:sz w:val="21"/>
          <w:b/>
        </w:rPr>
        <w:t>2024</w:t>
      </w:r>
      <w:r>
        <w:rPr>
          <w:sz w:val="21"/>
          <w:b/>
        </w:rPr>
        <w:t>版）》（如遇物价调整，按最新物价标准执行）规定的物价编码与对应价格及根据最新物价标准修改的单价收费标准，对包括但不限于本项目已列明的所有检验内容提供统一的折扣率报价，</w:t>
      </w:r>
      <w:r>
        <w:rPr>
          <w:sz w:val="21"/>
          <w:b/>
        </w:rPr>
        <w:t>0</w:t>
      </w:r>
      <w:r>
        <w:rPr>
          <w:sz w:val="21"/>
          <w:b/>
        </w:rPr>
        <w:t>＜报价折扣率≤</w:t>
      </w:r>
      <w:r>
        <w:rPr>
          <w:sz w:val="21"/>
          <w:b/>
        </w:rPr>
        <w:t>32</w:t>
      </w:r>
      <w:r>
        <w:rPr>
          <w:sz w:val="21"/>
          <w:b/>
        </w:rPr>
        <w:t>%</w:t>
      </w:r>
      <w:r>
        <w:rPr>
          <w:sz w:val="21"/>
          <w:b/>
        </w:rPr>
        <w:t>，否则将导致投标无效。（注：折扣率最多到小数点后两位，参考格式：</w:t>
      </w:r>
      <w:r>
        <w:rPr>
          <w:sz w:val="21"/>
          <w:b/>
        </w:rPr>
        <w:t>XX.XX%</w:t>
      </w:r>
      <w:r>
        <w:rPr>
          <w:sz w:val="21"/>
          <w:b/>
        </w:rPr>
        <w:t>），供应商的折扣率报价必须为确定的固定唯一报价（如</w:t>
      </w:r>
      <w:r>
        <w:rPr>
          <w:sz w:val="21"/>
          <w:b/>
        </w:rPr>
        <w:t>40.00%</w:t>
      </w:r>
      <w:r>
        <w:rPr>
          <w:sz w:val="21"/>
          <w:b/>
        </w:rPr>
        <w:t xml:space="preserve">），不得填报多个报价值或区间值（如 </w:t>
      </w:r>
      <w:r>
        <w:rPr>
          <w:sz w:val="21"/>
          <w:b/>
        </w:rPr>
        <w:t>35</w:t>
      </w:r>
      <w:r>
        <w:rPr>
          <w:sz w:val="21"/>
          <w:b/>
        </w:rPr>
        <w:t>～</w:t>
      </w:r>
      <w:r>
        <w:rPr>
          <w:sz w:val="21"/>
          <w:b/>
        </w:rPr>
        <w:t>40.00%</w:t>
      </w:r>
      <w:r>
        <w:rPr>
          <w:sz w:val="21"/>
          <w:b/>
        </w:rPr>
        <w:t>）。对本项目所有检测服务内容报出统一的折扣率。投标折扣率有效报价范围：</w:t>
      </w:r>
      <w:r>
        <w:rPr>
          <w:sz w:val="21"/>
          <w:b/>
        </w:rPr>
        <w:t>0.00%</w:t>
      </w:r>
      <w:r>
        <w:rPr>
          <w:sz w:val="21"/>
          <w:b/>
        </w:rPr>
        <w:t>＜投标折扣率≤</w:t>
      </w:r>
      <w:r>
        <w:rPr>
          <w:sz w:val="21"/>
          <w:b/>
        </w:rPr>
        <w:t>32</w:t>
      </w:r>
      <w:r>
        <w:rPr>
          <w:sz w:val="21"/>
          <w:b/>
        </w:rPr>
        <w:t>.00%</w:t>
      </w:r>
      <w:r>
        <w:rPr>
          <w:sz w:val="21"/>
          <w:b/>
        </w:rPr>
        <w:t>。因落实政府采购政策进行价格调整的，以调整后的价格计算评标基准价和投标报价。 本项目的折扣率报价应包含合同实施过程中的应预见和不可预见费用。</w:t>
      </w:r>
    </w:p>
    <w:p>
      <w:pPr>
        <w:pStyle w:val="null3"/>
      </w:pPr>
      <w:r>
        <w:rPr>
          <w:sz w:val="28"/>
          <w:b/>
        </w:rPr>
        <w:t>二</w:t>
      </w:r>
      <w:r>
        <w:rPr>
          <w:sz w:val="28"/>
          <w:b/>
        </w:rPr>
        <w:t>、</w:t>
      </w:r>
      <w:r>
        <w:rPr>
          <w:sz w:val="28"/>
          <w:b/>
        </w:rPr>
        <w:t>技术要求</w:t>
      </w:r>
      <w:r>
        <w:rPr>
          <w:sz w:val="28"/>
          <w:b/>
        </w:rPr>
        <w:t>：</w:t>
      </w:r>
    </w:p>
    <w:p>
      <w:pPr>
        <w:pStyle w:val="null3"/>
        <w:ind w:firstLine="480"/>
      </w:pPr>
      <w:r>
        <w:rPr>
          <w:sz w:val="21"/>
          <w:b/>
        </w:rPr>
        <w:t>1.外送检测目录</w:t>
      </w:r>
    </w:p>
    <w:p>
      <w:pPr>
        <w:pStyle w:val="null3"/>
        <w:ind w:firstLine="480"/>
      </w:pPr>
      <w:r>
        <w:rPr>
          <w:sz w:val="21"/>
        </w:rPr>
        <w:t>共计</w:t>
      </w:r>
      <w:r>
        <w:rPr>
          <w:sz w:val="21"/>
        </w:rPr>
        <w:t>130</w:t>
      </w:r>
      <w:r>
        <w:rPr>
          <w:sz w:val="21"/>
        </w:rPr>
        <w:t>项，</w:t>
      </w:r>
      <w:r>
        <w:rPr>
          <w:sz w:val="21"/>
        </w:rPr>
        <w:t>详见</w:t>
      </w:r>
      <w:r>
        <w:rPr>
          <w:sz w:val="21"/>
        </w:rPr>
        <w:t>“委托检测内容”</w:t>
      </w:r>
      <w:r>
        <w:rPr>
          <w:sz w:val="21"/>
        </w:rPr>
        <w:t>；在本项目实施期间，</w:t>
      </w:r>
      <w:r>
        <w:rPr>
          <w:sz w:val="21"/>
        </w:rPr>
        <w:t>采购人</w:t>
      </w:r>
      <w:r>
        <w:rPr>
          <w:sz w:val="21"/>
        </w:rPr>
        <w:t>根据诊疗业务实际需求可在现有清单基础上增加同类临床检验项目数量，结算价格按照中标折扣率执行，合同总金额不变。某些项目检测技术成熟及标本量达到可本地化开展后，</w:t>
      </w:r>
      <w:r>
        <w:rPr>
          <w:sz w:val="21"/>
        </w:rPr>
        <w:t>采购人</w:t>
      </w:r>
      <w:r>
        <w:rPr>
          <w:sz w:val="21"/>
        </w:rPr>
        <w:t>有权决定是否继续外送。相关收费标准物价部门作出调整的必须进行相应调整。对以上要求因存在不确定性，</w:t>
      </w:r>
      <w:r>
        <w:rPr>
          <w:sz w:val="21"/>
        </w:rPr>
        <w:t>投标人</w:t>
      </w:r>
      <w:r>
        <w:rPr>
          <w:sz w:val="21"/>
        </w:rPr>
        <w:t>需充分考虑经营风险。</w:t>
      </w:r>
    </w:p>
    <w:p>
      <w:pPr>
        <w:pStyle w:val="null3"/>
        <w:ind w:firstLine="480"/>
      </w:pPr>
      <w:r>
        <w:rPr>
          <w:sz w:val="21"/>
          <w:b/>
        </w:rPr>
        <w:t>2.实验室要求</w:t>
      </w:r>
    </w:p>
    <w:p>
      <w:pPr>
        <w:pStyle w:val="null3"/>
        <w:ind w:firstLine="480"/>
      </w:pPr>
      <w:r>
        <w:rPr>
          <w:sz w:val="21"/>
        </w:rPr>
        <w:t>2.1</w:t>
      </w:r>
      <w:r>
        <w:rPr>
          <w:sz w:val="21"/>
        </w:rPr>
        <w:t>中标人</w:t>
      </w:r>
      <w:r>
        <w:rPr>
          <w:sz w:val="21"/>
        </w:rPr>
        <w:t>应遵守由</w:t>
      </w:r>
      <w:r>
        <w:rPr>
          <w:sz w:val="21"/>
        </w:rPr>
        <w:t>原</w:t>
      </w:r>
      <w:r>
        <w:rPr>
          <w:sz w:val="21"/>
        </w:rPr>
        <w:t>国家卫生部（现中华人民共和国国家卫生健康委员会）印发的《医疗机构临床实验室管理办法》。</w:t>
      </w:r>
    </w:p>
    <w:p>
      <w:pPr>
        <w:pStyle w:val="null3"/>
        <w:ind w:firstLine="480"/>
      </w:pPr>
      <w:r>
        <w:rPr>
          <w:sz w:val="21"/>
        </w:rPr>
        <w:t>2.2</w:t>
      </w:r>
      <w:r>
        <w:rPr>
          <w:sz w:val="21"/>
        </w:rPr>
        <w:t>投标人</w:t>
      </w:r>
      <w:r>
        <w:rPr>
          <w:sz w:val="21"/>
        </w:rPr>
        <w:t>通过中国合格评定国家认可委员会</w:t>
      </w:r>
      <w:r>
        <w:rPr>
          <w:sz w:val="21"/>
        </w:rPr>
        <w:t>(CNAS)ISO 15189认可，投标时提供《实验室认可证书》及认可清单复印件。如登记机构名称与投标人不一致时，需同时提供两者为同一法律主体或同一单位的信息或证明文件（如国家另有规定，则适用其规定）。</w:t>
      </w:r>
      <w:r>
        <w:rPr>
          <w:sz w:val="21"/>
        </w:rPr>
        <w:t>中标人需</w:t>
      </w:r>
      <w:r>
        <w:rPr>
          <w:sz w:val="21"/>
        </w:rPr>
        <w:t>针对性开展咨询及培训工作，</w:t>
      </w:r>
      <w:r>
        <w:rPr>
          <w:sz w:val="21"/>
        </w:rPr>
        <w:t>协助</w:t>
      </w:r>
      <w:r>
        <w:rPr>
          <w:sz w:val="21"/>
        </w:rPr>
        <w:t>采购人检验科、病理科等</w:t>
      </w:r>
      <w:r>
        <w:rPr>
          <w:sz w:val="21"/>
        </w:rPr>
        <w:t>科室</w:t>
      </w:r>
      <w:r>
        <w:rPr>
          <w:sz w:val="21"/>
        </w:rPr>
        <w:t>通过</w:t>
      </w:r>
      <w:r>
        <w:rPr>
          <w:sz w:val="21"/>
        </w:rPr>
        <w:t>ISO15189认可</w:t>
      </w:r>
      <w:r>
        <w:rPr>
          <w:sz w:val="21"/>
        </w:rPr>
        <w:t>工作。</w:t>
      </w:r>
      <w:r>
        <w:rPr>
          <w:sz w:val="21"/>
        </w:rPr>
        <w:t>投标人需提供培训服务方案：</w:t>
      </w:r>
    </w:p>
    <w:p>
      <w:pPr>
        <w:pStyle w:val="null3"/>
        <w:ind w:firstLine="480"/>
      </w:pPr>
      <w:r>
        <w:rPr>
          <w:sz w:val="21"/>
        </w:rPr>
        <w:t>2.2.1培训活动计划：要求投标人制定详细培训计划，明确时间安排、各阶段节点、进度安排，涵盖从体系文件编写指导到正式认证前模拟审核的全流程。</w:t>
      </w:r>
    </w:p>
    <w:p>
      <w:pPr>
        <w:pStyle w:val="null3"/>
        <w:ind w:firstLine="480"/>
      </w:pPr>
      <w:r>
        <w:rPr>
          <w:sz w:val="21"/>
        </w:rPr>
        <w:t>2.2.2培训课程定位与培训目标：明确课程围绕医院检验科/病理科ISO 15189体系认证需求，以提升体系运行能力和认证通过率为核心目标，并明确各层次人员的差异化培训目标。</w:t>
      </w:r>
    </w:p>
    <w:p>
      <w:pPr>
        <w:pStyle w:val="null3"/>
        <w:ind w:firstLine="480"/>
      </w:pPr>
      <w:r>
        <w:rPr>
          <w:sz w:val="21"/>
        </w:rPr>
        <w:t>2.2.3培训课程核心模块内容要素：涵盖标准条款解读、体系文件编写指导、全过程质量控制、内部审核、管理评审、不符合项纠正、生物安全与风险管理、测量不确定度评估、临床沟通等核心模块。</w:t>
      </w:r>
    </w:p>
    <w:p>
      <w:pPr>
        <w:pStyle w:val="null3"/>
        <w:ind w:firstLine="480"/>
      </w:pPr>
      <w:r>
        <w:rPr>
          <w:sz w:val="21"/>
        </w:rPr>
        <w:t>2.2.4教学形式：要求提供集中授课、现场辅导、模拟审核、一对一辅导、线上培训等多元化形式，并明确各形式占比及适用场景。</w:t>
      </w:r>
    </w:p>
    <w:p>
      <w:pPr>
        <w:pStyle w:val="null3"/>
        <w:ind w:firstLine="480"/>
      </w:pPr>
      <w:r>
        <w:rPr>
          <w:sz w:val="21"/>
        </w:rPr>
        <w:t>2.3检验结果支持接入“检验检查结果互认平台”，支持与三级医院结果互认，能够协助医院科室的建设和发展，有能力协助医院检验科或病理科通过ISO 15189体系认证工作。</w:t>
      </w:r>
    </w:p>
    <w:p>
      <w:pPr>
        <w:pStyle w:val="null3"/>
        <w:ind w:firstLine="480"/>
      </w:pPr>
      <w:r>
        <w:rPr>
          <w:sz w:val="21"/>
        </w:rPr>
        <w:t>2.4实验室检验岗位技术人员需持有有效“临床医学检验技师资格证”，其中从事基因扩增技术人员需持有有效“临床基因扩增检验技术人员培训证（或临床基因扩增检验实验室技术培训证）”。</w:t>
      </w:r>
    </w:p>
    <w:p>
      <w:pPr>
        <w:pStyle w:val="null3"/>
        <w:ind w:firstLine="480"/>
      </w:pPr>
      <w:r>
        <w:rPr>
          <w:sz w:val="21"/>
        </w:rPr>
        <w:t>★</w:t>
      </w:r>
      <w:r>
        <w:rPr>
          <w:sz w:val="21"/>
        </w:rPr>
        <w:t>2.5实验室：投标实验室须具有生物安全二级实验室（BSL-2）条件或承诺中标后完成BSL-2备案。</w:t>
      </w:r>
    </w:p>
    <w:p>
      <w:pPr>
        <w:pStyle w:val="null3"/>
        <w:ind w:firstLine="480"/>
      </w:pPr>
      <w:r>
        <w:rPr>
          <w:sz w:val="21"/>
        </w:rPr>
        <w:t>★2.6</w:t>
      </w:r>
      <w:r>
        <w:rPr>
          <w:sz w:val="21"/>
        </w:rPr>
        <w:t>投标人具备有效的《临床基因扩增检验实验室技术验收合格证书》或《临床基因扩增检验实验室技术审核合格证书》（投标文件中提供复印件作为证明材料），如证书名称与投标人名称不一致时，需同时提供两者为同一法律主体或同一单位的信息或证明文件复印件。（法律另有规定的，从其规定）。</w:t>
      </w:r>
    </w:p>
    <w:p>
      <w:pPr>
        <w:pStyle w:val="null3"/>
        <w:ind w:firstLine="480"/>
      </w:pPr>
      <w:r>
        <w:rPr>
          <w:sz w:val="21"/>
        </w:rPr>
        <w:t>★2.7</w:t>
      </w:r>
      <w:r>
        <w:rPr/>
        <w:t>本项目所有检测试剂必须为依法取得国家药品监督管理部门注册证或备案凭证的体外诊断试剂（</w:t>
      </w:r>
      <w:r>
        <w:rPr/>
        <w:t>IVD</w:t>
      </w:r>
      <w:r>
        <w:rPr/>
        <w:t>），不得使用无证、过期或科研用途试剂。采购人有权在合同履行期间随机抽查试剂资质文件，供应商须无条件配合；如发现使用不合规试剂，采购人有权立即终止合同并追究违约责任。</w:t>
      </w:r>
    </w:p>
    <w:p>
      <w:pPr>
        <w:pStyle w:val="null3"/>
        <w:ind w:firstLine="480"/>
      </w:pPr>
      <w:r>
        <w:rPr>
          <w:sz w:val="21"/>
          <w:b/>
        </w:rPr>
        <w:t>3.服务要求</w:t>
      </w:r>
    </w:p>
    <w:p>
      <w:pPr>
        <w:pStyle w:val="null3"/>
        <w:ind w:firstLine="480"/>
      </w:pPr>
      <w:r>
        <w:rPr>
          <w:sz w:val="21"/>
        </w:rPr>
        <w:t>3.1</w:t>
      </w:r>
      <w:r>
        <w:rPr>
          <w:sz w:val="21"/>
        </w:rPr>
        <w:t>中标人</w:t>
      </w:r>
      <w:r>
        <w:rPr>
          <w:sz w:val="21"/>
        </w:rPr>
        <w:t>负责每天不少于一次（含周六、周日）到</w:t>
      </w:r>
      <w:r>
        <w:rPr>
          <w:sz w:val="21"/>
        </w:rPr>
        <w:t>采购人</w:t>
      </w:r>
      <w:r>
        <w:rPr>
          <w:sz w:val="21"/>
        </w:rPr>
        <w:t>处收取标本，时间为</w:t>
      </w:r>
      <w:r>
        <w:rPr>
          <w:sz w:val="21"/>
        </w:rPr>
        <w:t>8:30-17:30，运送条件：冷链特种车运送，车辆必须配备专用车载冰箱或保温箱，冰箱或保温箱必须有相应的温度记录表；特殊检测标本另行约定。</w:t>
      </w:r>
    </w:p>
    <w:p>
      <w:pPr>
        <w:pStyle w:val="null3"/>
        <w:ind w:firstLine="480"/>
      </w:pPr>
      <w:r>
        <w:rPr>
          <w:sz w:val="21"/>
        </w:rPr>
        <w:t>3.2物流服务：提供专业冷链物流服务，温度监控功能，确保标本运输过程的</w:t>
      </w:r>
      <w:r>
        <w:rPr>
          <w:sz w:val="21"/>
        </w:rPr>
        <w:t>安全</w:t>
      </w:r>
      <w:r>
        <w:rPr>
          <w:sz w:val="21"/>
        </w:rPr>
        <w:t>有效。能满足医院感染类样本的运输要求。</w:t>
      </w:r>
    </w:p>
    <w:p>
      <w:pPr>
        <w:pStyle w:val="null3"/>
        <w:ind w:firstLine="480"/>
      </w:pPr>
      <w:r>
        <w:rPr>
          <w:sz w:val="21"/>
        </w:rPr>
        <w:t>3.3未经</w:t>
      </w:r>
      <w:r>
        <w:rPr>
          <w:sz w:val="21"/>
        </w:rPr>
        <w:t>采购人</w:t>
      </w:r>
      <w:r>
        <w:rPr>
          <w:sz w:val="21"/>
        </w:rPr>
        <w:t>同意，不得将</w:t>
      </w:r>
      <w:r>
        <w:rPr>
          <w:sz w:val="21"/>
        </w:rPr>
        <w:t>采购人</w:t>
      </w:r>
      <w:r>
        <w:rPr>
          <w:sz w:val="21"/>
        </w:rPr>
        <w:t>标本用于其他用途。</w:t>
      </w:r>
    </w:p>
    <w:p>
      <w:pPr>
        <w:pStyle w:val="null3"/>
        <w:ind w:firstLine="480"/>
      </w:pPr>
      <w:r>
        <w:rPr>
          <w:sz w:val="21"/>
        </w:rPr>
        <w:t>3.4</w:t>
      </w:r>
      <w:r>
        <w:rPr>
          <w:sz w:val="21"/>
        </w:rPr>
        <w:t>中标人</w:t>
      </w:r>
      <w:r>
        <w:rPr>
          <w:sz w:val="21"/>
        </w:rPr>
        <w:t>需向</w:t>
      </w:r>
      <w:r>
        <w:rPr>
          <w:sz w:val="21"/>
        </w:rPr>
        <w:t>采购人</w:t>
      </w:r>
      <w:r>
        <w:rPr>
          <w:sz w:val="21"/>
        </w:rPr>
        <w:t>提供特殊检测项目血液采集试管及特殊检查耗材，此部分费用包含在合同总价中，</w:t>
      </w:r>
      <w:r>
        <w:rPr>
          <w:sz w:val="21"/>
        </w:rPr>
        <w:t>采购人</w:t>
      </w:r>
      <w:r>
        <w:rPr>
          <w:sz w:val="21"/>
        </w:rPr>
        <w:t>不再另行支付费用。</w:t>
      </w:r>
    </w:p>
    <w:p>
      <w:pPr>
        <w:pStyle w:val="null3"/>
        <w:ind w:firstLine="480"/>
      </w:pPr>
      <w:r>
        <w:rPr>
          <w:sz w:val="21"/>
        </w:rPr>
        <w:t>3.5为</w:t>
      </w:r>
      <w:r>
        <w:rPr>
          <w:sz w:val="21"/>
        </w:rPr>
        <w:t>采购人</w:t>
      </w:r>
      <w:r>
        <w:rPr>
          <w:sz w:val="21"/>
        </w:rPr>
        <w:t>提供检验单补单服务，由此所产生的费用均包含在合同总价中。</w:t>
      </w:r>
    </w:p>
    <w:p>
      <w:pPr>
        <w:pStyle w:val="null3"/>
        <w:ind w:firstLine="480"/>
      </w:pPr>
      <w:r>
        <w:rPr>
          <w:sz w:val="21"/>
        </w:rPr>
        <w:t>3.6</w:t>
      </w:r>
      <w:r>
        <w:rPr>
          <w:sz w:val="21"/>
        </w:rPr>
        <w:t>中标人须负责其检验信息系统与采购人现有</w:t>
      </w:r>
      <w:r>
        <w:rPr>
          <w:sz w:val="21"/>
        </w:rPr>
        <w:t>LIS系统的双向数据接口开发与对接工作，确保检验申请、样本状态、检验结果等数据能够准确、及时地</w:t>
      </w:r>
      <w:r>
        <w:rPr>
          <w:sz w:val="21"/>
        </w:rPr>
        <w:t>双向</w:t>
      </w:r>
      <w:r>
        <w:rPr>
          <w:sz w:val="21"/>
        </w:rPr>
        <w:t>传输。</w:t>
      </w:r>
      <w:r>
        <w:rPr>
          <w:sz w:val="21"/>
        </w:rPr>
        <w:t>中标人向采购人传输的所有检验结果及报告必须为可编辑、可检索的结构化数据格式，严禁仅以图片、</w:t>
      </w:r>
      <w:r>
        <w:rPr>
          <w:sz w:val="21"/>
        </w:rPr>
        <w:t>PDF扫描件等非结构化形式传输，以确保数据能无缝接入采购人</w:t>
      </w:r>
      <w:r>
        <w:rPr>
          <w:sz w:val="21"/>
        </w:rPr>
        <w:t>LIS等</w:t>
      </w:r>
      <w:r>
        <w:rPr>
          <w:sz w:val="21"/>
        </w:rPr>
        <w:t>系统。</w:t>
      </w:r>
      <w:r>
        <w:rPr>
          <w:sz w:val="21"/>
        </w:rPr>
        <w:t>对接所产生的全部费用（包括但不限于接口开发费、测试费、维护费等）由中标人承担。投标人应在投标文件中提供详细的系统对接技术方案及承诺</w:t>
      </w:r>
      <w:r>
        <w:rPr>
          <w:sz w:val="21"/>
        </w:rPr>
        <w:t>函</w:t>
      </w:r>
      <w:r>
        <w:rPr>
          <w:sz w:val="21"/>
        </w:rPr>
        <w:t>。</w:t>
      </w:r>
      <w:r>
        <w:rPr>
          <w:sz w:val="21"/>
        </w:rPr>
        <w:t>实现检查项目（含临检、病理及药学）结果上传至院内临检、病理及药学检验系统</w:t>
      </w:r>
      <w:r>
        <w:rPr>
          <w:sz w:val="21"/>
        </w:rPr>
        <w:t>，并</w:t>
      </w:r>
      <w:r>
        <w:rPr>
          <w:sz w:val="21"/>
        </w:rPr>
        <w:t>及时反馈危急值、退单退费等，提供结构化检验报告。</w:t>
      </w:r>
    </w:p>
    <w:p>
      <w:pPr>
        <w:pStyle w:val="null3"/>
        <w:ind w:firstLine="480"/>
      </w:pPr>
      <w:r>
        <w:rPr>
          <w:sz w:val="21"/>
        </w:rPr>
        <w:t>3.7如</w:t>
      </w:r>
      <w:r>
        <w:rPr>
          <w:sz w:val="21"/>
        </w:rPr>
        <w:t>采购人</w:t>
      </w:r>
      <w:r>
        <w:rPr>
          <w:sz w:val="21"/>
        </w:rPr>
        <w:t>出现突发仪器故障，</w:t>
      </w:r>
      <w:r>
        <w:rPr>
          <w:sz w:val="21"/>
        </w:rPr>
        <w:t>中标人</w:t>
      </w:r>
      <w:r>
        <w:rPr>
          <w:sz w:val="21"/>
        </w:rPr>
        <w:t>可提供临时外送标本服务，服务费用折扣率比例与投标折扣率比例一致</w:t>
      </w:r>
      <w:r>
        <w:rPr>
          <w:sz w:val="21"/>
        </w:rPr>
        <w:t>（计算基数均以物价部门定价执行）</w:t>
      </w:r>
      <w:r>
        <w:rPr>
          <w:sz w:val="21"/>
        </w:rPr>
        <w:t>。</w:t>
      </w:r>
    </w:p>
    <w:p>
      <w:pPr>
        <w:pStyle w:val="null3"/>
        <w:ind w:firstLine="480"/>
      </w:pPr>
      <w:r>
        <w:rPr>
          <w:sz w:val="21"/>
        </w:rPr>
        <w:t>3.8提供在线结果查询，对于疑难病例的检测报告，</w:t>
      </w:r>
      <w:r>
        <w:rPr>
          <w:sz w:val="21"/>
        </w:rPr>
        <w:t>中标人</w:t>
      </w:r>
      <w:r>
        <w:rPr>
          <w:sz w:val="21"/>
        </w:rPr>
        <w:t>需提供解读报告的相关服务。</w:t>
      </w:r>
    </w:p>
    <w:p>
      <w:pPr>
        <w:pStyle w:val="null3"/>
        <w:ind w:firstLine="480"/>
      </w:pPr>
      <w:r>
        <w:rPr>
          <w:sz w:val="21"/>
        </w:rPr>
        <w:t>3.9根据</w:t>
      </w:r>
      <w:r>
        <w:rPr>
          <w:sz w:val="21"/>
        </w:rPr>
        <w:t>采购人</w:t>
      </w:r>
      <w:r>
        <w:rPr>
          <w:sz w:val="21"/>
        </w:rPr>
        <w:t>的项目设定单项检查项目和组合检查项目。</w:t>
      </w:r>
    </w:p>
    <w:p>
      <w:pPr>
        <w:pStyle w:val="null3"/>
        <w:ind w:firstLine="480"/>
      </w:pPr>
      <w:r>
        <w:rPr>
          <w:sz w:val="21"/>
        </w:rPr>
        <w:t>3.10外检目录仅供</w:t>
      </w:r>
      <w:r>
        <w:rPr>
          <w:sz w:val="21"/>
        </w:rPr>
        <w:t>中标人</w:t>
      </w:r>
      <w:r>
        <w:rPr>
          <w:sz w:val="21"/>
        </w:rPr>
        <w:t>投标参考。在项目服务期间，</w:t>
      </w:r>
      <w:r>
        <w:rPr>
          <w:sz w:val="21"/>
        </w:rPr>
        <w:t>采购人</w:t>
      </w:r>
      <w:r>
        <w:rPr>
          <w:sz w:val="21"/>
        </w:rPr>
        <w:t>有权根据业务发展和临床的需求对外检目录进行增减或修改，</w:t>
      </w:r>
      <w:r>
        <w:rPr>
          <w:sz w:val="21"/>
        </w:rPr>
        <w:t>中标人</w:t>
      </w:r>
      <w:r>
        <w:rPr>
          <w:sz w:val="21"/>
        </w:rPr>
        <w:t>应予以配合。</w:t>
      </w:r>
    </w:p>
    <w:p>
      <w:pPr>
        <w:pStyle w:val="null3"/>
        <w:ind w:firstLine="480"/>
      </w:pPr>
      <w:r>
        <w:rPr>
          <w:sz w:val="21"/>
        </w:rPr>
        <w:t>3.11</w:t>
      </w:r>
      <w:r>
        <w:rPr>
          <w:sz w:val="21"/>
        </w:rPr>
        <w:t>中标人仅</w:t>
      </w:r>
      <w:r>
        <w:rPr>
          <w:sz w:val="21"/>
        </w:rPr>
        <w:t>获得服务资格，</w:t>
      </w:r>
      <w:r>
        <w:rPr>
          <w:sz w:val="21"/>
        </w:rPr>
        <w:t>采购人</w:t>
      </w:r>
      <w:r>
        <w:rPr>
          <w:sz w:val="21"/>
        </w:rPr>
        <w:t>无法预计也无法保证</w:t>
      </w:r>
      <w:r>
        <w:rPr>
          <w:sz w:val="21"/>
        </w:rPr>
        <w:t>中标人</w:t>
      </w:r>
      <w:r>
        <w:rPr>
          <w:sz w:val="21"/>
        </w:rPr>
        <w:t>固定的检验任务量，检验任务量以</w:t>
      </w:r>
      <w:r>
        <w:rPr>
          <w:sz w:val="21"/>
        </w:rPr>
        <w:t>采购人</w:t>
      </w:r>
      <w:r>
        <w:rPr>
          <w:sz w:val="21"/>
        </w:rPr>
        <w:t>实际委托检验数量为准。</w:t>
      </w:r>
    </w:p>
    <w:p>
      <w:pPr>
        <w:pStyle w:val="null3"/>
        <w:ind w:firstLine="480"/>
      </w:pPr>
      <w:r>
        <w:rPr>
          <w:sz w:val="21"/>
        </w:rPr>
        <w:t>3.12在</w:t>
      </w:r>
      <w:r>
        <w:rPr>
          <w:sz w:val="21"/>
        </w:rPr>
        <w:t>采购人</w:t>
      </w:r>
      <w:r>
        <w:rPr>
          <w:sz w:val="21"/>
        </w:rPr>
        <w:t>开展检验新项目期间，经双方协商一致，</w:t>
      </w:r>
      <w:r>
        <w:rPr>
          <w:sz w:val="21"/>
        </w:rPr>
        <w:t>中标人</w:t>
      </w:r>
      <w:r>
        <w:rPr>
          <w:sz w:val="21"/>
        </w:rPr>
        <w:t>提供必要的人力、技术等方面的支持。</w:t>
      </w:r>
    </w:p>
    <w:p>
      <w:pPr>
        <w:pStyle w:val="null3"/>
        <w:ind w:firstLine="480"/>
      </w:pPr>
      <w:r>
        <w:rPr>
          <w:sz w:val="21"/>
          <w:b/>
        </w:rPr>
        <w:t>4.服务团队</w:t>
      </w:r>
    </w:p>
    <w:p>
      <w:pPr>
        <w:pStyle w:val="null3"/>
        <w:ind w:firstLine="480"/>
      </w:pPr>
      <w:r>
        <w:rPr>
          <w:sz w:val="21"/>
        </w:rPr>
        <w:t>4.1</w:t>
      </w:r>
      <w:r>
        <w:rPr>
          <w:sz w:val="21"/>
        </w:rPr>
        <w:t>中标人</w:t>
      </w:r>
      <w:r>
        <w:rPr>
          <w:sz w:val="21"/>
        </w:rPr>
        <w:t>实验室技术负责人应符合国家相关要求，且具备检验相关专业的高级（副高及以上）职称专业人员。项目人员（不含技术负责人）具备检验相关专业的中级（或以上）职称专业人员。</w:t>
      </w:r>
    </w:p>
    <w:p>
      <w:pPr>
        <w:pStyle w:val="null3"/>
        <w:ind w:firstLine="480"/>
      </w:pPr>
      <w:r>
        <w:rPr>
          <w:sz w:val="21"/>
        </w:rPr>
        <w:t>4.2拟投入本项目的服务团队人员中，具备高级临床医学检验技术及以上职称人员、</w:t>
      </w:r>
      <w:r>
        <w:rPr>
          <w:sz w:val="21"/>
        </w:rPr>
        <w:t>中级</w:t>
      </w:r>
      <w:r>
        <w:rPr>
          <w:sz w:val="21"/>
        </w:rPr>
        <w:t>临床医学检验技术及以上职称人员、病理学（高级或以上）</w:t>
      </w:r>
      <w:r>
        <w:rPr>
          <w:sz w:val="21"/>
        </w:rPr>
        <w:t>职称人员、</w:t>
      </w:r>
      <w:r>
        <w:rPr>
          <w:sz w:val="21"/>
        </w:rPr>
        <w:t>病理学中级职称人员的配置情况将作为综合评估团队专业能力的重要依据。如同一人具备不同级别职称的，按照较高级别认定，不可累计计算。</w:t>
      </w:r>
    </w:p>
    <w:p>
      <w:pPr>
        <w:pStyle w:val="null3"/>
        <w:ind w:firstLine="480"/>
      </w:pPr>
      <w:r>
        <w:rPr>
          <w:sz w:val="21"/>
        </w:rPr>
        <w:t>4.</w:t>
      </w:r>
      <w:r>
        <w:rPr>
          <w:sz w:val="21"/>
        </w:rPr>
        <w:t>3</w:t>
      </w:r>
      <w:r>
        <w:rPr>
          <w:sz w:val="21"/>
        </w:rPr>
        <w:t>证明材料要求</w:t>
      </w:r>
    </w:p>
    <w:p>
      <w:pPr>
        <w:pStyle w:val="null3"/>
        <w:ind w:firstLine="480"/>
      </w:pPr>
      <w:r>
        <w:rPr>
          <w:sz w:val="21"/>
        </w:rPr>
        <w:t>为证明其服务团队满足上述所有要求，投标人须提供以下材料：</w:t>
      </w:r>
    </w:p>
    <w:p>
      <w:pPr>
        <w:pStyle w:val="null3"/>
        <w:ind w:firstLine="480"/>
      </w:pPr>
      <w:r>
        <w:rPr>
          <w:sz w:val="21"/>
        </w:rPr>
        <w:t>人员清单：提供拟投入本项目所有服务团队成员的详细清单，包含姓名、岗位、职称及专业。</w:t>
      </w:r>
    </w:p>
    <w:p>
      <w:pPr>
        <w:pStyle w:val="null3"/>
        <w:ind w:firstLine="480"/>
      </w:pPr>
      <w:r>
        <w:rPr>
          <w:sz w:val="21"/>
        </w:rPr>
        <w:t>资格证明：提供所有团队成员的身份证、学历证书、职称证书、执业资格证书及其他相关技能证书的清晰复印件。</w:t>
      </w:r>
    </w:p>
    <w:p>
      <w:pPr>
        <w:pStyle w:val="null3"/>
        <w:ind w:firstLine="480"/>
      </w:pPr>
      <w:r>
        <w:rPr>
          <w:sz w:val="21"/>
        </w:rPr>
        <w:t>社保缴纳证明：提供由社保部门出具的、截止至开标当月（不含）前</w:t>
      </w:r>
      <w:r>
        <w:rPr>
          <w:sz w:val="21"/>
        </w:rPr>
        <w:t>3 个月内任意一个月，投标人为上述所有人员缴纳社会保险的证明材料。</w:t>
      </w:r>
    </w:p>
    <w:p>
      <w:pPr>
        <w:pStyle w:val="null3"/>
        <w:ind w:firstLine="480"/>
      </w:pPr>
      <w:r>
        <w:rPr>
          <w:sz w:val="21"/>
        </w:rPr>
        <w:t>文件要求：所有证明材料均须为清晰的电子扫描件，并加盖投标人公章。未能提供或提供材料不清晰、不完整的，将可能导致相关评审项不得分。</w:t>
      </w:r>
    </w:p>
    <w:p>
      <w:pPr>
        <w:pStyle w:val="null3"/>
        <w:ind w:firstLine="480"/>
      </w:pPr>
      <w:r>
        <w:rPr>
          <w:sz w:val="21"/>
          <w:b/>
        </w:rPr>
        <w:t>5.检验结果质量要求</w:t>
      </w:r>
    </w:p>
    <w:p>
      <w:pPr>
        <w:pStyle w:val="null3"/>
        <w:ind w:firstLine="480"/>
      </w:pPr>
      <w:r>
        <w:rPr>
          <w:sz w:val="21"/>
        </w:rPr>
        <w:t>5.1检验结果差错比≤1/10000。</w:t>
      </w:r>
    </w:p>
    <w:p>
      <w:pPr>
        <w:pStyle w:val="null3"/>
        <w:ind w:firstLine="480"/>
      </w:pPr>
      <w:r>
        <w:rPr>
          <w:sz w:val="21"/>
        </w:rPr>
        <w:t>5.2检验结果与诊断报告相符程度（不可前后矛盾）≥99%。</w:t>
      </w:r>
    </w:p>
    <w:p>
      <w:pPr>
        <w:pStyle w:val="null3"/>
        <w:ind w:firstLine="480"/>
      </w:pPr>
      <w:r>
        <w:rPr>
          <w:sz w:val="21"/>
        </w:rPr>
        <w:t>5.3报告内容与报告结论吻合。</w:t>
      </w:r>
    </w:p>
    <w:p>
      <w:pPr>
        <w:pStyle w:val="null3"/>
        <w:ind w:firstLine="480"/>
      </w:pPr>
      <w:r>
        <w:rPr>
          <w:sz w:val="21"/>
        </w:rPr>
        <w:t>5.4检验标本丢失、运送错误率：每季度累计≤1/10000。</w:t>
      </w:r>
    </w:p>
    <w:p>
      <w:pPr>
        <w:pStyle w:val="null3"/>
        <w:ind w:firstLine="480"/>
      </w:pPr>
      <w:r>
        <w:rPr>
          <w:sz w:val="21"/>
        </w:rPr>
        <w:t>5.5报告的延误送达率：服务期限内≤1/10000。</w:t>
      </w:r>
    </w:p>
    <w:p>
      <w:pPr>
        <w:pStyle w:val="null3"/>
        <w:ind w:firstLine="480"/>
      </w:pPr>
      <w:r>
        <w:rPr>
          <w:sz w:val="21"/>
        </w:rPr>
        <w:t>5.6检验项目必须与</w:t>
      </w:r>
      <w:r>
        <w:rPr>
          <w:sz w:val="21"/>
        </w:rPr>
        <w:t>采购人</w:t>
      </w:r>
      <w:r>
        <w:rPr>
          <w:sz w:val="21"/>
        </w:rPr>
        <w:t>开单项目吻合。</w:t>
      </w:r>
    </w:p>
    <w:p>
      <w:pPr>
        <w:pStyle w:val="null3"/>
        <w:ind w:firstLine="480"/>
      </w:pPr>
      <w:r>
        <w:rPr>
          <w:sz w:val="21"/>
        </w:rPr>
        <w:t>5.7检验报告结果危急报告率100%。</w:t>
      </w:r>
    </w:p>
    <w:p>
      <w:pPr>
        <w:pStyle w:val="null3"/>
        <w:ind w:firstLine="480"/>
      </w:pPr>
      <w:r>
        <w:rPr>
          <w:sz w:val="21"/>
          <w:b/>
        </w:rPr>
        <w:t>6.质量保障</w:t>
      </w:r>
    </w:p>
    <w:p>
      <w:pPr>
        <w:pStyle w:val="null3"/>
        <w:ind w:firstLine="480"/>
      </w:pPr>
      <w:r>
        <w:rPr>
          <w:sz w:val="21"/>
        </w:rPr>
        <w:t>6.1</w:t>
      </w:r>
      <w:r>
        <w:rPr>
          <w:sz w:val="21"/>
        </w:rPr>
        <w:t>中标人</w:t>
      </w:r>
      <w:r>
        <w:rPr>
          <w:sz w:val="21"/>
        </w:rPr>
        <w:t>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投标人提供拟投入本项目的核心设备清单（包括但不限于</w:t>
      </w:r>
      <w:r>
        <w:rPr>
          <w:sz w:val="21"/>
        </w:rPr>
        <w:t>PCR仪、全自动生化分析仪、全自动免疫分析仪、质谱平台、流式细胞仪等），设备配置数量及通量能够满足本项目预估样本量及TAT（周转时间）要求。同时，针对本项目提供完善的设备故障应急预案及备用设备调配方案，确保在设备维修、校准或突发高样本量时不影响检测进度</w:t>
      </w:r>
      <w:r>
        <w:rPr>
          <w:sz w:val="21"/>
        </w:rPr>
        <w:t>。</w:t>
      </w:r>
    </w:p>
    <w:p>
      <w:pPr>
        <w:pStyle w:val="null3"/>
        <w:ind w:firstLine="480"/>
      </w:pPr>
      <w:r>
        <w:rPr>
          <w:sz w:val="21"/>
        </w:rPr>
        <w:t>6.2</w:t>
      </w:r>
      <w:r>
        <w:rPr>
          <w:sz w:val="21"/>
        </w:rPr>
        <w:t>中标人</w:t>
      </w:r>
      <w:r>
        <w:rPr>
          <w:sz w:val="21"/>
        </w:rPr>
        <w:t>的实验室具有完善的质量管理体系，每次检测都有严格的室内质控，每年参加卫生健康委、省级或以上临检中心的质量控制和室间质量评估工作，以控制诊断结果的质量；实验室通过检验相关认证，定期参与质量评审。因</w:t>
      </w:r>
      <w:r>
        <w:rPr>
          <w:sz w:val="21"/>
        </w:rPr>
        <w:t>中标人</w:t>
      </w:r>
      <w:r>
        <w:rPr>
          <w:sz w:val="21"/>
        </w:rPr>
        <w:t>实验室质量因素导致的医疗纠纷、事故等不良后果的，由此产生的赔偿责任由</w:t>
      </w:r>
      <w:r>
        <w:rPr>
          <w:sz w:val="21"/>
        </w:rPr>
        <w:t>中标人</w:t>
      </w:r>
      <w:r>
        <w:rPr>
          <w:sz w:val="21"/>
        </w:rPr>
        <w:t>承担。</w:t>
      </w:r>
    </w:p>
    <w:p>
      <w:pPr>
        <w:pStyle w:val="null3"/>
        <w:ind w:firstLine="480"/>
      </w:pPr>
      <w:r>
        <w:rPr>
          <w:sz w:val="21"/>
        </w:rPr>
        <w:t>6.3提供室间质评报告，并参加国家卫生健康委临床检验中心参与评比或能力验证。</w:t>
      </w:r>
    </w:p>
    <w:p>
      <w:pPr>
        <w:pStyle w:val="null3"/>
        <w:ind w:firstLine="480"/>
      </w:pPr>
      <w:r>
        <w:rPr>
          <w:sz w:val="21"/>
          <w:b/>
        </w:rPr>
        <w:t>7.标本接收送检要求</w:t>
      </w:r>
    </w:p>
    <w:p>
      <w:pPr>
        <w:pStyle w:val="null3"/>
        <w:ind w:firstLine="480"/>
      </w:pPr>
      <w:r>
        <w:rPr>
          <w:sz w:val="21"/>
        </w:rPr>
        <w:t>7.1</w:t>
      </w:r>
      <w:r>
        <w:rPr>
          <w:sz w:val="21"/>
        </w:rPr>
        <w:t>中标人</w:t>
      </w:r>
      <w:r>
        <w:rPr>
          <w:sz w:val="21"/>
        </w:rPr>
        <w:t>具有规范的标本接收、登记和包装流程，保证标本质量和安全，确保标本顺利交接，方便</w:t>
      </w:r>
      <w:r>
        <w:rPr>
          <w:sz w:val="21"/>
        </w:rPr>
        <w:t>查验</w:t>
      </w:r>
      <w:r>
        <w:rPr>
          <w:sz w:val="21"/>
        </w:rPr>
        <w:t>。</w:t>
      </w:r>
    </w:p>
    <w:p>
      <w:pPr>
        <w:pStyle w:val="null3"/>
        <w:ind w:firstLine="480"/>
      </w:pPr>
      <w:r>
        <w:rPr>
          <w:sz w:val="21"/>
        </w:rPr>
        <w:t>7.2</w:t>
      </w:r>
      <w:r>
        <w:rPr>
          <w:sz w:val="21"/>
        </w:rPr>
        <w:t>中标人</w:t>
      </w:r>
      <w:r>
        <w:rPr>
          <w:sz w:val="21"/>
        </w:rPr>
        <w:t>标本接收人员要通过严格培训，负责标本质量的初检、标识的核对，标本的接收登记及包装储存。</w:t>
      </w:r>
    </w:p>
    <w:p>
      <w:pPr>
        <w:pStyle w:val="null3"/>
        <w:ind w:firstLine="480"/>
      </w:pPr>
      <w:r>
        <w:rPr>
          <w:sz w:val="21"/>
        </w:rPr>
        <w:t>7.3</w:t>
      </w:r>
      <w:r>
        <w:rPr>
          <w:sz w:val="21"/>
        </w:rPr>
        <w:t>中标人</w:t>
      </w:r>
      <w:r>
        <w:rPr>
          <w:sz w:val="21"/>
        </w:rPr>
        <w:t>必须确保及时接收、送检标本和及时检验。标本不符合检验要求时，应及时通知</w:t>
      </w:r>
      <w:r>
        <w:rPr>
          <w:sz w:val="21"/>
        </w:rPr>
        <w:t>采购人</w:t>
      </w:r>
      <w:r>
        <w:rPr>
          <w:sz w:val="21"/>
        </w:rPr>
        <w:t>重新取样。</w:t>
      </w:r>
    </w:p>
    <w:p>
      <w:pPr>
        <w:pStyle w:val="null3"/>
        <w:ind w:firstLine="480"/>
      </w:pPr>
      <w:r>
        <w:rPr>
          <w:sz w:val="21"/>
        </w:rPr>
        <w:t>7.4标本在送检过程中出现延迟、遗漏、丢失等情况，</w:t>
      </w:r>
      <w:r>
        <w:rPr>
          <w:sz w:val="21"/>
        </w:rPr>
        <w:t>中标人</w:t>
      </w:r>
      <w:r>
        <w:rPr>
          <w:sz w:val="21"/>
        </w:rPr>
        <w:t>应有完善的应急预案予以妥善解决，否则</w:t>
      </w:r>
      <w:r>
        <w:rPr>
          <w:sz w:val="21"/>
        </w:rPr>
        <w:t>中标人</w:t>
      </w:r>
      <w:r>
        <w:rPr>
          <w:sz w:val="21"/>
        </w:rPr>
        <w:t>应承担相应责任。</w:t>
      </w:r>
    </w:p>
    <w:p>
      <w:pPr>
        <w:pStyle w:val="null3"/>
        <w:ind w:firstLine="480"/>
      </w:pPr>
      <w:r>
        <w:rPr>
          <w:sz w:val="21"/>
        </w:rPr>
        <w:t>7.5部分特殊检查项目所需的采样器、知情同意书、专用的患者资料登记申请单等由</w:t>
      </w:r>
      <w:r>
        <w:rPr>
          <w:sz w:val="21"/>
        </w:rPr>
        <w:t>中标人</w:t>
      </w:r>
      <w:r>
        <w:rPr>
          <w:sz w:val="21"/>
        </w:rPr>
        <w:t>提供，</w:t>
      </w:r>
      <w:r>
        <w:rPr>
          <w:sz w:val="21"/>
        </w:rPr>
        <w:t>采购人</w:t>
      </w:r>
      <w:r>
        <w:rPr>
          <w:sz w:val="21"/>
        </w:rPr>
        <w:t>不再另行支付该部分所产生的费用。</w:t>
      </w:r>
    </w:p>
    <w:p>
      <w:pPr>
        <w:pStyle w:val="null3"/>
        <w:ind w:firstLine="480"/>
      </w:pPr>
      <w:r>
        <w:rPr>
          <w:sz w:val="21"/>
          <w:b/>
        </w:rPr>
        <w:t>8.检验报告签发</w:t>
      </w:r>
    </w:p>
    <w:p>
      <w:pPr>
        <w:pStyle w:val="null3"/>
        <w:ind w:firstLine="480"/>
      </w:pPr>
      <w:r>
        <w:rPr>
          <w:sz w:val="21"/>
        </w:rPr>
        <w:t>检验报告单必须由具备相应资质的检验人员签发，并由上级检验师或医师复核。出现因检验结果错误导致</w:t>
      </w:r>
      <w:r>
        <w:rPr>
          <w:sz w:val="21"/>
        </w:rPr>
        <w:t>采购人</w:t>
      </w:r>
      <w:r>
        <w:rPr>
          <w:sz w:val="21"/>
        </w:rPr>
        <w:t>医疗纠纷等不良后果，责任由</w:t>
      </w:r>
      <w:r>
        <w:rPr>
          <w:sz w:val="21"/>
        </w:rPr>
        <w:t>中标人</w:t>
      </w:r>
      <w:r>
        <w:rPr>
          <w:sz w:val="21"/>
        </w:rPr>
        <w:t>承担。</w:t>
      </w:r>
    </w:p>
    <w:p>
      <w:pPr>
        <w:pStyle w:val="null3"/>
        <w:ind w:firstLine="480"/>
      </w:pPr>
      <w:r>
        <w:rPr>
          <w:sz w:val="21"/>
          <w:b/>
        </w:rPr>
        <w:t>9.技术支持</w:t>
      </w:r>
    </w:p>
    <w:p>
      <w:pPr>
        <w:pStyle w:val="null3"/>
        <w:ind w:firstLine="480"/>
      </w:pPr>
      <w:r>
        <w:rPr>
          <w:sz w:val="21"/>
        </w:rPr>
        <w:t>9.1</w:t>
      </w:r>
      <w:r>
        <w:rPr>
          <w:sz w:val="21"/>
        </w:rPr>
        <w:t>中标人具备强大的专业技术支撑平台，能够依托其自有或合作的三级甲等医疗机构资源，协助采购人开展进修培训、继续教育及学术交流活动。</w:t>
      </w:r>
    </w:p>
    <w:p>
      <w:pPr>
        <w:pStyle w:val="null3"/>
        <w:ind w:firstLine="480"/>
      </w:pPr>
      <w:r>
        <w:rPr>
          <w:sz w:val="21"/>
        </w:rPr>
        <w:t>9.2提供</w:t>
      </w:r>
      <w:r>
        <w:rPr>
          <w:sz w:val="21"/>
        </w:rPr>
        <w:t>采购人</w:t>
      </w:r>
      <w:r>
        <w:rPr>
          <w:sz w:val="21"/>
        </w:rPr>
        <w:t>医务工作人员到</w:t>
      </w:r>
      <w:r>
        <w:rPr>
          <w:sz w:val="21"/>
        </w:rPr>
        <w:t>中标人</w:t>
      </w:r>
      <w:r>
        <w:rPr>
          <w:sz w:val="21"/>
        </w:rPr>
        <w:t>实验室进修的机会，以提高</w:t>
      </w:r>
      <w:r>
        <w:rPr>
          <w:sz w:val="21"/>
        </w:rPr>
        <w:t>采购人</w:t>
      </w:r>
      <w:r>
        <w:rPr>
          <w:sz w:val="21"/>
        </w:rPr>
        <w:t>医务工作人员的专业技能。协助设计、制作相关医学检验宣传资料。能够协助检验科的建设和发展，每年提供检验人员进修和</w:t>
      </w:r>
      <w:r>
        <w:rPr>
          <w:sz w:val="21"/>
        </w:rPr>
        <w:t>ISO15189知识培训工作。</w:t>
      </w:r>
    </w:p>
    <w:p>
      <w:pPr>
        <w:pStyle w:val="null3"/>
        <w:ind w:firstLine="480"/>
      </w:pPr>
      <w:r>
        <w:rPr>
          <w:sz w:val="21"/>
          <w:b/>
        </w:rPr>
        <w:t>10.结果查询及咨询服务</w:t>
      </w:r>
    </w:p>
    <w:p>
      <w:pPr>
        <w:pStyle w:val="null3"/>
        <w:ind w:firstLine="480"/>
      </w:pPr>
      <w:r>
        <w:rPr>
          <w:sz w:val="21"/>
        </w:rPr>
        <w:t>10.1</w:t>
      </w:r>
      <w:r>
        <w:rPr>
          <w:sz w:val="21"/>
        </w:rPr>
        <w:t>中标人</w:t>
      </w:r>
      <w:r>
        <w:rPr>
          <w:sz w:val="21"/>
        </w:rPr>
        <w:t>需提供服务电话、网络查询等多种渠</w:t>
      </w:r>
      <w:r>
        <w:rPr>
          <w:sz w:val="21"/>
        </w:rPr>
        <w:t>道提</w:t>
      </w:r>
      <w:r>
        <w:rPr>
          <w:sz w:val="21"/>
        </w:rPr>
        <w:t>供业务咨询、报告查询、账单查询统计等功能。</w:t>
      </w:r>
    </w:p>
    <w:p>
      <w:pPr>
        <w:pStyle w:val="null3"/>
        <w:ind w:firstLine="480"/>
      </w:pPr>
      <w:r>
        <w:rPr>
          <w:sz w:val="21"/>
        </w:rPr>
        <w:t>10.2所有检测项目须与</w:t>
      </w:r>
      <w:r>
        <w:rPr>
          <w:sz w:val="21"/>
        </w:rPr>
        <w:t>采购人</w:t>
      </w:r>
      <w:r>
        <w:rPr>
          <w:sz w:val="21"/>
        </w:rPr>
        <w:t>检验信息系统（</w:t>
      </w:r>
      <w:r>
        <w:rPr>
          <w:sz w:val="21"/>
        </w:rPr>
        <w:t>LIS系统等）实施对接，需符合国家信息安全有关的规定和要求，可以通过</w:t>
      </w:r>
      <w:r>
        <w:rPr>
          <w:sz w:val="21"/>
        </w:rPr>
        <w:t>采购人</w:t>
      </w:r>
      <w:r>
        <w:rPr>
          <w:sz w:val="21"/>
        </w:rPr>
        <w:t>LIS等系统查询打印结果。对接所产生的费用由</w:t>
      </w:r>
      <w:r>
        <w:rPr>
          <w:sz w:val="21"/>
        </w:rPr>
        <w:t>中标人</w:t>
      </w:r>
      <w:r>
        <w:rPr>
          <w:sz w:val="21"/>
        </w:rPr>
        <w:t>承担。合同履约期间，系统对接功能出现异常的，</w:t>
      </w:r>
      <w:r>
        <w:rPr>
          <w:sz w:val="21"/>
        </w:rPr>
        <w:t>中标人</w:t>
      </w:r>
      <w:r>
        <w:rPr>
          <w:sz w:val="21"/>
        </w:rPr>
        <w:t>需在接报</w:t>
      </w:r>
      <w:r>
        <w:rPr>
          <w:sz w:val="21"/>
        </w:rPr>
        <w:t>2小时内安排专职人员检修，检修费用由</w:t>
      </w:r>
      <w:r>
        <w:rPr>
          <w:sz w:val="21"/>
        </w:rPr>
        <w:t>中标人</w:t>
      </w:r>
      <w:r>
        <w:rPr>
          <w:sz w:val="21"/>
        </w:rPr>
        <w:t>承担。</w:t>
      </w:r>
    </w:p>
    <w:p>
      <w:pPr>
        <w:pStyle w:val="null3"/>
        <w:ind w:firstLine="480"/>
      </w:pPr>
      <w:r>
        <w:rPr>
          <w:sz w:val="21"/>
        </w:rPr>
        <w:t>10.3提供网上查询服务，以供随时查询检测进度和结果。</w:t>
      </w:r>
    </w:p>
    <w:p>
      <w:pPr>
        <w:pStyle w:val="null3"/>
        <w:ind w:firstLine="480"/>
      </w:pPr>
      <w:r>
        <w:rPr>
          <w:sz w:val="21"/>
        </w:rPr>
        <w:t>10.4提供电话查询服务，危急检验项目有专人电话跟进，确保患者检测信息能与临床</w:t>
      </w:r>
      <w:r>
        <w:rPr>
          <w:sz w:val="21"/>
        </w:rPr>
        <w:t>医生</w:t>
      </w:r>
      <w:r>
        <w:rPr>
          <w:sz w:val="21"/>
        </w:rPr>
        <w:t>进行畅通的沟通。危急值在验单审核</w:t>
      </w:r>
      <w:r>
        <w:rPr>
          <w:sz w:val="21"/>
        </w:rPr>
        <w:t>15分钟内通过电话通知</w:t>
      </w:r>
      <w:r>
        <w:rPr>
          <w:sz w:val="21"/>
        </w:rPr>
        <w:t>到采购人</w:t>
      </w:r>
      <w:r>
        <w:rPr>
          <w:sz w:val="21"/>
        </w:rPr>
        <w:t>相应科室。</w:t>
      </w:r>
    </w:p>
    <w:p>
      <w:pPr>
        <w:pStyle w:val="null3"/>
        <w:ind w:firstLine="480"/>
      </w:pPr>
      <w:r>
        <w:rPr>
          <w:sz w:val="21"/>
        </w:rPr>
        <w:t>10.5按照</w:t>
      </w:r>
      <w:r>
        <w:rPr>
          <w:sz w:val="21"/>
        </w:rPr>
        <w:t>中标人</w:t>
      </w:r>
      <w:r>
        <w:rPr>
          <w:sz w:val="21"/>
        </w:rPr>
        <w:t>承诺的检测报告时间及时提供检测结果的时间执行（如有政策要求或行业标准的按照政策要求和行业标准出具），并能满足</w:t>
      </w:r>
      <w:r>
        <w:rPr>
          <w:sz w:val="21"/>
        </w:rPr>
        <w:t>采购人</w:t>
      </w:r>
      <w:r>
        <w:rPr>
          <w:sz w:val="21"/>
        </w:rPr>
        <w:t>急诊项目的优先检测要求。</w:t>
      </w:r>
    </w:p>
    <w:p>
      <w:pPr>
        <w:pStyle w:val="null3"/>
        <w:ind w:firstLine="480"/>
      </w:pPr>
      <w:r>
        <w:rPr>
          <w:sz w:val="21"/>
        </w:rPr>
        <w:t>10.6</w:t>
      </w:r>
      <w:r>
        <w:rPr>
          <w:sz w:val="21"/>
        </w:rPr>
        <w:t>中标人</w:t>
      </w:r>
      <w:r>
        <w:rPr>
          <w:sz w:val="21"/>
        </w:rPr>
        <w:t>协助医院系统实现互联互通，支持区域内医院系统集中部署，推动医疗资源融合，帮助持续完善、升级医疗信息化服务，构建完整的</w:t>
      </w:r>
      <w:r>
        <w:rPr>
          <w:sz w:val="21"/>
        </w:rPr>
        <w:t>5G智慧医疗系统。</w:t>
      </w:r>
    </w:p>
    <w:p>
      <w:pPr>
        <w:pStyle w:val="null3"/>
        <w:ind w:firstLine="480"/>
      </w:pPr>
      <w:r>
        <w:rPr>
          <w:sz w:val="21"/>
          <w:b/>
        </w:rPr>
        <w:t>11.项目方案</w:t>
      </w:r>
    </w:p>
    <w:p>
      <w:pPr>
        <w:pStyle w:val="null3"/>
        <w:ind w:firstLine="480"/>
      </w:pPr>
      <w:r>
        <w:rPr>
          <w:sz w:val="21"/>
        </w:rPr>
        <w:t>投标人投标时应提交项目</w:t>
      </w:r>
      <w:r>
        <w:rPr>
          <w:sz w:val="21"/>
        </w:rPr>
        <w:t>物流</w:t>
      </w:r>
      <w:r>
        <w:rPr>
          <w:sz w:val="21"/>
        </w:rPr>
        <w:t>、</w:t>
      </w:r>
      <w:r>
        <w:rPr>
          <w:sz w:val="21"/>
        </w:rPr>
        <w:t>质量</w:t>
      </w:r>
      <w:r>
        <w:rPr>
          <w:sz w:val="21"/>
        </w:rPr>
        <w:t>、</w:t>
      </w:r>
      <w:r>
        <w:rPr>
          <w:sz w:val="21"/>
        </w:rPr>
        <w:t>样品和标本处置</w:t>
      </w:r>
      <w:r>
        <w:rPr>
          <w:sz w:val="21"/>
        </w:rPr>
        <w:t>方案（方案内容包括但不限于）</w:t>
      </w:r>
      <w:r>
        <w:rPr>
          <w:sz w:val="21"/>
        </w:rPr>
        <w:t>；内容如下。</w:t>
      </w:r>
    </w:p>
    <w:p>
      <w:pPr>
        <w:pStyle w:val="null3"/>
        <w:ind w:firstLine="480"/>
      </w:pPr>
      <w:r>
        <w:rPr>
          <w:sz w:val="21"/>
        </w:rPr>
        <w:t>11.1物流服务方案（包括但不限于①配送路线规划，②配送人员安排，③物流期间的温度控制措施，④应急配送预案等内容）。</w:t>
      </w:r>
    </w:p>
    <w:p>
      <w:pPr>
        <w:pStyle w:val="null3"/>
        <w:ind w:firstLine="480"/>
      </w:pPr>
      <w:r>
        <w:rPr>
          <w:sz w:val="21"/>
        </w:rPr>
        <w:t>11.1.1配送路线规划与时效要求</w:t>
      </w:r>
    </w:p>
    <w:p>
      <w:pPr>
        <w:pStyle w:val="null3"/>
        <w:ind w:firstLine="420"/>
      </w:pPr>
      <w:r>
        <w:rPr>
          <w:sz w:val="21"/>
        </w:rPr>
        <w:t>①　</w:t>
      </w:r>
      <w:r>
        <w:rPr>
          <w:sz w:val="21"/>
        </w:rPr>
        <w:t>固定路线与频次：中标人须制定详细的标本收取与报告送达路线规划图，确保每天不少于一次（含周六、周日）到采购人指定地点收取标本，服务时间为</w:t>
      </w:r>
      <w:r>
        <w:rPr>
          <w:sz w:val="21"/>
        </w:rPr>
        <w:t>8:30-17:30。</w:t>
      </w:r>
      <w:r>
        <w:rPr>
          <w:sz w:val="21"/>
        </w:rPr>
        <w:t>针对有特殊时效或检测要求的标本，中标人应根据项目实际检测需求适当增加取样频次，具体安排由双方协商确定。</w:t>
      </w:r>
    </w:p>
    <w:p>
      <w:pPr>
        <w:pStyle w:val="null3"/>
        <w:ind w:firstLine="420"/>
      </w:pPr>
      <w:r>
        <w:rPr>
          <w:sz w:val="21"/>
        </w:rPr>
        <w:t>②　</w:t>
      </w:r>
      <w:r>
        <w:rPr>
          <w:sz w:val="21"/>
        </w:rPr>
        <w:t>时效承诺：中标人须承诺常规标本从收取到送达实验室的平均时长不超过</w:t>
      </w:r>
      <w:r>
        <w:rPr>
          <w:sz w:val="21"/>
        </w:rPr>
        <w:t>2小时，并确保在承诺的检测报告时间内及时反馈结果。</w:t>
      </w:r>
    </w:p>
    <w:p>
      <w:pPr>
        <w:pStyle w:val="null3"/>
        <w:ind w:firstLine="420"/>
      </w:pPr>
      <w:r>
        <w:rPr>
          <w:sz w:val="21"/>
        </w:rPr>
        <w:t>③　</w:t>
      </w:r>
      <w:r>
        <w:rPr>
          <w:sz w:val="21"/>
        </w:rPr>
        <w:t>路线优化：投标人应在投标文件中提供针对本项目的运输路线规划方案，说明如何保障运输时效性与生物安全性。</w:t>
      </w:r>
    </w:p>
    <w:p>
      <w:pPr>
        <w:pStyle w:val="null3"/>
        <w:ind w:firstLine="480"/>
      </w:pPr>
      <w:r>
        <w:rPr>
          <w:sz w:val="21"/>
        </w:rPr>
        <w:t>11.1.2配送人员安排与资质要求</w:t>
      </w:r>
    </w:p>
    <w:p>
      <w:pPr>
        <w:pStyle w:val="null3"/>
        <w:ind w:firstLine="420"/>
      </w:pPr>
      <w:r>
        <w:rPr>
          <w:sz w:val="21"/>
        </w:rPr>
        <w:t>①　</w:t>
      </w:r>
      <w:r>
        <w:rPr>
          <w:sz w:val="21"/>
        </w:rPr>
        <w:t>专人专岗：中标人须为本项目配备固定的、经过专业培训的物流服务团队，负责标本的收取、运送、交接及报告送达工作。</w:t>
      </w:r>
    </w:p>
    <w:p>
      <w:pPr>
        <w:pStyle w:val="null3"/>
        <w:ind w:firstLine="420"/>
      </w:pPr>
      <w:r>
        <w:rPr>
          <w:sz w:val="21"/>
        </w:rPr>
        <w:t>②　</w:t>
      </w:r>
      <w:r>
        <w:rPr>
          <w:sz w:val="21"/>
        </w:rPr>
        <w:t>专业培训：所有物流人员上岗前必须接受生物安全、医疗废物处理、医疗冷链运输规范及应急预案的专业培训，并考核合格。投标人须在投标文件中提供相关培训记录或证明材料。</w:t>
      </w:r>
    </w:p>
    <w:p>
      <w:pPr>
        <w:pStyle w:val="null3"/>
        <w:ind w:firstLine="420"/>
      </w:pPr>
      <w:r>
        <w:rPr>
          <w:sz w:val="21"/>
        </w:rPr>
        <w:t>③　</w:t>
      </w:r>
      <w:r>
        <w:rPr>
          <w:sz w:val="21"/>
        </w:rPr>
        <w:t>人员稳定性：中标人应保证服务团队的稳定性，如需更换核心物流人员，需提前</w:t>
      </w:r>
      <w:r>
        <w:rPr>
          <w:sz w:val="21"/>
        </w:rPr>
        <w:t>5个工作日书面通知采购人，并确保新接替人员具备同等或更高的专业能力。</w:t>
      </w:r>
    </w:p>
    <w:p>
      <w:pPr>
        <w:pStyle w:val="null3"/>
        <w:ind w:firstLine="480"/>
      </w:pPr>
      <w:r>
        <w:rPr>
          <w:sz w:val="21"/>
        </w:rPr>
        <w:t>11.1.3物流期间的温度控制措施</w:t>
      </w:r>
    </w:p>
    <w:p>
      <w:pPr>
        <w:pStyle w:val="null3"/>
        <w:ind w:firstLine="420"/>
      </w:pPr>
      <w:r>
        <w:rPr>
          <w:sz w:val="21"/>
        </w:rPr>
        <w:t>①　</w:t>
      </w:r>
      <w:r>
        <w:rPr>
          <w:sz w:val="21"/>
        </w:rPr>
        <w:t>专业冷链设备：必须使用配备专用车载冰箱或经过验证的保温箱的冷链特种车进行运输。</w:t>
      </w:r>
    </w:p>
    <w:p>
      <w:pPr>
        <w:pStyle w:val="null3"/>
        <w:ind w:firstLine="420"/>
      </w:pPr>
      <w:r>
        <w:rPr>
          <w:sz w:val="21"/>
        </w:rPr>
        <w:t>②　</w:t>
      </w:r>
      <w:r>
        <w:rPr>
          <w:sz w:val="21"/>
        </w:rPr>
        <w:t>全程温度监控：运输车辆或保温设备必须具备全程温度监控与记录功能，确保标本在运输过程中的温度始终处于项目要求的特定范围内（如</w:t>
      </w:r>
      <w:r>
        <w:rPr>
          <w:sz w:val="21"/>
        </w:rPr>
        <w:t>2-8℃、-20℃等）。</w:t>
      </w:r>
    </w:p>
    <w:p>
      <w:pPr>
        <w:pStyle w:val="null3"/>
        <w:ind w:firstLine="420"/>
      </w:pPr>
      <w:r>
        <w:rPr>
          <w:sz w:val="21"/>
        </w:rPr>
        <w:t>③　</w:t>
      </w:r>
      <w:r>
        <w:rPr>
          <w:sz w:val="21"/>
        </w:rPr>
        <w:t>数据可追溯：中标人需定期（如每月）向采购人提供温度监控记录报告，确保运输过程温度数据完整、可追溯。当温度出现异常时，系统应能自动报警并通知相关人员。</w:t>
      </w:r>
    </w:p>
    <w:p>
      <w:pPr>
        <w:pStyle w:val="null3"/>
        <w:ind w:firstLine="480"/>
      </w:pPr>
      <w:r>
        <w:rPr>
          <w:sz w:val="21"/>
        </w:rPr>
        <w:t>11.1.4应急配送预案</w:t>
      </w:r>
    </w:p>
    <w:p>
      <w:pPr>
        <w:pStyle w:val="null3"/>
        <w:ind w:firstLine="420"/>
      </w:pPr>
      <w:r>
        <w:rPr>
          <w:sz w:val="21"/>
        </w:rPr>
        <w:t>①　</w:t>
      </w:r>
      <w:r>
        <w:rPr>
          <w:sz w:val="21"/>
        </w:rPr>
        <w:t>预案完整性：投标人必须在投标文件中提供详细的《标本运输应急预案》，预案应至少包含但不限于以下场景的处置措施：</w:t>
      </w:r>
    </w:p>
    <w:p>
      <w:pPr>
        <w:pStyle w:val="null3"/>
        <w:ind w:firstLine="420"/>
      </w:pPr>
      <w:r>
        <w:rPr>
          <w:sz w:val="21"/>
        </w:rPr>
        <w:t>②　</w:t>
      </w:r>
      <w:r>
        <w:rPr>
          <w:sz w:val="21"/>
        </w:rPr>
        <w:t>车辆故障：备用车辆的调配机制及响应时间。</w:t>
      </w:r>
    </w:p>
    <w:p>
      <w:pPr>
        <w:pStyle w:val="null3"/>
        <w:ind w:firstLine="420"/>
      </w:pPr>
      <w:r>
        <w:rPr>
          <w:sz w:val="21"/>
        </w:rPr>
        <w:t>③　</w:t>
      </w:r>
      <w:r>
        <w:rPr>
          <w:sz w:val="21"/>
        </w:rPr>
        <w:t>交通意外</w:t>
      </w:r>
      <w:r>
        <w:rPr>
          <w:sz w:val="21"/>
        </w:rPr>
        <w:t>/拥堵：备用路线规划及紧急情况下的标本转运方案。</w:t>
      </w:r>
    </w:p>
    <w:p>
      <w:pPr>
        <w:pStyle w:val="null3"/>
        <w:ind w:firstLine="420"/>
      </w:pPr>
      <w:r>
        <w:rPr>
          <w:sz w:val="21"/>
        </w:rPr>
        <w:t>④　</w:t>
      </w:r>
      <w:r>
        <w:rPr>
          <w:sz w:val="21"/>
        </w:rPr>
        <w:t>冷链设备故障：备用冷藏设备、冰排等应急物资的准备及现场处置流程。</w:t>
      </w:r>
    </w:p>
    <w:p>
      <w:pPr>
        <w:pStyle w:val="null3"/>
        <w:ind w:firstLine="420"/>
      </w:pPr>
      <w:r>
        <w:rPr>
          <w:sz w:val="21"/>
        </w:rPr>
        <w:t>⑤　</w:t>
      </w:r>
      <w:r>
        <w:rPr>
          <w:sz w:val="21"/>
        </w:rPr>
        <w:t>标本泄漏</w:t>
      </w:r>
      <w:r>
        <w:rPr>
          <w:sz w:val="21"/>
        </w:rPr>
        <w:t>/破损：符合生物安全规范的现场处理、消毒、报告流程。</w:t>
      </w:r>
    </w:p>
    <w:p>
      <w:pPr>
        <w:pStyle w:val="null3"/>
        <w:ind w:firstLine="420"/>
      </w:pPr>
      <w:r>
        <w:rPr>
          <w:sz w:val="21"/>
        </w:rPr>
        <w:t>⑥　</w:t>
      </w:r>
      <w:r>
        <w:rPr>
          <w:sz w:val="21"/>
        </w:rPr>
        <w:t>突发公共卫生事件：在特殊时期保障标本运输畅通的专项方案。</w:t>
      </w:r>
    </w:p>
    <w:p>
      <w:pPr>
        <w:pStyle w:val="null3"/>
        <w:ind w:firstLine="420"/>
      </w:pPr>
      <w:r>
        <w:rPr>
          <w:sz w:val="21"/>
        </w:rPr>
        <w:t>⑦　</w:t>
      </w:r>
      <w:r>
        <w:rPr>
          <w:sz w:val="21"/>
        </w:rPr>
        <w:t>演练与培训：中标人需承诺每年至少组织一次针对上述应急预案的演练，并向采购人提供演练记录报告。</w:t>
      </w:r>
    </w:p>
    <w:p>
      <w:pPr>
        <w:pStyle w:val="null3"/>
        <w:ind w:firstLine="480"/>
      </w:pPr>
      <w:r>
        <w:rPr>
          <w:sz w:val="21"/>
        </w:rPr>
        <w:t>11.2质量控制方案（包括但不限于①对采购人委托项目进行室内质控，②质量控制报表的设计，③其他质量控制措施等内容）。</w:t>
      </w:r>
    </w:p>
    <w:p>
      <w:pPr>
        <w:pStyle w:val="null3"/>
        <w:ind w:firstLine="480"/>
      </w:pPr>
      <w:r>
        <w:rPr>
          <w:sz w:val="21"/>
        </w:rPr>
        <w:t>11.2.1对采购人委托项目进行室内质控</w:t>
      </w:r>
    </w:p>
    <w:p>
      <w:pPr>
        <w:pStyle w:val="null3"/>
        <w:ind w:firstLine="420"/>
      </w:pPr>
      <w:r>
        <w:rPr>
          <w:sz w:val="21"/>
        </w:rPr>
        <w:t>①　</w:t>
      </w:r>
      <w:r>
        <w:rPr>
          <w:sz w:val="21"/>
        </w:rPr>
        <w:t>全覆盖要求：中标人必须对所有为采购人开展的委托检验项目，建立并执行完善的室内质量控制（</w:t>
      </w:r>
      <w:r>
        <w:rPr>
          <w:sz w:val="21"/>
        </w:rPr>
        <w:t>IQC）程序，确保检测过程的稳定性和结果的准确性。</w:t>
      </w:r>
    </w:p>
    <w:p>
      <w:pPr>
        <w:pStyle w:val="null3"/>
        <w:ind w:firstLine="420"/>
      </w:pPr>
      <w:r>
        <w:rPr>
          <w:sz w:val="21"/>
        </w:rPr>
        <w:t>②　</w:t>
      </w:r>
      <w:r>
        <w:rPr>
          <w:sz w:val="21"/>
        </w:rPr>
        <w:t>规则与频率：室内质控应遵循行业公认的质量控制规则（如</w:t>
      </w:r>
      <w:r>
        <w:rPr>
          <w:sz w:val="21"/>
        </w:rPr>
        <w:t>Westgard多规则等），并根据项目特点和试剂批号设定合理的质控频率（如每天、每批次等）。</w:t>
      </w:r>
    </w:p>
    <w:p>
      <w:pPr>
        <w:pStyle w:val="null3"/>
        <w:ind w:firstLine="420"/>
      </w:pPr>
      <w:r>
        <w:rPr>
          <w:sz w:val="21"/>
        </w:rPr>
        <w:t>③　</w:t>
      </w:r>
      <w:r>
        <w:rPr>
          <w:sz w:val="21"/>
        </w:rPr>
        <w:t>失控处理：投标人须在投标文件中提供详细的《室内质控失控处理程序》，明确当质控结果超出预设范围时的处理流程，包括原因分析、纠正措施、重新检测以及对已发出报告的追溯与评估。</w:t>
      </w:r>
    </w:p>
    <w:p>
      <w:pPr>
        <w:pStyle w:val="null3"/>
        <w:ind w:firstLine="420"/>
      </w:pPr>
      <w:r>
        <w:rPr>
          <w:sz w:val="21"/>
        </w:rPr>
        <w:t>④　</w:t>
      </w:r>
      <w:r>
        <w:rPr>
          <w:sz w:val="21"/>
        </w:rPr>
        <w:t>数据记录：所有室内质控数据必须完整、真实地记录，并至少保存</w:t>
      </w:r>
      <w:r>
        <w:rPr>
          <w:sz w:val="21"/>
        </w:rPr>
        <w:t>2年以备采购人或相关监管部门核查。</w:t>
      </w:r>
    </w:p>
    <w:p>
      <w:pPr>
        <w:pStyle w:val="null3"/>
        <w:ind w:firstLine="480"/>
      </w:pPr>
      <w:r>
        <w:rPr>
          <w:sz w:val="21"/>
        </w:rPr>
        <w:t>11.2.2质量控制报表的设计与提供</w:t>
      </w:r>
    </w:p>
    <w:p>
      <w:pPr>
        <w:pStyle w:val="null3"/>
        <w:ind w:firstLine="420"/>
      </w:pPr>
      <w:r>
        <w:rPr>
          <w:sz w:val="21"/>
        </w:rPr>
        <w:t>①　</w:t>
      </w:r>
      <w:r>
        <w:rPr>
          <w:sz w:val="21"/>
        </w:rPr>
        <w:t>定期报告：中标人需每月向采购人提供一份详细的《月度质量分析报告》。</w:t>
      </w:r>
    </w:p>
    <w:p>
      <w:pPr>
        <w:pStyle w:val="null3"/>
        <w:ind w:firstLine="420"/>
      </w:pPr>
      <w:r>
        <w:rPr>
          <w:sz w:val="21"/>
        </w:rPr>
        <w:t>②　</w:t>
      </w:r>
      <w:r>
        <w:rPr>
          <w:sz w:val="21"/>
        </w:rPr>
        <w:t>报告内容：该报告应至少包含但不限于以下内容：</w:t>
      </w:r>
    </w:p>
    <w:p>
      <w:pPr>
        <w:pStyle w:val="null3"/>
        <w:ind w:firstLine="420"/>
      </w:pPr>
      <w:r>
        <w:rPr>
          <w:sz w:val="21"/>
        </w:rPr>
        <w:t>③　</w:t>
      </w:r>
      <w:r>
        <w:rPr>
          <w:sz w:val="21"/>
        </w:rPr>
        <w:t>室间质评（</w:t>
      </w:r>
      <w:r>
        <w:rPr>
          <w:sz w:val="21"/>
        </w:rPr>
        <w:t>EQA/PT）结果：所有参加国家卫生健康委、省级临床检验中心室间质评项目的结果汇总及分析。</w:t>
      </w:r>
    </w:p>
    <w:p>
      <w:pPr>
        <w:pStyle w:val="null3"/>
        <w:ind w:firstLine="420"/>
      </w:pPr>
      <w:r>
        <w:rPr>
          <w:sz w:val="21"/>
        </w:rPr>
        <w:t>④　</w:t>
      </w:r>
      <w:r>
        <w:rPr>
          <w:sz w:val="21"/>
        </w:rPr>
        <w:t>室内质控（</w:t>
      </w:r>
      <w:r>
        <w:rPr>
          <w:sz w:val="21"/>
        </w:rPr>
        <w:t>IQC）总结：关键项目的月度质控数据汇总、变异系数（CV%）统计及趋势分析。</w:t>
      </w:r>
    </w:p>
    <w:p>
      <w:pPr>
        <w:pStyle w:val="null3"/>
        <w:ind w:firstLine="420"/>
      </w:pPr>
      <w:r>
        <w:rPr>
          <w:sz w:val="21"/>
        </w:rPr>
        <w:t>⑤　</w:t>
      </w:r>
      <w:r>
        <w:rPr>
          <w:sz w:val="21"/>
        </w:rPr>
        <w:t>质量指标监控：对标本不合格率、报告周转时间（</w:t>
      </w:r>
      <w:r>
        <w:rPr>
          <w:sz w:val="21"/>
        </w:rPr>
        <w:t>TAT）达标率、危急值通报及时率等关键质量指标的统计与分析。</w:t>
      </w:r>
    </w:p>
    <w:p>
      <w:pPr>
        <w:pStyle w:val="null3"/>
        <w:ind w:firstLine="420"/>
      </w:pPr>
      <w:r>
        <w:rPr>
          <w:sz w:val="21"/>
        </w:rPr>
        <w:t>⑥　</w:t>
      </w:r>
      <w:r>
        <w:rPr>
          <w:sz w:val="21"/>
        </w:rPr>
        <w:t>不符合项与改进：对本月内发生的不符合项（如标本溶血、报告延迟等）进行根本原因分析，并说明已采取的纠正与预防措施。</w:t>
      </w:r>
    </w:p>
    <w:p>
      <w:pPr>
        <w:pStyle w:val="null3"/>
        <w:ind w:firstLine="420"/>
      </w:pPr>
      <w:r>
        <w:rPr>
          <w:sz w:val="21"/>
        </w:rPr>
        <w:t>⑦　</w:t>
      </w:r>
      <w:r>
        <w:rPr>
          <w:sz w:val="21"/>
        </w:rPr>
        <w:t>报告形式：报告应以结构化和图表化的形式呈现，确保数据清晰、易于理解。</w:t>
      </w:r>
    </w:p>
    <w:p>
      <w:pPr>
        <w:pStyle w:val="null3"/>
        <w:ind w:firstLine="480"/>
      </w:pPr>
      <w:r>
        <w:rPr>
          <w:sz w:val="21"/>
        </w:rPr>
        <w:t>11.2.3其他质量控制措施</w:t>
      </w:r>
    </w:p>
    <w:p>
      <w:pPr>
        <w:pStyle w:val="null3"/>
        <w:ind w:firstLine="420"/>
      </w:pPr>
      <w:r>
        <w:rPr>
          <w:sz w:val="21"/>
        </w:rPr>
        <w:t>①　</w:t>
      </w:r>
      <w:r>
        <w:rPr>
          <w:sz w:val="21"/>
        </w:rPr>
        <w:t>室间质评参与：中标人必须参加国家卫生健康委临床检验中心（</w:t>
      </w:r>
      <w:r>
        <w:rPr>
          <w:sz w:val="21"/>
        </w:rPr>
        <w:t>NCCL）或省级临床检验中心组织的所有相关专业的室间质量评价活动，并保证成绩合格。对于尚无室间质评计划的项目，应建立并执行实验室间比对方案。</w:t>
      </w:r>
    </w:p>
    <w:p>
      <w:pPr>
        <w:pStyle w:val="null3"/>
        <w:ind w:firstLine="420"/>
      </w:pPr>
      <w:r>
        <w:rPr>
          <w:sz w:val="21"/>
        </w:rPr>
        <w:t>②　</w:t>
      </w:r>
      <w:r>
        <w:rPr>
          <w:sz w:val="21"/>
        </w:rPr>
        <w:t>仪器与试剂管理：建立完善的仪器设备校准、维护和保养计划，并保留相关记录。所有检测试剂和耗材均需来自合法渠道，并有严格的验收和储存记录。</w:t>
      </w:r>
    </w:p>
    <w:p>
      <w:pPr>
        <w:pStyle w:val="null3"/>
        <w:ind w:firstLine="420"/>
      </w:pPr>
      <w:r>
        <w:rPr>
          <w:sz w:val="21"/>
        </w:rPr>
        <w:t>③　</w:t>
      </w:r>
      <w:r>
        <w:rPr>
          <w:sz w:val="21"/>
        </w:rPr>
        <w:t>人员能力评估：建立并执行检验技术人员的能力评估与持续培训计划，确保所有操作人员均经过授权并能胜任其岗位工作。</w:t>
      </w:r>
    </w:p>
    <w:p>
      <w:pPr>
        <w:pStyle w:val="null3"/>
        <w:ind w:firstLine="420"/>
      </w:pPr>
      <w:r>
        <w:rPr>
          <w:sz w:val="21"/>
        </w:rPr>
        <w:t>④　</w:t>
      </w:r>
      <w:r>
        <w:rPr>
          <w:sz w:val="21"/>
        </w:rPr>
        <w:t>标本全流程管理：建立从标本采集、运输、接收、处理、检测到报告签发的全流程质量保障措施，确保标本的唯一性标识和可追溯性，防止标本混淆、丢失或变质。</w:t>
      </w:r>
    </w:p>
    <w:p>
      <w:pPr>
        <w:pStyle w:val="null3"/>
        <w:ind w:firstLine="420"/>
      </w:pPr>
      <w:r>
        <w:rPr>
          <w:sz w:val="21"/>
        </w:rPr>
        <w:t>⑤　</w:t>
      </w:r>
      <w:r>
        <w:rPr>
          <w:sz w:val="21"/>
        </w:rPr>
        <w:t>质量体系建设：中标人的实验室应建立并有效运行符合</w:t>
      </w:r>
      <w:r>
        <w:rPr>
          <w:sz w:val="21"/>
        </w:rPr>
        <w:t>ISO 15189或同等标准的质量管理体系，并承诺在合同期内接受采购人组织的质量现场审核。</w:t>
      </w:r>
    </w:p>
    <w:p>
      <w:pPr>
        <w:pStyle w:val="null3"/>
        <w:ind w:firstLine="480"/>
      </w:pPr>
      <w:r>
        <w:rPr>
          <w:sz w:val="21"/>
        </w:rPr>
        <w:t>11.3样品及标本处置方案（包括但不限于①检测后样品和剩余标本的保存是否满足需求，②检测后样品和剩余标本的处置是否满足需求，③检测后样品和剩余标本的具体保存方案，④检测后样品和剩余标本的具体处置方案等内容）。</w:t>
      </w:r>
    </w:p>
    <w:p>
      <w:pPr>
        <w:pStyle w:val="null3"/>
        <w:ind w:firstLine="480"/>
      </w:pPr>
      <w:r>
        <w:rPr>
          <w:sz w:val="21"/>
        </w:rPr>
        <w:t>11.3.</w:t>
      </w:r>
      <w:r>
        <w:rPr>
          <w:sz w:val="21"/>
        </w:rPr>
        <w:t>1检测后样品和剩余标本的保存</w:t>
      </w:r>
    </w:p>
    <w:p>
      <w:pPr>
        <w:pStyle w:val="null3"/>
        <w:ind w:firstLine="420"/>
      </w:pPr>
      <w:r>
        <w:rPr>
          <w:sz w:val="21"/>
        </w:rPr>
        <w:t>①　</w:t>
      </w:r>
      <w:r>
        <w:rPr>
          <w:sz w:val="21"/>
        </w:rPr>
        <w:t>保存时限与条件：中标人必须制定并执行明确的检测后样品和剩余标本保存制度。所有检测后的样品和剩余标本，应在符合项目要求的特定条件下（如</w:t>
      </w:r>
      <w:r>
        <w:rPr>
          <w:sz w:val="21"/>
        </w:rPr>
        <w:t>2-8℃、-20℃、-80℃等）保存规定时限（例如：生化免疫项目保存7天，分子诊断项目保存30天等），以备临床复查或争议处理。</w:t>
      </w:r>
    </w:p>
    <w:p>
      <w:pPr>
        <w:pStyle w:val="null3"/>
        <w:ind w:firstLine="420"/>
      </w:pPr>
      <w:r>
        <w:rPr>
          <w:sz w:val="21"/>
        </w:rPr>
        <w:t>②　</w:t>
      </w:r>
      <w:r>
        <w:rPr>
          <w:sz w:val="21"/>
        </w:rPr>
        <w:t>可追溯性管理：保存期间，必须确保样品和标本的唯一性标识清晰、完整，并与信息系统中的记录完全对应，保证全程可追溯。</w:t>
      </w:r>
    </w:p>
    <w:p>
      <w:pPr>
        <w:pStyle w:val="null3"/>
        <w:ind w:firstLine="420"/>
      </w:pPr>
      <w:r>
        <w:rPr>
          <w:sz w:val="21"/>
        </w:rPr>
        <w:t>③　</w:t>
      </w:r>
      <w:r>
        <w:rPr>
          <w:sz w:val="21"/>
        </w:rPr>
        <w:t>存储设施：投标人须在投标文件中说明其用于保存检测后样品和剩余标本的存储设施（如冰箱、冷库）的容量、温度监控及报警系统，确保存储安全。</w:t>
      </w:r>
    </w:p>
    <w:p>
      <w:pPr>
        <w:pStyle w:val="null3"/>
        <w:ind w:firstLine="480"/>
      </w:pPr>
      <w:r>
        <w:rPr>
          <w:sz w:val="21"/>
        </w:rPr>
        <w:t>11.3.</w:t>
      </w:r>
      <w:r>
        <w:rPr>
          <w:sz w:val="21"/>
        </w:rPr>
        <w:t>2检测后样品和剩余标本的处置</w:t>
      </w:r>
    </w:p>
    <w:p>
      <w:pPr>
        <w:pStyle w:val="null3"/>
        <w:ind w:firstLine="420"/>
      </w:pPr>
      <w:r>
        <w:rPr>
          <w:sz w:val="21"/>
        </w:rPr>
        <w:t>①　</w:t>
      </w:r>
      <w:r>
        <w:rPr>
          <w:sz w:val="21"/>
        </w:rPr>
        <w:t>合规处置：对于超过保存期限或经采购人同意提前处置的样品和剩余标本，中标人必须严格按照《医疗废物管理条例》及《医疗卫生机构医疗废物管理办法》等国家相关法律法规进行无害化处置。</w:t>
      </w:r>
    </w:p>
    <w:p>
      <w:pPr>
        <w:pStyle w:val="null3"/>
        <w:ind w:firstLine="420"/>
      </w:pPr>
      <w:r>
        <w:rPr>
          <w:sz w:val="21"/>
        </w:rPr>
        <w:t>②　</w:t>
      </w:r>
      <w:r>
        <w:rPr>
          <w:sz w:val="21"/>
        </w:rPr>
        <w:t>处置记录：中标人需建立完整的标本处置台账，详细记录处置的标本类型、数量、时间、处置方式及经办人。相关处置记录应至少保存</w:t>
      </w:r>
      <w:r>
        <w:rPr>
          <w:sz w:val="21"/>
        </w:rPr>
        <w:t>3年，以备采购人或相关监管部门核查。</w:t>
      </w:r>
    </w:p>
    <w:p>
      <w:pPr>
        <w:pStyle w:val="null3"/>
        <w:ind w:firstLine="420"/>
      </w:pPr>
      <w:r>
        <w:rPr>
          <w:sz w:val="21"/>
        </w:rPr>
        <w:t>③　</w:t>
      </w:r>
      <w:r>
        <w:rPr>
          <w:sz w:val="21"/>
        </w:rPr>
        <w:t>禁止性规定：未经采购人书面同意，中标人不得将任何样品和剩余标本用于委托检验项目以外的任何其他用途，包括但不限于科研、教学、商业开发等。</w:t>
      </w:r>
    </w:p>
    <w:p>
      <w:pPr>
        <w:pStyle w:val="null3"/>
        <w:ind w:firstLine="480"/>
      </w:pPr>
      <w:r>
        <w:rPr>
          <w:sz w:val="21"/>
        </w:rPr>
        <w:t>11.3.</w:t>
      </w:r>
      <w:r>
        <w:rPr>
          <w:sz w:val="21"/>
        </w:rPr>
        <w:t>3检测后样品和剩余标本的具体保存方案</w:t>
      </w:r>
    </w:p>
    <w:p>
      <w:pPr>
        <w:pStyle w:val="null3"/>
        <w:ind w:firstLine="420"/>
      </w:pPr>
      <w:r>
        <w:rPr>
          <w:sz w:val="21"/>
        </w:rPr>
        <w:t>①　</w:t>
      </w:r>
      <w:r>
        <w:rPr>
          <w:sz w:val="21"/>
        </w:rPr>
        <w:t>方案要求：投标人必须在投标文件中提供详细的《检测后样品和剩余标本保存方案》，方案应至少包含但不限于以下内容：</w:t>
      </w:r>
    </w:p>
    <w:p>
      <w:pPr>
        <w:pStyle w:val="null3"/>
        <w:ind w:firstLine="420"/>
      </w:pPr>
      <w:r>
        <w:rPr>
          <w:sz w:val="21"/>
        </w:rPr>
        <w:t>②　</w:t>
      </w:r>
      <w:r>
        <w:rPr>
          <w:sz w:val="21"/>
        </w:rPr>
        <w:t>分类保存标准：明确不同检测项目（如临检、生化、免疫、分子、微生物等）的样品和剩余标本的保存条件（温度、湿度等）和保存期限。</w:t>
      </w:r>
    </w:p>
    <w:p>
      <w:pPr>
        <w:pStyle w:val="null3"/>
        <w:ind w:firstLine="420"/>
      </w:pPr>
      <w:r>
        <w:rPr>
          <w:sz w:val="21"/>
        </w:rPr>
        <w:t>③　</w:t>
      </w:r>
      <w:r>
        <w:rPr>
          <w:sz w:val="21"/>
        </w:rPr>
        <w:t>存储区域管理：描述存储区域的物理安全措施、访问权限控制及环境监控措施。</w:t>
      </w:r>
    </w:p>
    <w:p>
      <w:pPr>
        <w:pStyle w:val="null3"/>
        <w:ind w:firstLine="420"/>
      </w:pPr>
      <w:r>
        <w:rPr>
          <w:sz w:val="21"/>
        </w:rPr>
        <w:t>④　</w:t>
      </w:r>
      <w:r>
        <w:rPr>
          <w:sz w:val="21"/>
        </w:rPr>
        <w:t>信息化管理流程：说明如何通过信息系统对保存期内的样品和标本进行定位、状态追踪和效期预警。</w:t>
      </w:r>
    </w:p>
    <w:p>
      <w:pPr>
        <w:pStyle w:val="null3"/>
        <w:ind w:firstLine="480"/>
      </w:pPr>
      <w:r>
        <w:rPr>
          <w:sz w:val="21"/>
        </w:rPr>
        <w:t>11.3.</w:t>
      </w:r>
      <w:r>
        <w:rPr>
          <w:sz w:val="21"/>
        </w:rPr>
        <w:t>4检测后样品和剩余标本的具体处置方案</w:t>
      </w:r>
    </w:p>
    <w:p>
      <w:pPr>
        <w:pStyle w:val="null3"/>
        <w:ind w:firstLine="420"/>
      </w:pPr>
      <w:r>
        <w:rPr>
          <w:sz w:val="21"/>
        </w:rPr>
        <w:t>①　</w:t>
      </w:r>
      <w:r>
        <w:rPr>
          <w:sz w:val="21"/>
        </w:rPr>
        <w:t>方案要求：投标人必须在投标文件中提供详细的《检测后样品和剩余标本处置方案》，方案应至少包含但不限于以下内容：</w:t>
      </w:r>
    </w:p>
    <w:p>
      <w:pPr>
        <w:pStyle w:val="null3"/>
        <w:ind w:firstLine="420"/>
      </w:pPr>
      <w:r>
        <w:rPr>
          <w:sz w:val="21"/>
        </w:rPr>
        <w:t>②　</w:t>
      </w:r>
      <w:r>
        <w:rPr>
          <w:sz w:val="21"/>
        </w:rPr>
        <w:t>处置流程：明确从标本出库、内部转运、到最终无害化处理的全流程操作规范。</w:t>
      </w:r>
    </w:p>
    <w:p>
      <w:pPr>
        <w:pStyle w:val="null3"/>
        <w:ind w:firstLine="420"/>
      </w:pPr>
      <w:r>
        <w:rPr>
          <w:sz w:val="21"/>
        </w:rPr>
        <w:t>③　</w:t>
      </w:r>
      <w:r>
        <w:rPr>
          <w:sz w:val="21"/>
        </w:rPr>
        <w:t>生物安全保障：描述在处置过程中防止病原体泄露、扩散的生物安全防护措施，特别是针对涉及病原微生物的标本。</w:t>
      </w:r>
    </w:p>
    <w:p>
      <w:pPr>
        <w:pStyle w:val="null3"/>
        <w:ind w:firstLine="420"/>
      </w:pPr>
      <w:r>
        <w:rPr>
          <w:sz w:val="21"/>
        </w:rPr>
        <w:t>④　</w:t>
      </w:r>
      <w:r>
        <w:rPr>
          <w:sz w:val="21"/>
        </w:rPr>
        <w:t>应急预案：提供在标本处置过程中发生意外（如包装破损、泄露）时的应急处理预案。</w:t>
      </w:r>
    </w:p>
    <w:p>
      <w:pPr>
        <w:pStyle w:val="null3"/>
        <w:ind w:firstLine="420"/>
      </w:pPr>
      <w:r>
        <w:rPr>
          <w:sz w:val="21"/>
        </w:rPr>
        <w:t>⑤　</w:t>
      </w:r>
      <w:r>
        <w:rPr>
          <w:sz w:val="21"/>
        </w:rPr>
        <w:t>第三方处置管理：如委托第三方医疗废物处置机构，需提供该机构的资质证明及双方的委托处置协议。</w:t>
      </w:r>
    </w:p>
    <w:p>
      <w:pPr>
        <w:pStyle w:val="null3"/>
        <w:ind w:firstLine="480"/>
      </w:pPr>
      <w:r>
        <w:rPr>
          <w:sz w:val="21"/>
          <w:b/>
        </w:rPr>
        <w:t>1</w:t>
      </w:r>
      <w:r>
        <w:rPr>
          <w:sz w:val="21"/>
          <w:b/>
        </w:rPr>
        <w:t>2</w:t>
      </w:r>
      <w:r>
        <w:rPr>
          <w:sz w:val="21"/>
          <w:b/>
        </w:rPr>
        <w:t>.其他</w:t>
      </w:r>
    </w:p>
    <w:p>
      <w:pPr>
        <w:pStyle w:val="null3"/>
        <w:ind w:firstLine="480"/>
      </w:pPr>
      <w:r>
        <w:rPr>
          <w:sz w:val="21"/>
        </w:rPr>
        <w:t>1</w:t>
      </w:r>
      <w:r>
        <w:rPr>
          <w:sz w:val="21"/>
        </w:rPr>
        <w:t>2</w:t>
      </w:r>
      <w:r>
        <w:rPr>
          <w:sz w:val="21"/>
        </w:rPr>
        <w:t>.1</w:t>
      </w:r>
      <w:r>
        <w:rPr>
          <w:sz w:val="21"/>
        </w:rPr>
        <w:t>中标人</w:t>
      </w:r>
      <w:r>
        <w:rPr>
          <w:sz w:val="21"/>
        </w:rPr>
        <w:t>必须保证</w:t>
      </w:r>
      <w:r>
        <w:rPr>
          <w:sz w:val="21"/>
        </w:rPr>
        <w:t>采购人</w:t>
      </w:r>
      <w:r>
        <w:rPr>
          <w:sz w:val="21"/>
        </w:rPr>
        <w:t>在中华人民共和国境内使用响应货物、资料、技术、服务或其任何部分时，享有不受限制的无偿使用权，如有第三方向</w:t>
      </w:r>
      <w:r>
        <w:rPr>
          <w:sz w:val="21"/>
        </w:rPr>
        <w:t>采购人</w:t>
      </w:r>
      <w:r>
        <w:rPr>
          <w:sz w:val="21"/>
        </w:rPr>
        <w:t>提出侵犯其专利权、商标权或</w:t>
      </w:r>
      <w:r>
        <w:rPr>
          <w:sz w:val="21"/>
        </w:rPr>
        <w:t>其他</w:t>
      </w:r>
      <w:r>
        <w:rPr>
          <w:sz w:val="21"/>
        </w:rPr>
        <w:t>知识产权的主张，该责任应由</w:t>
      </w:r>
      <w:r>
        <w:rPr>
          <w:sz w:val="21"/>
        </w:rPr>
        <w:t>中标人</w:t>
      </w:r>
      <w:r>
        <w:rPr>
          <w:sz w:val="21"/>
        </w:rPr>
        <w:t>承担。</w:t>
      </w:r>
    </w:p>
    <w:p>
      <w:pPr>
        <w:pStyle w:val="null3"/>
        <w:ind w:firstLine="480"/>
      </w:pPr>
      <w:r>
        <w:rPr>
          <w:sz w:val="21"/>
        </w:rPr>
        <w:t>1</w:t>
      </w:r>
      <w:r>
        <w:rPr>
          <w:sz w:val="21"/>
        </w:rPr>
        <w:t>2</w:t>
      </w:r>
      <w:r>
        <w:rPr>
          <w:sz w:val="21"/>
        </w:rPr>
        <w:t>.2合同总价应包含所有应向所有权人支付的专利权、商标权或</w:t>
      </w:r>
      <w:r>
        <w:rPr>
          <w:sz w:val="21"/>
        </w:rPr>
        <w:t>其他</w:t>
      </w:r>
      <w:r>
        <w:rPr>
          <w:sz w:val="21"/>
        </w:rPr>
        <w:t>知识产权的一切相关费用。系统软件、通用软件必须是具有在中国境内的合法使用权或版权的正版软件，</w:t>
      </w:r>
      <w:r>
        <w:rPr>
          <w:sz w:val="21"/>
        </w:rPr>
        <w:t>涉及</w:t>
      </w:r>
      <w:r>
        <w:rPr>
          <w:sz w:val="21"/>
        </w:rPr>
        <w:t>第三方提出侵权或知识产权的起诉及支付版税等费用由</w:t>
      </w:r>
      <w:r>
        <w:rPr>
          <w:sz w:val="21"/>
        </w:rPr>
        <w:t>中标人</w:t>
      </w:r>
      <w:r>
        <w:rPr>
          <w:sz w:val="21"/>
        </w:rPr>
        <w:t>承担所有责任及费用。</w:t>
      </w:r>
    </w:p>
    <w:p>
      <w:pPr>
        <w:pStyle w:val="null3"/>
        <w:ind w:firstLine="480"/>
      </w:pPr>
      <w:r>
        <w:rPr>
          <w:sz w:val="21"/>
        </w:rPr>
        <w:t>1</w:t>
      </w:r>
      <w:r>
        <w:rPr>
          <w:sz w:val="21"/>
        </w:rPr>
        <w:t>2</w:t>
      </w:r>
      <w:r>
        <w:rPr>
          <w:sz w:val="21"/>
        </w:rPr>
        <w:t>.3</w:t>
      </w:r>
      <w:r>
        <w:rPr>
          <w:sz w:val="21"/>
        </w:rPr>
        <w:t>中标人</w:t>
      </w:r>
      <w:r>
        <w:rPr>
          <w:sz w:val="21"/>
        </w:rPr>
        <w:t>未经</w:t>
      </w:r>
      <w:r>
        <w:rPr>
          <w:sz w:val="21"/>
        </w:rPr>
        <w:t>采购人</w:t>
      </w:r>
      <w:r>
        <w:rPr>
          <w:sz w:val="21"/>
        </w:rPr>
        <w:t>许可不得将送检标本用于委托检验项目以外的其他任何用途。</w:t>
      </w:r>
    </w:p>
    <w:p>
      <w:pPr>
        <w:pStyle w:val="null3"/>
        <w:ind w:firstLine="480"/>
      </w:pPr>
      <w:r>
        <w:rPr>
          <w:sz w:val="21"/>
        </w:rPr>
        <w:t>1</w:t>
      </w:r>
      <w:r>
        <w:rPr>
          <w:sz w:val="21"/>
        </w:rPr>
        <w:t>2</w:t>
      </w:r>
      <w:r>
        <w:rPr>
          <w:sz w:val="21"/>
        </w:rPr>
        <w:t>.4</w:t>
      </w:r>
      <w:r>
        <w:rPr>
          <w:sz w:val="21"/>
        </w:rPr>
        <w:t>中标人</w:t>
      </w:r>
      <w:r>
        <w:rPr>
          <w:sz w:val="21"/>
        </w:rPr>
        <w:t>须严格保障患者隐私，除涉及公共卫生事件外</w:t>
      </w:r>
      <w:r>
        <w:rPr>
          <w:sz w:val="21"/>
        </w:rPr>
        <w:t>中标人</w:t>
      </w:r>
      <w:r>
        <w:rPr>
          <w:sz w:val="21"/>
        </w:rPr>
        <w:t>不得将患者身份信息、样本信息、检验结果等信息以任何方式传递给</w:t>
      </w:r>
      <w:r>
        <w:rPr>
          <w:sz w:val="21"/>
        </w:rPr>
        <w:t>采购人</w:t>
      </w:r>
      <w:r>
        <w:rPr>
          <w:sz w:val="21"/>
        </w:rPr>
        <w:t>以外的第三方。</w:t>
      </w:r>
    </w:p>
    <w:p>
      <w:pPr>
        <w:pStyle w:val="null3"/>
        <w:ind w:firstLine="480"/>
      </w:pPr>
      <w:r>
        <w:rPr>
          <w:sz w:val="21"/>
        </w:rPr>
        <w:t>1</w:t>
      </w:r>
      <w:r>
        <w:rPr>
          <w:sz w:val="21"/>
        </w:rPr>
        <w:t>2</w:t>
      </w:r>
      <w:r>
        <w:rPr>
          <w:sz w:val="21"/>
        </w:rPr>
        <w:t>.5本项目外送检验样本中可能涉及病原微生物标本，存在处置不当致疾病传染风险，若因</w:t>
      </w:r>
      <w:r>
        <w:rPr>
          <w:sz w:val="21"/>
        </w:rPr>
        <w:t>中标人</w:t>
      </w:r>
      <w:r>
        <w:rPr>
          <w:sz w:val="21"/>
        </w:rPr>
        <w:t>操作不当导致疾病传染、传播的，须由</w:t>
      </w:r>
      <w:r>
        <w:rPr>
          <w:sz w:val="21"/>
        </w:rPr>
        <w:t>中标人</w:t>
      </w:r>
      <w:r>
        <w:rPr>
          <w:sz w:val="21"/>
        </w:rPr>
        <w:t>承担相关责任。</w:t>
      </w:r>
    </w:p>
    <w:p>
      <w:pPr>
        <w:pStyle w:val="null3"/>
        <w:ind w:firstLine="480"/>
      </w:pPr>
      <w:r>
        <w:rPr/>
        <w:t>采购包1（广州医科大学附属市八医院2026-2027年度外送样本检测服务项目）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合同签订生效之日起24个月，或采购金额达到采购预算时止，以两者先到者为准。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周期：检验服务费用原则上每月结算一次。2、中标人根据采购人开具的检验申请单，按本项目合同约定统计检验服务费用总额后，按照采购人名称作为开票抬头开具相应金额的发票，采购人收到发票后15个工作日内将检验费用支付至中标人指定的银行账户。 3、检验费用支付时间以采购人发起账款支付时间为准。 4、双方业务往来以对公账号为准，如有变更或委托第三方支付的，应向另一方出具《授权委托书》或《变更情况说明书》。 5、采购人、中标人双方合作期间应当积极对账，双方有权周期性或特殊事项下委托第三方审计机构对检验服务项目进行审计，各方应予配合。 6、委托检验项目服务费=检验项目单价最高限价×中标折扣率。中标人向采购人收取委托检验服务费，委托检验服务费用为含税价，以发送检测报告为对账依据。（实际收取检验项目检验费按照《广州地区公立医疗机构基本医疗服务价格目录》（最新版）和医保管理要求进行。）。7、如中标人为中小企业则按照相关法规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1期：1.中标人按质按量完成外送标本接收、运输、检测等工作，按照约定报告时限将检测结果反馈到医院，并按临床需求提供检测结果临床意义解读与沟通。 2.室内质控数据真实可靠，提供报表给采购人定期核查。 2.1 项目参加室间质评均要通过并获得相应的质评合格证书； 2.2 标本丢失每月不超过1例； 2.3 月平均延时报告率＜5%； 2.4 临床投诉数量＜2例/月； 2.5 误检例数：每月不高于1例； 2.6 漏检例数：每月不高于1例； 3.考核制度：中标人在项目实施过程中，完成情况满足上述验收要求的2.1-2.6条款，采购人按合同要求全 额支付服务费用；如有条款不达标，每涉及一条2.1-2.6中的条款，扣当月据实结算金额的2%。</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外送样本检测服务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8,000,000.00</w:t>
            </w:r>
          </w:p>
        </w:tc>
        <w:tc>
          <w:tcPr>
            <w:tcW w:type="dxa" w:w="831"/>
          </w:tcPr>
          <w:p>
            <w:pPr>
              <w:pStyle w:val="null3"/>
              <w:jc w:val="right"/>
            </w:pPr>
            <w:r>
              <w:rPr/>
              <w:t>8,000,000.00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外送样本检测服务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广州医科大学附属市八医院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- 32%</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市八医院2026-2027年度外送样本检测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采购包1（广州医科大学附属市八医院2026-2027年度外送样本检测服务项目）：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采购包1（广州医科大学附属市八医院2026-2027年度外送样本检测服务项目）：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具备卫生部门核发且在有效期内的《医疗机构执业许可证》，且承诺诊疗科目覆盖本项目服务内容。如执业许可证机构名称与供应商不一致时，还须提供两者为同一法律主体或同一单位的证明文件复印件。（提供证书、证明文件复印件及承诺函加盖供应商公章）（如国家另有规定，则适用其规定）</w:t>
            </w:r>
          </w:p>
        </w:tc>
        <w:tc>
          <w:tcPr>
            <w:tcW w:type="dxa" w:w="4238"/>
          </w:tcPr>
          <w:p>
            <w:pPr>
              <w:pStyle w:val="null3"/>
            </w:pPr>
            <w:r>
              <w:rPr/>
              <w:t>供应商具备卫生部门核发且在有效期内的《医疗机构执业许可证》，且承诺诊疗科目覆盖本项目服务内容。如执业许可证机构名称与供应商不一致时，还须提供两者为同一法律主体或同一单位的证明文件复印件。（提供证书、证明文件复印件及承诺函加盖供应商公章）（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采购包1（广州医科大学附属市八医院2026-2027年度外送样本检测服务项目）：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投标文件合理性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采购包1(广州医科大学附属市八医院2026-2027年度外送样本检测服务项目):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技术部分52.0分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投标人对采购需求中一般技术参数的的响应情况 (12.0分)</w:t>
            </w:r>
          </w:p>
        </w:tc>
        <w:tc>
          <w:tcPr>
            <w:tcW w:type="dxa" w:w="5076"/>
          </w:tcPr>
          <w:p>
            <w:pPr>
              <w:pStyle w:val="null3"/>
              <w:jc w:val="left"/>
            </w:pPr>
            <w:r>
              <w:rPr/>
              <w:t>一般技术条款的响应情况：根据各投标人对《第二章 采购需求》“二、技术要求”的“3.服务要求”“5.检验结果质量要求”“7.标本接收送检要求”中未标注“★”或“▲”的一般技术参数的响应情况进行评审，以2级序列对应的技术要求为1项一般技术参数，例如“3.1中标人负责每天不少于一次（含周六、周日）到采购人处收取标本，时间为8:30-17:30，运送条件：冷链特种车运送，车辆必须配备专用车载冰箱或保温箱，冰箱或保温箱必须有相应的温度记录表；特殊检测标本另行约定。”为一项技术参数，共24项（最高得12分）：一般技术参数条款完全满足或优于的，得12分；每有1项负偏离或不完全满足的扣0.5分。 备注：如采购需求中有明确要求证明材料的，则投标人须提供相关证明材料，否则将视为负偏离。</w:t>
            </w:r>
          </w:p>
        </w:tc>
      </w:tr>
      <w:tr>
        <w:tc>
          <w:tcPr>
            <w:tcW w:type="dxa" w:w="922"/>
            <w:gridSpan w:val="2"/>
            <w:vMerge/>
          </w:tcPr>
          <w:p/>
        </w:tc>
        <w:tc>
          <w:tcPr>
            <w:tcW w:type="dxa" w:w="2307"/>
          </w:tcPr>
          <w:p>
            <w:pPr>
              <w:pStyle w:val="null3"/>
              <w:jc w:val="left"/>
            </w:pPr>
            <w:r>
              <w:rPr/>
              <w:t>物流服务方案 (8.0分)</w:t>
            </w:r>
          </w:p>
        </w:tc>
        <w:tc>
          <w:tcPr>
            <w:tcW w:type="dxa" w:w="5076"/>
          </w:tcPr>
          <w:p>
            <w:pPr>
              <w:pStyle w:val="null3"/>
              <w:jc w:val="left"/>
            </w:pPr>
            <w:r>
              <w:rPr/>
              <w:t>1.根据投标人提供的物流服务方案进行综合评价，包括但不限于以下内容：①配送路线规划，②配送人员安排，③物流期间的温度控制措施，④应急配送预案等内容（4小项）得2分，如缺少1项扣0.5分。 2.根据投标人提供的物流服务方案是否满足采购需求进行评审： （1）投标人提供的配送路线规划完全满足或优于采购需求，得1.5分；部分满足采购需求，得0.5分；无或其他情况不得分。 （2）投标人提供的配送人员安排完全满足或优于采购需求，得1.5分；部分满足采购需求，得0.5分；无或其他情况不得分。 （3）投标人提供的物流期间的温度控制措施完全满足或优于采购需求，得1.5分；部分满足采购需求，得0.5分；无或其他情况不得分。 （4）投标人提供的应急配送预案完全满足或优于采购需求，得1.5分；部分满足采购需求，得0.5分；无或其他情况不得分。</w:t>
            </w:r>
          </w:p>
        </w:tc>
      </w:tr>
      <w:tr>
        <w:tc>
          <w:tcPr>
            <w:tcW w:type="dxa" w:w="922"/>
            <w:gridSpan w:val="2"/>
            <w:vMerge/>
          </w:tcPr>
          <w:p/>
        </w:tc>
        <w:tc>
          <w:tcPr>
            <w:tcW w:type="dxa" w:w="2307"/>
          </w:tcPr>
          <w:p>
            <w:pPr>
              <w:pStyle w:val="null3"/>
              <w:jc w:val="left"/>
            </w:pPr>
            <w:r>
              <w:rPr/>
              <w:t>质量控制方案 (9.0分)</w:t>
            </w:r>
          </w:p>
        </w:tc>
        <w:tc>
          <w:tcPr>
            <w:tcW w:type="dxa" w:w="5076"/>
          </w:tcPr>
          <w:p>
            <w:pPr>
              <w:pStyle w:val="null3"/>
              <w:jc w:val="left"/>
            </w:pPr>
            <w:r>
              <w:rPr/>
              <w:t>1.根据供应商提供的质量控制方案进行综合评价，包括但不限于以下内容：①对采购人委托项目进行室内质控，②质量控制报表的设计，③其他质量控制措施等内容（3小项）得3分，如缺少1项扣1分。 2.根据投标人提供的质量控制方案是否满足采购需求进行评审：（1）投标人提供的对采购人委托项目进行室内质控完全满足或优于采购需求，得2分；部分满足采购需求，得1分；无或其他情况不得分。（2）投标人提供的质量控制报表的设计完全满足或优于采购需求，得2分；部分满足采购需求，得1分；无或其他情况不得分。（3）投标人提供的其他质量控制措施完全满足或优于采购需求，得2分；部分满足采购需求，得1分；无或其他情况不得分。</w:t>
            </w:r>
          </w:p>
        </w:tc>
      </w:tr>
      <w:tr>
        <w:tc>
          <w:tcPr>
            <w:tcW w:type="dxa" w:w="922"/>
            <w:gridSpan w:val="2"/>
            <w:vMerge/>
          </w:tcPr>
          <w:p/>
        </w:tc>
        <w:tc>
          <w:tcPr>
            <w:tcW w:type="dxa" w:w="2307"/>
          </w:tcPr>
          <w:p>
            <w:pPr>
              <w:pStyle w:val="null3"/>
              <w:jc w:val="left"/>
            </w:pPr>
            <w:r>
              <w:rPr/>
              <w:t>样品及标本处置方案 (7.0分)</w:t>
            </w:r>
          </w:p>
        </w:tc>
        <w:tc>
          <w:tcPr>
            <w:tcW w:type="dxa" w:w="5076"/>
          </w:tcPr>
          <w:p>
            <w:pPr>
              <w:pStyle w:val="null3"/>
              <w:jc w:val="left"/>
            </w:pPr>
            <w:r>
              <w:rPr/>
              <w:t>1.根据投标人提供的样品及标本处置方案进行综合评审：包括但不限于以下内容：①检测后样品和剩余标本的保存，②检测后样品和剩余标本的处置等内容（2小项）得1分，如缺少1项扣0.5分。 2.根据投标人提供的样品及标本处置方案是否满足采购需求进行评审：(1)投标人提供的检测后样品和剩余标本的保存方案完全满足且优于采购需求的，得3分；部分满足采购需求的得1.5分；无或其他情况不得分。(2)投标人提供的检测后样品和剩余标本的处置方案完全满足且优于采购需求的，得3分；部分满足采购需求的得1.5分；无或其他情况不得分。</w:t>
            </w:r>
          </w:p>
        </w:tc>
      </w:tr>
      <w:tr>
        <w:tc>
          <w:tcPr>
            <w:tcW w:type="dxa" w:w="922"/>
            <w:gridSpan w:val="2"/>
            <w:vMerge/>
          </w:tcPr>
          <w:p/>
        </w:tc>
        <w:tc>
          <w:tcPr>
            <w:tcW w:type="dxa" w:w="2307"/>
          </w:tcPr>
          <w:p>
            <w:pPr>
              <w:pStyle w:val="null3"/>
              <w:jc w:val="left"/>
            </w:pPr>
            <w:r>
              <w:rPr/>
              <w:t>实验室综合实力1 (8.0分)</w:t>
            </w:r>
          </w:p>
        </w:tc>
        <w:tc>
          <w:tcPr>
            <w:tcW w:type="dxa" w:w="5076"/>
          </w:tcPr>
          <w:p>
            <w:pPr>
              <w:pStyle w:val="null3"/>
              <w:jc w:val="left"/>
            </w:pPr>
            <w:r>
              <w:rPr/>
              <w:t>1.对投标人实验室通过 ISO 15189 中国合格评定国家认可委员会（CNAS）认可进行评价： ①投标人实验室检验（A检验医学）与病理（C病理学）项目均通过ISO15189中国合格评定国家认可委员会（CNAS）认可的，得2分；只有检验（A检验医学）或病理（C病理学）其中一类通过的得1分；其它情况不得分，最高得2分； ②投标人具有ISO15189医学实验室认可证书，且通过认可检验项目数量≥300项，得3分；200（含）-299（含）项得2分；100（含）-199（含）项得1分；小100项不得分；其它情况不得分，最高得3分； ③投标人实验室通过IS015189 实验室认可的C病理学项目数量：通过≥40项得3分；通过30（含）-39（含）项得2分；小于30项得1分；其它情况不得分，最高得3分； 以上①-③项得分累计，最高得8分。 注：第①项同时提供中国合格评定国家认可委员会（CNAS）实验室认可证书扫描件及证书附件（须体现认可的检验领域与项目）；第②-③项同时提供该实验室在中国合格评定国家认可委员会（CNAS）网站(https://www.cnas.org.cn/)的查询截图及“认可的检验能力范围”查询截图。</w:t>
            </w:r>
          </w:p>
        </w:tc>
      </w:tr>
      <w:tr>
        <w:tc>
          <w:tcPr>
            <w:tcW w:type="dxa" w:w="922"/>
            <w:gridSpan w:val="2"/>
            <w:vMerge/>
          </w:tcPr>
          <w:p/>
        </w:tc>
        <w:tc>
          <w:tcPr>
            <w:tcW w:type="dxa" w:w="2307"/>
          </w:tcPr>
          <w:p>
            <w:pPr>
              <w:pStyle w:val="null3"/>
              <w:jc w:val="left"/>
            </w:pPr>
            <w:r>
              <w:rPr/>
              <w:t>实验室综合实力2 (8.0分)</w:t>
            </w:r>
          </w:p>
        </w:tc>
        <w:tc>
          <w:tcPr>
            <w:tcW w:type="dxa" w:w="5076"/>
          </w:tcPr>
          <w:p>
            <w:pPr>
              <w:pStyle w:val="null3"/>
              <w:jc w:val="left"/>
            </w:pPr>
            <w:r>
              <w:rPr/>
              <w:t>投标人能够协助支持医院科室的建设和发展，有能力协助医院科室ISO15189体系认可工作，提供ISO15189体系认可相关咨询和培训服务，提供ISO15189体系认证辅导计划。 1.根据投标人提供的培训服务方案进行综合评审（内容至少包括：①培训活动计划；②培训课程定位与培训目标；③培训课程核心模块内容要素；④教学形式等）。培训服务方案全覆盖上述4项内容得2分，缺项1项扣0.5分，不提供不得分。 2.根据投标人提供的培训服务方案是否满足采购需求进行评审：（1）投标人提供的培训服务方案完全满足并优于采购需求，得3分； （2）投标人培训服务方案，仅能部分满足采购需求，得1分。 （3）无或其他情况不得分。 3.具备协助医院申请并通过ISO15189体系认证咨询服务的成功案例，同时提供以下两点得3分： （1）协助案例咨询服务合同关键页（包括但不限于合同首页、合同标的、签订时间和盖章页等）扫描件； （2）认证证书扫描件或证书网站（https://www.cnas.org.cn/）查询截图。 以上3点累计得分，最高8分。 如未按要求提供证明材料，或所提供的证明材料未能体现上述评分内容的，视为该证明材料无效。</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投标人提供自2023年1月1日至今（以合同签订时间为准）同类项目（同类项目指外送检验类项目）业绩，每提供一个得1.4分，满分7分。 注：需提供相应的合同或委托协议扫描件，需显示出项目名称、合同内容、双方盖章以及合同签订时间，未提供或提供合同不符合要求不得分。</w:t>
            </w:r>
          </w:p>
        </w:tc>
      </w:tr>
      <w:tr>
        <w:tc>
          <w:tcPr>
            <w:tcW w:type="dxa" w:w="922"/>
            <w:gridSpan w:val="2"/>
            <w:vMerge/>
          </w:tcPr>
          <w:p/>
        </w:tc>
        <w:tc>
          <w:tcPr>
            <w:tcW w:type="dxa" w:w="2307"/>
          </w:tcPr>
          <w:p>
            <w:pPr>
              <w:pStyle w:val="null3"/>
              <w:jc w:val="left"/>
            </w:pPr>
            <w:r>
              <w:rPr/>
              <w:t>临床检验结果互认情况 (5.0分)</w:t>
            </w:r>
            <w:r>
              <w:rPr/>
              <w:t>）</w:t>
            </w:r>
          </w:p>
        </w:tc>
        <w:tc>
          <w:tcPr>
            <w:tcW w:type="dxa" w:w="5076"/>
          </w:tcPr>
          <w:p>
            <w:pPr>
              <w:pStyle w:val="null3"/>
              <w:jc w:val="left"/>
            </w:pPr>
            <w:r>
              <w:rPr/>
              <w:t>投标人实验室为通过省级或以上（含国家级、跨省域）临床检验结果互认质量评价的医疗机构，按纳入省级或以上临床检查检验结果互认项目数（医保简码）进行评分：互认项目数≥80项得5分；60项（含）-79项（含）得3分；30项（含）-59项（含）得1分；＜30项不得分。 注：提供投标人实验室通过省级或以上（含国家级、跨省域）临床检验结果互认质量评价医疗机构及纳入省级或以上临床检查检验结果互认项目数及《临床检查检验结果互认项目目录》扫描件并标注作为证明；如未按要求提供证明材料，或所提供的证明材料未能体现上述评分内容的，视为该证明材料无效。</w:t>
            </w:r>
          </w:p>
        </w:tc>
      </w:tr>
      <w:tr>
        <w:tc>
          <w:tcPr>
            <w:tcW w:type="dxa" w:w="922"/>
            <w:gridSpan w:val="2"/>
            <w:vMerge/>
          </w:tcPr>
          <w:p/>
        </w:tc>
        <w:tc>
          <w:tcPr>
            <w:tcW w:type="dxa" w:w="2307"/>
          </w:tcPr>
          <w:p>
            <w:pPr>
              <w:pStyle w:val="null3"/>
              <w:jc w:val="left"/>
            </w:pPr>
            <w:r>
              <w:rPr/>
              <w:t>多技术平台能力 (11.0分)</w:t>
            </w:r>
          </w:p>
        </w:tc>
        <w:tc>
          <w:tcPr>
            <w:tcW w:type="dxa" w:w="5076"/>
          </w:tcPr>
          <w:p>
            <w:pPr>
              <w:pStyle w:val="null3"/>
              <w:jc w:val="left"/>
            </w:pPr>
            <w:r>
              <w:rPr/>
              <w:t>（一）评审内容： 1.2023年1月1日以来，投标人实验室需通过卫健委肿瘤体细胞突变高通量测序检测生物信息学分析，每通过一个平台得1分，总分3分；上述项目满分通过的，每通过一个平台得1分，满分3分。 注：提供室间质评证书及评价报告扫描件并加盖投标人公章，未提供或提供的资料不符合要求的不得分。 2.投标人拥有跨学科会诊能力及开展多平台检测： 1）2023年1月1日以来有开展二代测序（高通量测序）平台并通过国家室间质评【提供由国家卫生健康委临床检验中心出具的室间质评证书扫描件】； 2）投标人实验室有开展二代流式技术（NGF）并通过第三方机构临床检验中心相关流式细胞术室间质评，或获得ISO15189等认证【提供相应证书扫描件】； 以上二项每满足一项得2.5分，最高得5分。未提供或不符合要求，不得分。 （二）评审依据 按照以下要求提供证明材料： 1.第1项提供证书及评价报告扫描件作为得分依据； 2.第2项提供对应证书扫描件. 如未按要求提供证明材料，或所提供的证明材料未能体现上述评分内容的，视为该证明材料无效。</w:t>
            </w:r>
          </w:p>
        </w:tc>
      </w:tr>
      <w:tr>
        <w:tc>
          <w:tcPr>
            <w:tcW w:type="dxa" w:w="922"/>
            <w:gridSpan w:val="2"/>
            <w:vMerge/>
          </w:tcPr>
          <w:p/>
        </w:tc>
        <w:tc>
          <w:tcPr>
            <w:tcW w:type="dxa" w:w="2307"/>
          </w:tcPr>
          <w:p>
            <w:pPr>
              <w:pStyle w:val="null3"/>
              <w:jc w:val="left"/>
            </w:pPr>
            <w:r>
              <w:rPr/>
              <w:t>服务团队1 (2.0分)</w:t>
            </w:r>
            <w:r>
              <w:rPr/>
              <w:t>）</w:t>
            </w:r>
          </w:p>
        </w:tc>
        <w:tc>
          <w:tcPr>
            <w:tcW w:type="dxa" w:w="5076"/>
          </w:tcPr>
          <w:p>
            <w:pPr>
              <w:pStyle w:val="null3"/>
              <w:jc w:val="left"/>
            </w:pPr>
            <w:r>
              <w:rPr/>
              <w:t>（一）评审内容： 投标人针对本项目拟安排的项目负责人，必须为投标人正式聘任员工: 取得病理学主任医师，得2分，病理学副主任医师得1分； （二）评审依据 1.提供通过投标单位缴纳的载有社保部门或税务部门公章的近三个月内任意一个月的社保证明材料；若投标人为新成立企业且成立时间不足一个月的，可提供加盖公章的情况说明或者证明材料；如为退休返聘人员则提供退休证明及返聘协议，无需提供相关人员社保亦视为符合。 2.提供职称证书扫描件。 3.提供以上证明文件扫描件。如未按要求提供证明材料，或所提供的证明材料未能体现上述评分内容的，视为该证明材料无效。</w:t>
            </w:r>
          </w:p>
        </w:tc>
      </w:tr>
      <w:tr>
        <w:tc>
          <w:tcPr>
            <w:tcW w:type="dxa" w:w="922"/>
            <w:gridSpan w:val="2"/>
            <w:vMerge/>
          </w:tcPr>
          <w:p/>
        </w:tc>
        <w:tc>
          <w:tcPr>
            <w:tcW w:type="dxa" w:w="2307"/>
          </w:tcPr>
          <w:p>
            <w:pPr>
              <w:pStyle w:val="null3"/>
              <w:jc w:val="left"/>
            </w:pPr>
            <w:r>
              <w:rPr/>
              <w:t>服务团队2 (6.0分)</w:t>
            </w:r>
          </w:p>
        </w:tc>
        <w:tc>
          <w:tcPr>
            <w:tcW w:type="dxa" w:w="5076"/>
          </w:tcPr>
          <w:p>
            <w:pPr>
              <w:pStyle w:val="null3"/>
              <w:jc w:val="left"/>
            </w:pPr>
            <w:r>
              <w:rPr/>
              <w:t>（一）评审内容： 投标人拟投入本项目团队成员： （1）每配备1名临床医学检验技术（高级或以上）职称技术人员得1分，每配备1名临床医学检验技术（中级）职称技术人员得0.3分，最高得3分； （2）每配备1名病理学（高级或以上）职称技术人员得1分，每配备1名病理学（中级）职称技术人员得0.3分，最高得3分； 以上累计最高得6分。 注：同一人取得多个证书不重复计分。 （二）评审依据 1.提供团队成员通过投标单位缴纳的载有社保部门或税务部门公章的近三个月内任意一个月的社保证明材料；若供应商为新成立企业且成立时间不足一个月的，可提供加盖公章的情况说明或者证明材料。如为退休返聘人员则提供退休证明及返聘协议，无需提供相关人员社保亦视为符合。 2.提供上述职称证书扫描件，未按要求提供有效证明材料或提供不清晰导致评委无法识别的不计得分。</w:t>
            </w:r>
          </w:p>
        </w:tc>
      </w:tr>
      <w:tr>
        <w:tc>
          <w:tcPr>
            <w:tcW w:type="dxa" w:w="922"/>
            <w:gridSpan w:val="2"/>
            <w:vMerge/>
          </w:tcPr>
          <w:p/>
        </w:tc>
        <w:tc>
          <w:tcPr>
            <w:tcW w:type="dxa" w:w="2307"/>
          </w:tcPr>
          <w:p>
            <w:pPr>
              <w:pStyle w:val="null3"/>
              <w:jc w:val="left"/>
            </w:pPr>
            <w:r>
              <w:rPr/>
              <w:t>投标人认证情况 (2.0分)</w:t>
            </w:r>
            <w:r>
              <w:rPr/>
              <w:t>）</w:t>
            </w:r>
          </w:p>
        </w:tc>
        <w:tc>
          <w:tcPr>
            <w:tcW w:type="dxa" w:w="5076"/>
          </w:tcPr>
          <w:p>
            <w:pPr>
              <w:pStyle w:val="null3"/>
              <w:jc w:val="left"/>
            </w:pPr>
            <w:r>
              <w:rPr/>
              <w:t>投标人获得质量管理体系认证，且体系证书需通过CNAS认可得2分。 注：提供上述证书扫描件及在全国认证认可信息公共服务平台（http://cx.cnca.cn/）的证书信息查询截图，证书须显示有效，否则该证书不计分。如因投标人成立年限不足一年无法取得相关资质证书的，默认此项得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 20%为报价最低，评标基准价为20%，得满分10分。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三、甲方和乙方的权利和义务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款总服务费的__(-%)支付给乙方。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八、验收</w:t>
      </w:r>
    </w:p>
    <w:p>
      <w:pPr>
        <w:pStyle w:val="null3"/>
        <w:jc w:val="left"/>
      </w:pPr>
      <w:r>
        <w:rPr>
          <w:sz w:val="24"/>
          <w:b/>
        </w:rPr>
        <w:t>九、违约责任与赔偿损失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十三、其他</w:t>
      </w:r>
    </w:p>
    <w:p>
      <w:pPr>
        <w:pStyle w:val="null3"/>
        <w:jc w:val="left"/>
      </w:pPr>
      <w:r>
        <w:rPr>
          <w:sz w:val="24"/>
        </w:rPr>
        <w:t>1.本合同所有附件、招标文件、投标文件、中标通知书均为本合同的有效组成部分，与本合同具有同等法律效力。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十四、合同生效</w:t>
      </w:r>
    </w:p>
    <w:p>
      <w:pPr>
        <w:pStyle w:val="null3"/>
        <w:jc w:val="left"/>
      </w:pPr>
      <w:r>
        <w:rPr>
          <w:sz w:val="24"/>
        </w:rPr>
        <w:t>1.本合同在甲乙双方法定代表人或其授权代表签字盖章后生效。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440101-2026-13022</w:t>
      </w:r>
    </w:p>
    <w:p>
      <w:pPr>
        <w:pStyle w:val="null3"/>
        <w:jc w:val="center"/>
        <w:outlineLvl w:val="3"/>
      </w:pPr>
      <w:r>
        <w:rPr>
          <w:sz w:val="24"/>
          <w:b/>
        </w:rPr>
        <w:t>采购项目编号：</w:t>
      </w:r>
      <w:r>
        <w:rPr>
          <w:sz w:val="24"/>
          <w:b/>
        </w:rPr>
        <w:t>0877-26GZTP1ZC0559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广州医科大学附属市八医院2026-2027年度外送样本检测服务项目</w:t>
      </w:r>
      <w:r>
        <w:rPr>
          <w:u w:val="single"/>
        </w:rPr>
        <w:t>”</w:t>
      </w:r>
      <w:r>
        <w:rPr/>
        <w:t>项目的招标[采购项目编号为：</w:t>
      </w:r>
      <w:r>
        <w:rPr>
          <w:u w:val="single"/>
        </w:rPr>
        <w:t>0877-26GZTP1ZC0559</w:t>
      </w:r>
      <w:r>
        <w:rPr/>
        <w:t>]，我方愿参与投标。</w:t>
      </w:r>
    </w:p>
    <w:p>
      <w:pPr>
        <w:pStyle w:val="null3"/>
        <w:ind w:firstLine="480"/>
      </w:pPr>
      <w:r>
        <w:rPr/>
        <w:t>我方确认收到贵方提供的</w:t>
      </w:r>
      <w:r>
        <w:rPr>
          <w:u w:val="single"/>
        </w:rPr>
        <w:t>“</w:t>
      </w:r>
      <w:r>
        <w:rPr>
          <w:u w:val="single"/>
        </w:rPr>
        <w:t>广州医科大学附属市八医院2026-2027年度外送样本检测服务项目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广州医科大学附属市八医院2026-2027年度外送样本检测服务项目</w:t>
      </w:r>
      <w:r>
        <w:rPr/>
        <w:t>”项目采购[采购项目编号为</w:t>
      </w:r>
      <w:r>
        <w:rPr/>
        <w:t>0877-26GZTP1ZC0559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广州医科大学附属市八医院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广州医科大学附属市八医院2026-2027年度外送样本检测服务项目</w:t>
      </w:r>
      <w:r>
        <w:rPr/>
        <w:t>招标中获中标（采购项目编号：</w:t>
      </w:r>
      <w:r>
        <w:rPr/>
        <w:t>0877-26GZTP1ZC0559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