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EC2554">
      <w:pPr>
        <w:pStyle w:val="3"/>
        <w:jc w:val="center"/>
        <w:rPr>
          <w:color w:val="auto"/>
        </w:rPr>
      </w:pPr>
      <w:bookmarkStart w:id="0" w:name="_GoBack"/>
      <w:r>
        <w:rPr>
          <w:rFonts w:hint="eastAsia" w:ascii="宋体" w:hAnsi="宋体" w:eastAsia="宋体" w:cs="宋体"/>
          <w:bCs/>
          <w:color w:val="auto"/>
          <w:sz w:val="36"/>
          <w:szCs w:val="36"/>
          <w:shd w:val="clear" w:color="auto" w:fill="FFFFFF"/>
        </w:rPr>
        <w:t>南方医科大学南方医院胚胎植入前遗传学检测技术服务采购项目报价单</w:t>
      </w:r>
    </w:p>
    <w:p w14:paraId="7B3FB750">
      <w:pPr>
        <w:spacing w:line="360" w:lineRule="auto"/>
        <w:rPr>
          <w:rFonts w:hint="eastAsia" w:ascii="宋体" w:hAnsi="宋体" w:eastAsia="宋体" w:cs="宋体"/>
          <w:b/>
          <w:bCs/>
          <w:color w:val="auto"/>
          <w:sz w:val="24"/>
          <w:shd w:val="clear" w:color="auto" w:fill="FFFFFF"/>
        </w:rPr>
      </w:pPr>
      <w:r>
        <w:rPr>
          <w:rFonts w:hint="eastAsia" w:ascii="宋体" w:hAnsi="宋体" w:eastAsia="宋体" w:cs="宋体"/>
          <w:b/>
          <w:bCs/>
          <w:color w:val="auto"/>
          <w:sz w:val="24"/>
          <w:shd w:val="clear" w:color="auto" w:fill="FFFFFF"/>
        </w:rPr>
        <w:t>报价单位（盖章）：</w:t>
      </w:r>
    </w:p>
    <w:p w14:paraId="56686408">
      <w:pPr>
        <w:spacing w:line="360" w:lineRule="auto"/>
        <w:rPr>
          <w:rFonts w:hint="eastAsia" w:ascii="宋体" w:hAnsi="宋体" w:eastAsia="宋体" w:cs="宋体"/>
          <w:b/>
          <w:bCs/>
          <w:color w:val="auto"/>
          <w:sz w:val="24"/>
          <w:shd w:val="clear" w:color="auto" w:fill="FFFFFF"/>
        </w:rPr>
      </w:pPr>
      <w:r>
        <w:rPr>
          <w:rFonts w:hint="eastAsia" w:ascii="宋体" w:hAnsi="宋体" w:eastAsia="宋体" w:cs="宋体"/>
          <w:b/>
          <w:bCs/>
          <w:color w:val="auto"/>
          <w:sz w:val="24"/>
          <w:shd w:val="clear" w:color="auto" w:fill="FFFFFF"/>
        </w:rPr>
        <w:t>报价联系人：</w:t>
      </w:r>
    </w:p>
    <w:p w14:paraId="3FD7CFE6">
      <w:pPr>
        <w:snapToGrid w:val="0"/>
        <w:spacing w:line="360" w:lineRule="auto"/>
        <w:rPr>
          <w:rFonts w:hint="eastAsia" w:ascii="宋体" w:hAnsi="宋体" w:eastAsia="宋体" w:cs="宋体"/>
          <w:b/>
          <w:color w:val="auto"/>
          <w:sz w:val="24"/>
        </w:rPr>
      </w:pPr>
      <w:r>
        <w:rPr>
          <w:rFonts w:hint="eastAsia" w:ascii="宋体" w:hAnsi="宋体" w:eastAsia="宋体" w:cs="宋体"/>
          <w:b/>
          <w:bCs/>
          <w:color w:val="auto"/>
          <w:sz w:val="24"/>
          <w:shd w:val="clear" w:color="auto" w:fill="FFFFFF"/>
        </w:rPr>
        <w:t>报价人电话：</w:t>
      </w:r>
    </w:p>
    <w:p w14:paraId="3DBE793D">
      <w:pPr>
        <w:snapToGrid w:val="0"/>
        <w:spacing w:line="360" w:lineRule="auto"/>
        <w:ind w:firstLine="482" w:firstLineChars="200"/>
        <w:rPr>
          <w:rFonts w:hint="eastAsia" w:ascii="宋体" w:hAnsi="宋体" w:eastAsia="宋体" w:cs="宋体"/>
          <w:b/>
          <w:color w:val="auto"/>
          <w:sz w:val="24"/>
        </w:rPr>
      </w:pPr>
    </w:p>
    <w:p w14:paraId="6DE17222">
      <w:pPr>
        <w:autoSpaceDE w:val="0"/>
        <w:autoSpaceDN w:val="0"/>
        <w:adjustRightInd w:val="0"/>
        <w:snapToGrid w:val="0"/>
        <w:spacing w:line="360" w:lineRule="auto"/>
        <w:ind w:firstLine="482" w:firstLineChars="200"/>
        <w:jc w:val="left"/>
        <w:rPr>
          <w:rFonts w:hint="eastAsia" w:ascii="宋体" w:hAnsi="宋体" w:eastAsia="宋体" w:cs="宋体"/>
          <w:b/>
          <w:color w:val="auto"/>
          <w:sz w:val="24"/>
        </w:rPr>
      </w:pPr>
      <w:r>
        <w:rPr>
          <w:rFonts w:hint="eastAsia" w:ascii="宋体" w:hAnsi="宋体" w:eastAsia="宋体" w:cs="宋体"/>
          <w:b/>
          <w:color w:val="auto"/>
          <w:sz w:val="24"/>
        </w:rPr>
        <w:t>采购包1：胚胎植入前非整倍体检测及染色体结构异常检测项目（PGT-A 与 PGT-SR）服务参数要求</w:t>
      </w:r>
    </w:p>
    <w:p w14:paraId="44B87931">
      <w:pPr>
        <w:autoSpaceDE w:val="0"/>
        <w:autoSpaceDN w:val="0"/>
        <w:adjustRightInd w:val="0"/>
        <w:snapToGrid w:val="0"/>
        <w:spacing w:line="360" w:lineRule="auto"/>
        <w:ind w:firstLine="482" w:firstLineChars="200"/>
        <w:jc w:val="left"/>
        <w:rPr>
          <w:rFonts w:hint="eastAsia" w:ascii="宋体" w:hAnsi="宋体" w:eastAsia="宋体" w:cs="宋体"/>
          <w:b/>
          <w:color w:val="auto"/>
          <w:sz w:val="24"/>
        </w:rPr>
      </w:pPr>
      <w:r>
        <w:rPr>
          <w:rFonts w:hint="eastAsia" w:ascii="宋体" w:hAnsi="宋体" w:eastAsia="宋体" w:cs="宋体"/>
          <w:b/>
          <w:color w:val="auto"/>
          <w:sz w:val="24"/>
        </w:rPr>
        <w:t>（一）报价情况</w:t>
      </w:r>
    </w:p>
    <w:tbl>
      <w:tblPr>
        <w:tblStyle w:val="7"/>
        <w:tblW w:w="499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93"/>
        <w:gridCol w:w="4171"/>
        <w:gridCol w:w="2756"/>
      </w:tblGrid>
      <w:tr w14:paraId="3F3366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blHeader/>
          <w:jc w:val="center"/>
        </w:trPr>
        <w:tc>
          <w:tcPr>
            <w:tcW w:w="935" w:type="pct"/>
            <w:vAlign w:val="center"/>
          </w:tcPr>
          <w:p w14:paraId="1A11C702">
            <w:pPr>
              <w:widowControl/>
              <w:adjustRightInd w:val="0"/>
              <w:snapToGrid w:val="0"/>
              <w:jc w:val="center"/>
              <w:rPr>
                <w:rFonts w:hint="eastAsia" w:ascii="宋体" w:hAnsi="宋体" w:eastAsia="宋体" w:cs="宋体"/>
                <w:b/>
                <w:bCs/>
                <w:color w:val="auto"/>
                <w:kern w:val="0"/>
                <w:sz w:val="24"/>
              </w:rPr>
            </w:pPr>
            <w:r>
              <w:rPr>
                <w:rFonts w:hint="eastAsia" w:ascii="宋体" w:hAnsi="宋体" w:eastAsia="宋体" w:cs="宋体"/>
                <w:b/>
                <w:bCs/>
                <w:color w:val="auto"/>
                <w:kern w:val="0"/>
                <w:sz w:val="24"/>
              </w:rPr>
              <w:t>项目编号</w:t>
            </w:r>
          </w:p>
        </w:tc>
        <w:tc>
          <w:tcPr>
            <w:tcW w:w="2448" w:type="pct"/>
            <w:vAlign w:val="center"/>
          </w:tcPr>
          <w:p w14:paraId="61784123">
            <w:pPr>
              <w:widowControl/>
              <w:adjustRightInd w:val="0"/>
              <w:snapToGrid w:val="0"/>
              <w:jc w:val="center"/>
              <w:rPr>
                <w:rFonts w:hint="eastAsia" w:ascii="宋体" w:hAnsi="宋体" w:eastAsia="宋体" w:cs="宋体"/>
                <w:b/>
                <w:bCs/>
                <w:color w:val="auto"/>
                <w:kern w:val="0"/>
                <w:sz w:val="24"/>
              </w:rPr>
            </w:pPr>
            <w:r>
              <w:rPr>
                <w:rFonts w:hint="eastAsia" w:ascii="宋体" w:hAnsi="宋体" w:eastAsia="宋体" w:cs="宋体"/>
                <w:b/>
                <w:bCs/>
                <w:color w:val="auto"/>
                <w:kern w:val="0"/>
                <w:sz w:val="24"/>
              </w:rPr>
              <w:t>项目名称</w:t>
            </w:r>
          </w:p>
        </w:tc>
        <w:tc>
          <w:tcPr>
            <w:tcW w:w="1617" w:type="pct"/>
            <w:vAlign w:val="center"/>
          </w:tcPr>
          <w:p w14:paraId="3703EAC7">
            <w:pPr>
              <w:widowControl/>
              <w:adjustRightInd w:val="0"/>
              <w:snapToGrid w:val="0"/>
              <w:jc w:val="center"/>
              <w:rPr>
                <w:rFonts w:hint="eastAsia" w:ascii="宋体" w:hAnsi="宋体" w:eastAsia="宋体" w:cs="宋体"/>
                <w:b/>
                <w:bCs/>
                <w:color w:val="auto"/>
                <w:kern w:val="0"/>
                <w:sz w:val="24"/>
              </w:rPr>
            </w:pPr>
            <w:r>
              <w:rPr>
                <w:rFonts w:hint="eastAsia" w:ascii="宋体" w:hAnsi="宋体" w:eastAsia="宋体" w:cs="宋体"/>
                <w:b/>
                <w:bCs/>
                <w:color w:val="auto"/>
                <w:kern w:val="0"/>
                <w:sz w:val="24"/>
              </w:rPr>
              <w:t>报价（元/样本）</w:t>
            </w:r>
          </w:p>
        </w:tc>
      </w:tr>
      <w:tr w14:paraId="7C0F45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935" w:type="pct"/>
            <w:vAlign w:val="center"/>
          </w:tcPr>
          <w:p w14:paraId="10AC3089">
            <w:pPr>
              <w:widowControl/>
              <w:adjustRightInd w:val="0"/>
              <w:snapToGrid w:val="0"/>
              <w:jc w:val="center"/>
              <w:rPr>
                <w:rFonts w:hint="eastAsia" w:ascii="宋体" w:hAnsi="宋体" w:eastAsia="宋体" w:cs="宋体"/>
                <w:color w:val="auto"/>
                <w:kern w:val="0"/>
                <w:sz w:val="24"/>
              </w:rPr>
            </w:pPr>
            <w:r>
              <w:rPr>
                <w:rFonts w:hint="eastAsia" w:ascii="宋体" w:hAnsi="宋体" w:eastAsia="宋体" w:cs="宋体"/>
                <w:color w:val="auto"/>
                <w:kern w:val="0"/>
                <w:sz w:val="24"/>
              </w:rPr>
              <w:t>1</w:t>
            </w:r>
          </w:p>
        </w:tc>
        <w:tc>
          <w:tcPr>
            <w:tcW w:w="2448" w:type="pct"/>
            <w:vAlign w:val="center"/>
          </w:tcPr>
          <w:p w14:paraId="4C553CB0">
            <w:pPr>
              <w:widowControl/>
              <w:adjustRightInd w:val="0"/>
              <w:snapToGrid w:val="0"/>
              <w:jc w:val="center"/>
              <w:rPr>
                <w:rFonts w:hint="eastAsia" w:ascii="宋体" w:hAnsi="宋体" w:eastAsia="宋体" w:cs="宋体"/>
                <w:color w:val="auto"/>
                <w:kern w:val="0"/>
                <w:sz w:val="24"/>
              </w:rPr>
            </w:pPr>
            <w:r>
              <w:rPr>
                <w:rFonts w:hint="eastAsia" w:ascii="宋体" w:hAnsi="宋体" w:eastAsia="宋体" w:cs="宋体"/>
                <w:color w:val="auto"/>
                <w:sz w:val="24"/>
              </w:rPr>
              <w:t>PGT-A胚胎分子遗传检测</w:t>
            </w:r>
          </w:p>
        </w:tc>
        <w:tc>
          <w:tcPr>
            <w:tcW w:w="1617" w:type="pct"/>
            <w:vAlign w:val="center"/>
          </w:tcPr>
          <w:p w14:paraId="71472031">
            <w:pPr>
              <w:widowControl/>
              <w:adjustRightInd w:val="0"/>
              <w:snapToGrid w:val="0"/>
              <w:jc w:val="center"/>
              <w:rPr>
                <w:rFonts w:hint="eastAsia" w:ascii="宋体" w:hAnsi="宋体" w:eastAsia="宋体" w:cs="宋体"/>
                <w:color w:val="auto"/>
                <w:kern w:val="0"/>
                <w:sz w:val="24"/>
              </w:rPr>
            </w:pPr>
          </w:p>
        </w:tc>
      </w:tr>
      <w:tr w14:paraId="0DDD54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935" w:type="pct"/>
            <w:vAlign w:val="center"/>
          </w:tcPr>
          <w:p w14:paraId="1AF1E757">
            <w:pPr>
              <w:widowControl/>
              <w:adjustRightInd w:val="0"/>
              <w:snapToGrid w:val="0"/>
              <w:jc w:val="center"/>
              <w:rPr>
                <w:rFonts w:hint="eastAsia" w:ascii="宋体" w:hAnsi="宋体" w:eastAsia="宋体" w:cs="宋体"/>
                <w:color w:val="auto"/>
                <w:kern w:val="0"/>
                <w:sz w:val="24"/>
              </w:rPr>
            </w:pPr>
            <w:r>
              <w:rPr>
                <w:rFonts w:hint="eastAsia" w:ascii="宋体" w:hAnsi="宋体" w:eastAsia="宋体" w:cs="宋体"/>
                <w:color w:val="auto"/>
                <w:kern w:val="0"/>
                <w:sz w:val="24"/>
              </w:rPr>
              <w:t>2</w:t>
            </w:r>
          </w:p>
        </w:tc>
        <w:tc>
          <w:tcPr>
            <w:tcW w:w="2448" w:type="pct"/>
            <w:vAlign w:val="center"/>
          </w:tcPr>
          <w:p w14:paraId="51D8F573">
            <w:pPr>
              <w:widowControl/>
              <w:adjustRightInd w:val="0"/>
              <w:snapToGrid w:val="0"/>
              <w:jc w:val="center"/>
              <w:rPr>
                <w:rFonts w:hint="eastAsia" w:ascii="宋体" w:hAnsi="宋体" w:eastAsia="宋体" w:cs="宋体"/>
                <w:color w:val="auto"/>
                <w:kern w:val="0"/>
                <w:sz w:val="24"/>
              </w:rPr>
            </w:pPr>
            <w:r>
              <w:rPr>
                <w:rFonts w:hint="eastAsia" w:ascii="宋体" w:hAnsi="宋体" w:eastAsia="宋体" w:cs="宋体"/>
                <w:color w:val="auto"/>
                <w:sz w:val="24"/>
              </w:rPr>
              <w:t>PGT-SR胚胎分子遗传检测</w:t>
            </w:r>
          </w:p>
        </w:tc>
        <w:tc>
          <w:tcPr>
            <w:tcW w:w="1617" w:type="pct"/>
            <w:vAlign w:val="center"/>
          </w:tcPr>
          <w:p w14:paraId="7CA1FC72">
            <w:pPr>
              <w:widowControl/>
              <w:adjustRightInd w:val="0"/>
              <w:snapToGrid w:val="0"/>
              <w:jc w:val="center"/>
              <w:rPr>
                <w:rFonts w:hint="eastAsia" w:ascii="宋体" w:hAnsi="宋体" w:eastAsia="宋体" w:cs="宋体"/>
                <w:color w:val="auto"/>
                <w:kern w:val="0"/>
                <w:sz w:val="24"/>
              </w:rPr>
            </w:pPr>
          </w:p>
        </w:tc>
      </w:tr>
      <w:tr w14:paraId="0C25FF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935" w:type="pct"/>
            <w:vAlign w:val="center"/>
          </w:tcPr>
          <w:p w14:paraId="4C4416DC">
            <w:pPr>
              <w:widowControl/>
              <w:adjustRightInd w:val="0"/>
              <w:snapToGrid w:val="0"/>
              <w:jc w:val="center"/>
              <w:rPr>
                <w:rFonts w:hint="eastAsia" w:ascii="宋体" w:hAnsi="宋体" w:eastAsia="宋体" w:cs="宋体"/>
                <w:color w:val="auto"/>
                <w:kern w:val="0"/>
                <w:sz w:val="24"/>
              </w:rPr>
            </w:pPr>
            <w:r>
              <w:rPr>
                <w:rFonts w:hint="eastAsia" w:ascii="宋体" w:hAnsi="宋体" w:eastAsia="宋体" w:cs="宋体"/>
                <w:color w:val="auto"/>
                <w:kern w:val="0"/>
                <w:sz w:val="24"/>
              </w:rPr>
              <w:t>3</w:t>
            </w:r>
          </w:p>
        </w:tc>
        <w:tc>
          <w:tcPr>
            <w:tcW w:w="2448" w:type="pct"/>
            <w:vAlign w:val="center"/>
          </w:tcPr>
          <w:p w14:paraId="2190258D">
            <w:pPr>
              <w:widowControl/>
              <w:adjustRightInd w:val="0"/>
              <w:snapToGrid w:val="0"/>
              <w:jc w:val="center"/>
              <w:rPr>
                <w:rFonts w:hint="eastAsia" w:ascii="宋体" w:hAnsi="宋体" w:eastAsia="宋体" w:cs="宋体"/>
                <w:color w:val="auto"/>
                <w:sz w:val="24"/>
              </w:rPr>
            </w:pPr>
            <w:r>
              <w:rPr>
                <w:rFonts w:hint="eastAsia" w:ascii="宋体" w:hAnsi="宋体" w:eastAsia="宋体" w:cs="宋体"/>
                <w:color w:val="auto"/>
                <w:sz w:val="24"/>
              </w:rPr>
              <w:t>PGT-SR家系分析</w:t>
            </w:r>
          </w:p>
        </w:tc>
        <w:tc>
          <w:tcPr>
            <w:tcW w:w="1617" w:type="pct"/>
            <w:vAlign w:val="center"/>
          </w:tcPr>
          <w:p w14:paraId="77CBCA0B">
            <w:pPr>
              <w:widowControl/>
              <w:adjustRightInd w:val="0"/>
              <w:snapToGrid w:val="0"/>
              <w:jc w:val="center"/>
              <w:rPr>
                <w:rFonts w:hint="eastAsia" w:ascii="宋体" w:hAnsi="宋体" w:eastAsia="宋体" w:cs="宋体"/>
                <w:color w:val="auto"/>
                <w:kern w:val="0"/>
                <w:sz w:val="24"/>
              </w:rPr>
            </w:pPr>
          </w:p>
        </w:tc>
      </w:tr>
      <w:tr w14:paraId="1AF4D8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935" w:type="pct"/>
            <w:vAlign w:val="center"/>
          </w:tcPr>
          <w:p w14:paraId="37BBA630">
            <w:pPr>
              <w:widowControl/>
              <w:adjustRightInd w:val="0"/>
              <w:snapToGrid w:val="0"/>
              <w:jc w:val="center"/>
              <w:rPr>
                <w:rFonts w:hint="eastAsia" w:ascii="宋体" w:hAnsi="宋体" w:eastAsia="宋体" w:cs="宋体"/>
                <w:color w:val="auto"/>
                <w:kern w:val="0"/>
                <w:sz w:val="24"/>
              </w:rPr>
            </w:pPr>
            <w:r>
              <w:rPr>
                <w:rFonts w:hint="eastAsia" w:ascii="宋体" w:hAnsi="宋体" w:eastAsia="宋体" w:cs="宋体"/>
                <w:color w:val="auto"/>
                <w:kern w:val="0"/>
                <w:sz w:val="24"/>
              </w:rPr>
              <w:t>4</w:t>
            </w:r>
          </w:p>
        </w:tc>
        <w:tc>
          <w:tcPr>
            <w:tcW w:w="2448" w:type="pct"/>
            <w:vAlign w:val="center"/>
          </w:tcPr>
          <w:p w14:paraId="2DB1F3C1">
            <w:pPr>
              <w:widowControl/>
              <w:adjustRightInd w:val="0"/>
              <w:snapToGrid w:val="0"/>
              <w:jc w:val="center"/>
              <w:rPr>
                <w:rFonts w:hint="eastAsia" w:ascii="宋体" w:hAnsi="宋体" w:eastAsia="宋体" w:cs="宋体"/>
                <w:color w:val="auto"/>
                <w:sz w:val="24"/>
              </w:rPr>
            </w:pPr>
            <w:r>
              <w:rPr>
                <w:rFonts w:hint="eastAsia" w:ascii="宋体" w:hAnsi="宋体" w:eastAsia="宋体" w:cs="宋体"/>
                <w:color w:val="auto"/>
                <w:sz w:val="24"/>
              </w:rPr>
              <w:t>PGT-A+PGT-SR胚胎分子遗传检测</w:t>
            </w:r>
          </w:p>
        </w:tc>
        <w:tc>
          <w:tcPr>
            <w:tcW w:w="1617" w:type="pct"/>
            <w:vAlign w:val="center"/>
          </w:tcPr>
          <w:p w14:paraId="7EC1CB6C">
            <w:pPr>
              <w:widowControl/>
              <w:adjustRightInd w:val="0"/>
              <w:snapToGrid w:val="0"/>
              <w:jc w:val="center"/>
              <w:rPr>
                <w:rFonts w:hint="eastAsia" w:ascii="宋体" w:hAnsi="宋体" w:eastAsia="宋体" w:cs="宋体"/>
                <w:color w:val="auto"/>
                <w:kern w:val="0"/>
                <w:sz w:val="24"/>
              </w:rPr>
            </w:pPr>
          </w:p>
        </w:tc>
      </w:tr>
    </w:tbl>
    <w:p w14:paraId="6D6EFEF6">
      <w:pPr>
        <w:pStyle w:val="2"/>
        <w:rPr>
          <w:color w:val="auto"/>
          <w:lang w:eastAsia="zh-CN"/>
        </w:rPr>
      </w:pPr>
    </w:p>
    <w:tbl>
      <w:tblPr>
        <w:tblStyle w:val="7"/>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19"/>
        <w:gridCol w:w="985"/>
        <w:gridCol w:w="1416"/>
      </w:tblGrid>
      <w:tr w14:paraId="6E76D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3590" w:type="pct"/>
            <w:vAlign w:val="center"/>
          </w:tcPr>
          <w:p w14:paraId="5F784ECE">
            <w:pPr>
              <w:pStyle w:val="10"/>
              <w:adjustRightInd w:val="0"/>
              <w:snapToGrid w:val="0"/>
              <w:spacing w:line="240" w:lineRule="auto"/>
              <w:ind w:firstLine="0" w:firstLineChars="0"/>
              <w:jc w:val="center"/>
              <w:rPr>
                <w:rFonts w:hint="eastAsia" w:ascii="宋体" w:hAnsi="宋体" w:eastAsia="宋体" w:cs="宋体"/>
                <w:b/>
                <w:color w:val="auto"/>
                <w:szCs w:val="24"/>
              </w:rPr>
            </w:pPr>
            <w:r>
              <w:rPr>
                <w:rFonts w:hint="eastAsia" w:ascii="宋体" w:hAnsi="宋体" w:eastAsia="宋体" w:cs="宋体"/>
                <w:b/>
                <w:color w:val="auto"/>
                <w:szCs w:val="24"/>
              </w:rPr>
              <w:t>采购内容</w:t>
            </w:r>
          </w:p>
        </w:tc>
        <w:tc>
          <w:tcPr>
            <w:tcW w:w="578" w:type="pct"/>
            <w:vAlign w:val="center"/>
          </w:tcPr>
          <w:p w14:paraId="40370FAA">
            <w:pPr>
              <w:pStyle w:val="10"/>
              <w:adjustRightInd w:val="0"/>
              <w:snapToGrid w:val="0"/>
              <w:spacing w:line="240" w:lineRule="auto"/>
              <w:ind w:firstLine="0" w:firstLineChars="0"/>
              <w:jc w:val="center"/>
              <w:rPr>
                <w:rFonts w:hint="eastAsia" w:ascii="宋体" w:hAnsi="宋体" w:eastAsia="宋体" w:cs="宋体"/>
                <w:b/>
                <w:color w:val="auto"/>
                <w:szCs w:val="24"/>
              </w:rPr>
            </w:pPr>
            <w:r>
              <w:rPr>
                <w:rFonts w:hint="eastAsia" w:ascii="宋体" w:hAnsi="宋体" w:eastAsia="宋体" w:cs="宋体"/>
                <w:b/>
                <w:color w:val="auto"/>
                <w:szCs w:val="24"/>
              </w:rPr>
              <w:t>数量</w:t>
            </w:r>
          </w:p>
        </w:tc>
        <w:tc>
          <w:tcPr>
            <w:tcW w:w="831" w:type="pct"/>
            <w:vAlign w:val="center"/>
          </w:tcPr>
          <w:p w14:paraId="7A3EFEE8">
            <w:pPr>
              <w:pStyle w:val="10"/>
              <w:adjustRightInd w:val="0"/>
              <w:snapToGrid w:val="0"/>
              <w:spacing w:line="240" w:lineRule="auto"/>
              <w:ind w:firstLine="0" w:firstLineChars="0"/>
              <w:jc w:val="center"/>
              <w:rPr>
                <w:rFonts w:hint="eastAsia" w:ascii="宋体" w:hAnsi="宋体" w:eastAsia="宋体" w:cs="宋体"/>
                <w:b/>
                <w:color w:val="auto"/>
                <w:szCs w:val="24"/>
              </w:rPr>
            </w:pPr>
            <w:r>
              <w:rPr>
                <w:rFonts w:hint="eastAsia" w:ascii="宋体" w:hAnsi="宋体" w:eastAsia="宋体" w:cs="宋体"/>
                <w:b/>
                <w:color w:val="auto"/>
                <w:szCs w:val="24"/>
              </w:rPr>
              <w:t>服务期限</w:t>
            </w:r>
          </w:p>
        </w:tc>
      </w:tr>
      <w:tr w14:paraId="5AECB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3590" w:type="pct"/>
            <w:vAlign w:val="center"/>
          </w:tcPr>
          <w:p w14:paraId="7C3C05AD">
            <w:pPr>
              <w:adjustRightInd w:val="0"/>
              <w:snapToGrid w:val="0"/>
              <w:jc w:val="center"/>
              <w:rPr>
                <w:rFonts w:hint="eastAsia" w:ascii="宋体" w:hAnsi="宋体" w:eastAsia="宋体" w:cs="宋体"/>
                <w:color w:val="auto"/>
                <w:sz w:val="24"/>
              </w:rPr>
            </w:pPr>
            <w:r>
              <w:rPr>
                <w:rFonts w:hint="eastAsia" w:ascii="宋体" w:hAnsi="宋体" w:eastAsia="宋体" w:cs="宋体"/>
                <w:color w:val="auto"/>
                <w:sz w:val="24"/>
              </w:rPr>
              <w:t>胚胎植入前非整倍体检测及染色体结构异常检测项目（PGT</w:t>
            </w:r>
            <w:r>
              <w:rPr>
                <w:rFonts w:hint="eastAsia" w:ascii="宋体" w:hAnsi="宋体" w:eastAsia="宋体" w:cs="宋体"/>
                <w:color w:val="auto"/>
                <w:sz w:val="24"/>
                <w:lang w:val="en-US" w:eastAsia="zh-CN"/>
              </w:rPr>
              <w:t>-</w:t>
            </w:r>
            <w:r>
              <w:rPr>
                <w:rFonts w:hint="eastAsia" w:ascii="宋体" w:hAnsi="宋体" w:eastAsia="宋体" w:cs="宋体"/>
                <w:color w:val="auto"/>
                <w:sz w:val="24"/>
              </w:rPr>
              <w:t>A</w:t>
            </w:r>
            <w:r>
              <w:rPr>
                <w:rFonts w:hint="eastAsia" w:ascii="宋体" w:hAnsi="宋体" w:eastAsia="宋体" w:cs="宋体"/>
                <w:color w:val="auto"/>
                <w:sz w:val="24"/>
                <w:lang w:val="en-US" w:eastAsia="zh-CN"/>
              </w:rPr>
              <w:t>与</w:t>
            </w:r>
            <w:r>
              <w:rPr>
                <w:rFonts w:hint="eastAsia" w:ascii="宋体" w:hAnsi="宋体" w:eastAsia="宋体" w:cs="宋体"/>
                <w:color w:val="auto"/>
                <w:sz w:val="24"/>
              </w:rPr>
              <w:t>PGT-SR）委托第三方检测服务</w:t>
            </w:r>
          </w:p>
        </w:tc>
        <w:tc>
          <w:tcPr>
            <w:tcW w:w="578" w:type="pct"/>
            <w:vAlign w:val="center"/>
          </w:tcPr>
          <w:p w14:paraId="71414B30">
            <w:pPr>
              <w:adjustRightInd w:val="0"/>
              <w:snapToGrid w:val="0"/>
              <w:jc w:val="center"/>
              <w:rPr>
                <w:rFonts w:hint="eastAsia" w:ascii="宋体" w:hAnsi="宋体" w:eastAsia="宋体" w:cs="宋体"/>
                <w:color w:val="auto"/>
                <w:sz w:val="24"/>
              </w:rPr>
            </w:pPr>
            <w:r>
              <w:rPr>
                <w:rFonts w:hint="eastAsia" w:ascii="宋体" w:hAnsi="宋体" w:eastAsia="宋体" w:cs="宋体"/>
                <w:color w:val="auto"/>
                <w:sz w:val="24"/>
              </w:rPr>
              <w:t>1</w:t>
            </w:r>
          </w:p>
        </w:tc>
        <w:tc>
          <w:tcPr>
            <w:tcW w:w="831" w:type="pct"/>
            <w:vAlign w:val="center"/>
          </w:tcPr>
          <w:p w14:paraId="4D4BEC6E">
            <w:pPr>
              <w:adjustRightInd w:val="0"/>
              <w:snapToGrid w:val="0"/>
              <w:jc w:val="center"/>
              <w:rPr>
                <w:rFonts w:hint="eastAsia" w:ascii="宋体" w:hAnsi="宋体" w:eastAsia="宋体" w:cs="宋体"/>
                <w:color w:val="auto"/>
                <w:sz w:val="24"/>
              </w:rPr>
            </w:pPr>
            <w:r>
              <w:rPr>
                <w:rFonts w:hint="eastAsia" w:ascii="宋体" w:hAnsi="宋体" w:eastAsia="宋体" w:cs="宋体"/>
                <w:color w:val="auto"/>
                <w:sz w:val="24"/>
              </w:rPr>
              <w:t>2年</w:t>
            </w:r>
          </w:p>
        </w:tc>
      </w:tr>
    </w:tbl>
    <w:p w14:paraId="312CF238">
      <w:pPr>
        <w:autoSpaceDE w:val="0"/>
        <w:autoSpaceDN w:val="0"/>
        <w:adjustRightInd w:val="0"/>
        <w:snapToGrid w:val="0"/>
        <w:spacing w:line="360" w:lineRule="auto"/>
        <w:ind w:firstLine="480" w:firstLineChars="200"/>
        <w:jc w:val="left"/>
        <w:rPr>
          <w:rFonts w:hint="eastAsia" w:ascii="宋体" w:hAnsi="宋体" w:eastAsia="宋体" w:cs="宋体"/>
          <w:b/>
          <w:color w:val="auto"/>
          <w:sz w:val="24"/>
        </w:rPr>
      </w:pPr>
      <w:r>
        <w:rPr>
          <w:rFonts w:hint="eastAsia" w:ascii="宋体" w:hAnsi="宋体" w:eastAsia="宋体" w:cs="宋体"/>
          <w:color w:val="auto"/>
          <w:sz w:val="24"/>
        </w:rPr>
        <w:t>（二）</w:t>
      </w:r>
      <w:r>
        <w:rPr>
          <w:rFonts w:hint="eastAsia" w:ascii="宋体" w:hAnsi="宋体" w:eastAsia="宋体" w:cs="宋体"/>
          <w:b/>
          <w:color w:val="auto"/>
          <w:sz w:val="24"/>
        </w:rPr>
        <w:t>管理需求：</w:t>
      </w:r>
    </w:p>
    <w:p w14:paraId="2DCD9A26">
      <w:pPr>
        <w:autoSpaceDE w:val="0"/>
        <w:autoSpaceDN w:val="0"/>
        <w:adjustRightInd w:val="0"/>
        <w:snapToGrid w:val="0"/>
        <w:spacing w:line="360" w:lineRule="auto"/>
        <w:ind w:firstLine="480" w:firstLineChars="200"/>
        <w:jc w:val="left"/>
        <w:rPr>
          <w:rFonts w:hint="eastAsia" w:ascii="宋体" w:hAnsi="宋体" w:eastAsia="宋体" w:cs="宋体"/>
          <w:color w:val="auto"/>
          <w:sz w:val="24"/>
          <w:lang w:val="zh-CN"/>
        </w:rPr>
      </w:pPr>
      <w:r>
        <w:rPr>
          <w:rFonts w:hint="eastAsia" w:ascii="宋体" w:hAnsi="宋体" w:eastAsia="宋体" w:cs="宋体"/>
          <w:color w:val="auto"/>
          <w:sz w:val="24"/>
          <w:lang w:val="zh-CN"/>
        </w:rPr>
        <w:t>（1）供应商的实验室符合国家《医疗机构临床实验室管理办法》等法律法规要求。</w:t>
      </w:r>
    </w:p>
    <w:p w14:paraId="1D8CF341">
      <w:pPr>
        <w:autoSpaceDE w:val="0"/>
        <w:autoSpaceDN w:val="0"/>
        <w:adjustRightInd w:val="0"/>
        <w:snapToGrid w:val="0"/>
        <w:spacing w:line="360" w:lineRule="auto"/>
        <w:ind w:firstLine="480" w:firstLineChars="200"/>
        <w:jc w:val="left"/>
        <w:rPr>
          <w:rFonts w:hint="eastAsia" w:ascii="宋体" w:hAnsi="宋体" w:eastAsia="宋体" w:cs="宋体"/>
          <w:color w:val="auto"/>
          <w:sz w:val="24"/>
          <w:lang w:val="zh-CN"/>
        </w:rPr>
      </w:pPr>
      <w:r>
        <w:rPr>
          <w:rFonts w:hint="eastAsia" w:ascii="宋体" w:hAnsi="宋体" w:eastAsia="宋体" w:cs="宋体"/>
          <w:color w:val="auto"/>
          <w:sz w:val="24"/>
          <w:lang w:val="zh-CN"/>
        </w:rPr>
        <w:t>（2）供应商提供可靠的冷链物流服务，按双方约定要求收检标本。</w:t>
      </w:r>
    </w:p>
    <w:p w14:paraId="68016B7E">
      <w:pPr>
        <w:autoSpaceDE w:val="0"/>
        <w:autoSpaceDN w:val="0"/>
        <w:adjustRightInd w:val="0"/>
        <w:snapToGrid w:val="0"/>
        <w:spacing w:line="360" w:lineRule="auto"/>
        <w:ind w:firstLine="480" w:firstLineChars="200"/>
        <w:jc w:val="left"/>
        <w:rPr>
          <w:rFonts w:hint="eastAsia" w:ascii="宋体" w:hAnsi="宋体" w:eastAsia="宋体" w:cs="宋体"/>
          <w:color w:val="auto"/>
          <w:sz w:val="24"/>
          <w:lang w:val="zh-CN"/>
        </w:rPr>
      </w:pPr>
      <w:r>
        <w:rPr>
          <w:rFonts w:hint="eastAsia" w:ascii="宋体" w:hAnsi="宋体" w:eastAsia="宋体" w:cs="宋体"/>
          <w:color w:val="auto"/>
          <w:sz w:val="24"/>
          <w:lang w:val="zh-CN"/>
        </w:rPr>
        <w:t>（3）供应商应配合支持信息系统对接，保障项目传输结果及时无误；安排专人负责采购人信息业务，及时解决信息故障。</w:t>
      </w:r>
    </w:p>
    <w:p w14:paraId="1D10B084">
      <w:pPr>
        <w:autoSpaceDE w:val="0"/>
        <w:autoSpaceDN w:val="0"/>
        <w:adjustRightInd w:val="0"/>
        <w:snapToGrid w:val="0"/>
        <w:spacing w:line="360" w:lineRule="auto"/>
        <w:ind w:firstLine="480" w:firstLineChars="200"/>
        <w:jc w:val="left"/>
        <w:rPr>
          <w:rFonts w:hint="eastAsia" w:ascii="宋体" w:hAnsi="宋体" w:eastAsia="宋体" w:cs="宋体"/>
          <w:color w:val="auto"/>
          <w:sz w:val="24"/>
          <w:lang w:val="zh-CN"/>
        </w:rPr>
      </w:pPr>
      <w:r>
        <w:rPr>
          <w:rFonts w:hint="eastAsia" w:ascii="宋体" w:hAnsi="宋体" w:eastAsia="宋体" w:cs="宋体"/>
          <w:color w:val="auto"/>
          <w:sz w:val="24"/>
          <w:lang w:val="zh-CN"/>
        </w:rPr>
        <w:t>（4）供应商具有符合生物安全管理标准的标本储存冷库，能够按采购人要求妥善保存、追溯及销毁检验后样本。</w:t>
      </w:r>
    </w:p>
    <w:p w14:paraId="7EACD7A2">
      <w:pPr>
        <w:autoSpaceDE w:val="0"/>
        <w:autoSpaceDN w:val="0"/>
        <w:adjustRightInd w:val="0"/>
        <w:snapToGrid w:val="0"/>
        <w:spacing w:line="360" w:lineRule="auto"/>
        <w:ind w:firstLine="480" w:firstLineChars="200"/>
        <w:jc w:val="left"/>
        <w:rPr>
          <w:rFonts w:hint="eastAsia" w:ascii="宋体" w:hAnsi="宋体" w:eastAsia="宋体" w:cs="宋体"/>
          <w:color w:val="auto"/>
          <w:sz w:val="24"/>
          <w:lang w:val="zh-CN"/>
        </w:rPr>
      </w:pPr>
      <w:r>
        <w:rPr>
          <w:rFonts w:hint="eastAsia" w:ascii="宋体" w:hAnsi="宋体" w:eastAsia="宋体" w:cs="宋体"/>
          <w:color w:val="auto"/>
          <w:sz w:val="24"/>
          <w:lang w:val="zh-CN"/>
        </w:rPr>
        <w:t>（5）供应商保证按国家检验规范进行操作，并对标本的检验报告承担相应的责任。</w:t>
      </w:r>
    </w:p>
    <w:p w14:paraId="26995A1F">
      <w:pPr>
        <w:autoSpaceDE w:val="0"/>
        <w:autoSpaceDN w:val="0"/>
        <w:adjustRightInd w:val="0"/>
        <w:snapToGrid w:val="0"/>
        <w:spacing w:line="360" w:lineRule="auto"/>
        <w:ind w:firstLine="480" w:firstLineChars="200"/>
        <w:jc w:val="left"/>
        <w:rPr>
          <w:rFonts w:hint="eastAsia" w:ascii="宋体" w:hAnsi="宋体" w:eastAsia="宋体" w:cs="宋体"/>
          <w:color w:val="auto"/>
          <w:sz w:val="24"/>
          <w:lang w:val="zh-CN"/>
        </w:rPr>
      </w:pPr>
      <w:r>
        <w:rPr>
          <w:rFonts w:hint="eastAsia" w:ascii="宋体" w:hAnsi="宋体" w:eastAsia="宋体" w:cs="宋体"/>
          <w:color w:val="auto"/>
          <w:sz w:val="24"/>
          <w:lang w:val="zh-CN"/>
        </w:rPr>
        <w:t>（6）供应商有为采购人保密的义务，未经同意不得泄露委托检验的项目、检验的内容、检验的结果。</w:t>
      </w:r>
    </w:p>
    <w:p w14:paraId="798C544E">
      <w:pPr>
        <w:autoSpaceDE w:val="0"/>
        <w:autoSpaceDN w:val="0"/>
        <w:adjustRightInd w:val="0"/>
        <w:snapToGrid w:val="0"/>
        <w:spacing w:line="360" w:lineRule="auto"/>
        <w:ind w:firstLine="480" w:firstLineChars="200"/>
        <w:jc w:val="left"/>
        <w:rPr>
          <w:rFonts w:hint="eastAsia" w:ascii="宋体" w:hAnsi="宋体" w:eastAsia="宋体" w:cs="宋体"/>
          <w:color w:val="auto"/>
          <w:sz w:val="24"/>
          <w:lang w:val="zh-CN"/>
        </w:rPr>
      </w:pPr>
      <w:r>
        <w:rPr>
          <w:rFonts w:hint="eastAsia" w:ascii="宋体" w:hAnsi="宋体" w:eastAsia="宋体" w:cs="宋体"/>
          <w:color w:val="auto"/>
          <w:sz w:val="24"/>
          <w:lang w:val="zh-CN"/>
        </w:rPr>
        <w:t>（7）检测样本、检测数据的所有权、使用权为采购人所有，未经许可不得挪作它用。</w:t>
      </w:r>
    </w:p>
    <w:p w14:paraId="7E5B327A">
      <w:pPr>
        <w:autoSpaceDE w:val="0"/>
        <w:autoSpaceDN w:val="0"/>
        <w:adjustRightInd w:val="0"/>
        <w:snapToGrid w:val="0"/>
        <w:spacing w:line="360" w:lineRule="auto"/>
        <w:ind w:firstLine="480" w:firstLineChars="200"/>
        <w:jc w:val="left"/>
        <w:rPr>
          <w:rFonts w:hint="eastAsia" w:ascii="宋体" w:hAnsi="宋体" w:eastAsia="宋体" w:cs="宋体"/>
          <w:color w:val="auto"/>
          <w:sz w:val="24"/>
          <w:lang w:val="zh-CN"/>
        </w:rPr>
      </w:pPr>
      <w:r>
        <w:rPr>
          <w:rFonts w:hint="eastAsia" w:ascii="宋体" w:hAnsi="宋体" w:eastAsia="宋体" w:cs="宋体"/>
          <w:color w:val="auto"/>
          <w:sz w:val="24"/>
          <w:lang w:val="zh-CN"/>
        </w:rPr>
        <w:t>（8）供应商保证检验结果的公正性，不受任何诱使或压力的干扰。</w:t>
      </w:r>
    </w:p>
    <w:p w14:paraId="7B2845B8">
      <w:pPr>
        <w:autoSpaceDE w:val="0"/>
        <w:autoSpaceDN w:val="0"/>
        <w:adjustRightInd w:val="0"/>
        <w:snapToGrid w:val="0"/>
        <w:spacing w:line="360" w:lineRule="auto"/>
        <w:ind w:firstLine="480" w:firstLineChars="200"/>
        <w:jc w:val="left"/>
        <w:rPr>
          <w:rFonts w:hint="eastAsia" w:ascii="宋体" w:hAnsi="宋体" w:eastAsia="宋体" w:cs="宋体"/>
          <w:color w:val="auto"/>
          <w:sz w:val="24"/>
          <w:lang w:val="zh-CN"/>
        </w:rPr>
      </w:pPr>
      <w:r>
        <w:rPr>
          <w:rFonts w:hint="eastAsia" w:ascii="宋体" w:hAnsi="宋体" w:eastAsia="宋体" w:cs="宋体"/>
          <w:color w:val="auto"/>
          <w:sz w:val="24"/>
          <w:lang w:val="zh-CN"/>
        </w:rPr>
        <w:t>（9）供应商未经采购人同意，受委托实验室不得私自向临床医生推广项目或其他形式的引导推荐行为，不得私自收受临床科室送检的标本。</w:t>
      </w:r>
    </w:p>
    <w:p w14:paraId="334EDE51">
      <w:pPr>
        <w:autoSpaceDE w:val="0"/>
        <w:autoSpaceDN w:val="0"/>
        <w:adjustRightInd w:val="0"/>
        <w:snapToGrid w:val="0"/>
        <w:spacing w:line="360" w:lineRule="auto"/>
        <w:ind w:firstLine="482" w:firstLineChars="200"/>
        <w:jc w:val="left"/>
        <w:rPr>
          <w:rFonts w:hint="eastAsia" w:ascii="宋体" w:hAnsi="宋体" w:eastAsia="宋体" w:cs="宋体"/>
          <w:b/>
          <w:color w:val="auto"/>
          <w:sz w:val="24"/>
        </w:rPr>
      </w:pPr>
      <w:r>
        <w:rPr>
          <w:rFonts w:hint="eastAsia" w:ascii="宋体" w:hAnsi="宋体" w:eastAsia="宋体" w:cs="宋体"/>
          <w:b/>
          <w:color w:val="auto"/>
          <w:sz w:val="24"/>
        </w:rPr>
        <w:t>（三）质量需求：</w:t>
      </w:r>
    </w:p>
    <w:p w14:paraId="2FBCBAC7">
      <w:pPr>
        <w:autoSpaceDE w:val="0"/>
        <w:autoSpaceDN w:val="0"/>
        <w:adjustRightInd w:val="0"/>
        <w:snapToGrid w:val="0"/>
        <w:spacing w:line="360" w:lineRule="auto"/>
        <w:ind w:firstLine="480" w:firstLineChars="200"/>
        <w:jc w:val="left"/>
        <w:rPr>
          <w:rFonts w:hint="eastAsia" w:ascii="宋体" w:hAnsi="宋体" w:eastAsia="宋体" w:cs="宋体"/>
          <w:color w:val="auto"/>
          <w:sz w:val="24"/>
          <w:lang w:val="zh-CN"/>
        </w:rPr>
      </w:pPr>
      <w:r>
        <w:rPr>
          <w:rFonts w:hint="eastAsia" w:ascii="宋体" w:hAnsi="宋体" w:eastAsia="宋体" w:cs="宋体"/>
          <w:color w:val="auto"/>
          <w:sz w:val="24"/>
          <w:lang w:val="zh-CN"/>
        </w:rPr>
        <w:t>（1）飞行检查：能接受采购人实验室组织的飞行检查、现场督查等。</w:t>
      </w:r>
    </w:p>
    <w:p w14:paraId="5B1C82C6">
      <w:pPr>
        <w:autoSpaceDE w:val="0"/>
        <w:autoSpaceDN w:val="0"/>
        <w:adjustRightInd w:val="0"/>
        <w:snapToGrid w:val="0"/>
        <w:spacing w:line="360" w:lineRule="auto"/>
        <w:ind w:firstLine="480" w:firstLineChars="200"/>
        <w:jc w:val="left"/>
        <w:rPr>
          <w:rFonts w:hint="eastAsia" w:ascii="宋体" w:hAnsi="宋体" w:eastAsia="宋体" w:cs="宋体"/>
          <w:color w:val="auto"/>
          <w:sz w:val="24"/>
          <w:lang w:val="zh-CN"/>
        </w:rPr>
      </w:pPr>
      <w:r>
        <w:rPr>
          <w:rFonts w:hint="eastAsia" w:ascii="宋体" w:hAnsi="宋体" w:eastAsia="宋体" w:cs="宋体"/>
          <w:color w:val="auto"/>
          <w:sz w:val="24"/>
          <w:lang w:val="zh-CN"/>
        </w:rPr>
        <w:t>（2）检测前样本分析：对外送样本的检测前质量进行定期评估，确保样本质量，并定期反馈给采购人，供应商须向采购人使用科室提供检测前样本处理培训。</w:t>
      </w:r>
    </w:p>
    <w:p w14:paraId="53ECF0EF">
      <w:pPr>
        <w:autoSpaceDE w:val="0"/>
        <w:autoSpaceDN w:val="0"/>
        <w:adjustRightInd w:val="0"/>
        <w:snapToGrid w:val="0"/>
        <w:spacing w:line="360" w:lineRule="auto"/>
        <w:ind w:firstLine="480" w:firstLineChars="200"/>
        <w:jc w:val="left"/>
        <w:rPr>
          <w:rFonts w:hint="eastAsia" w:ascii="宋体" w:hAnsi="宋体" w:eastAsia="宋体" w:cs="宋体"/>
          <w:color w:val="auto"/>
          <w:sz w:val="24"/>
          <w:lang w:val="zh-CN"/>
        </w:rPr>
      </w:pPr>
      <w:r>
        <w:rPr>
          <w:rFonts w:hint="eastAsia" w:ascii="宋体" w:hAnsi="宋体" w:eastAsia="宋体" w:cs="宋体"/>
          <w:color w:val="auto"/>
          <w:sz w:val="24"/>
          <w:lang w:val="zh-CN"/>
        </w:rPr>
        <w:t>（3）主要检测项目采用的仪器、配套试剂具有注册证。</w:t>
      </w:r>
    </w:p>
    <w:p w14:paraId="7DA4DC3B">
      <w:pPr>
        <w:autoSpaceDE w:val="0"/>
        <w:autoSpaceDN w:val="0"/>
        <w:adjustRightInd w:val="0"/>
        <w:snapToGrid w:val="0"/>
        <w:spacing w:line="360" w:lineRule="auto"/>
        <w:ind w:firstLine="480" w:firstLineChars="200"/>
        <w:jc w:val="left"/>
        <w:rPr>
          <w:rFonts w:hint="eastAsia" w:ascii="宋体" w:hAnsi="宋体" w:eastAsia="宋体" w:cs="宋体"/>
          <w:color w:val="auto"/>
          <w:sz w:val="24"/>
          <w:lang w:val="zh-CN"/>
        </w:rPr>
      </w:pPr>
      <w:r>
        <w:rPr>
          <w:rFonts w:hint="eastAsia" w:ascii="宋体" w:hAnsi="宋体" w:eastAsia="宋体" w:cs="宋体"/>
          <w:color w:val="auto"/>
          <w:sz w:val="24"/>
          <w:lang w:val="zh-CN"/>
        </w:rPr>
        <w:t>（4）性能验证：定期对检测项目进行性能验证，确保仪器、试剂、方法科学可靠稳定。</w:t>
      </w:r>
    </w:p>
    <w:p w14:paraId="33F932DC">
      <w:pPr>
        <w:autoSpaceDE w:val="0"/>
        <w:autoSpaceDN w:val="0"/>
        <w:adjustRightInd w:val="0"/>
        <w:snapToGrid w:val="0"/>
        <w:spacing w:line="360" w:lineRule="auto"/>
        <w:ind w:firstLine="480" w:firstLineChars="200"/>
        <w:jc w:val="left"/>
        <w:rPr>
          <w:rFonts w:hint="eastAsia" w:ascii="宋体" w:hAnsi="宋体" w:eastAsia="宋体" w:cs="宋体"/>
          <w:color w:val="auto"/>
          <w:sz w:val="24"/>
          <w:lang w:val="zh-CN"/>
        </w:rPr>
      </w:pPr>
      <w:r>
        <w:rPr>
          <w:rFonts w:hint="eastAsia" w:ascii="宋体" w:hAnsi="宋体" w:eastAsia="宋体" w:cs="宋体"/>
          <w:color w:val="auto"/>
          <w:sz w:val="24"/>
          <w:lang w:val="zh-CN"/>
        </w:rPr>
        <w:t>（5）规范操作：按有关要求完成相关项目检测方法和SOP的建立，实验操作严格按照SOP规范步骤实施。</w:t>
      </w:r>
    </w:p>
    <w:p w14:paraId="72BE1057">
      <w:pPr>
        <w:autoSpaceDE w:val="0"/>
        <w:autoSpaceDN w:val="0"/>
        <w:adjustRightInd w:val="0"/>
        <w:snapToGrid w:val="0"/>
        <w:spacing w:line="360" w:lineRule="auto"/>
        <w:ind w:firstLine="480" w:firstLineChars="200"/>
        <w:jc w:val="left"/>
        <w:rPr>
          <w:rFonts w:hint="eastAsia" w:ascii="宋体" w:hAnsi="宋体" w:eastAsia="宋体" w:cs="宋体"/>
          <w:color w:val="auto"/>
          <w:sz w:val="24"/>
          <w:lang w:val="zh-CN"/>
        </w:rPr>
      </w:pPr>
      <w:r>
        <w:rPr>
          <w:rFonts w:hint="eastAsia" w:ascii="宋体" w:hAnsi="宋体" w:eastAsia="宋体" w:cs="宋体"/>
          <w:color w:val="auto"/>
          <w:sz w:val="24"/>
          <w:lang w:val="zh-CN"/>
        </w:rPr>
        <w:t>（6）供应商专门有仪器管理员，联络各厂商，负责仪器定期保养、维护、校准，确保所有仪器设备正常有序运转。</w:t>
      </w:r>
    </w:p>
    <w:p w14:paraId="548C756B">
      <w:pPr>
        <w:autoSpaceDE w:val="0"/>
        <w:autoSpaceDN w:val="0"/>
        <w:adjustRightInd w:val="0"/>
        <w:snapToGrid w:val="0"/>
        <w:spacing w:line="360" w:lineRule="auto"/>
        <w:ind w:firstLine="480" w:firstLineChars="200"/>
        <w:jc w:val="left"/>
        <w:rPr>
          <w:rFonts w:hint="eastAsia" w:ascii="宋体" w:hAnsi="宋体" w:eastAsia="宋体" w:cs="宋体"/>
          <w:color w:val="auto"/>
          <w:sz w:val="24"/>
          <w:lang w:val="zh-CN"/>
        </w:rPr>
      </w:pPr>
      <w:r>
        <w:rPr>
          <w:rFonts w:hint="eastAsia" w:ascii="宋体" w:hAnsi="宋体" w:eastAsia="宋体" w:cs="宋体"/>
          <w:color w:val="auto"/>
          <w:sz w:val="24"/>
          <w:lang w:val="zh-CN"/>
        </w:rPr>
        <w:t>（7）实行审核制度，所有报告均需检验人员、主管审核后方能发布。</w:t>
      </w:r>
    </w:p>
    <w:p w14:paraId="57DFE6C3">
      <w:pPr>
        <w:autoSpaceDE w:val="0"/>
        <w:autoSpaceDN w:val="0"/>
        <w:adjustRightInd w:val="0"/>
        <w:snapToGrid w:val="0"/>
        <w:spacing w:line="360" w:lineRule="auto"/>
        <w:ind w:firstLine="480" w:firstLineChars="200"/>
        <w:jc w:val="left"/>
        <w:rPr>
          <w:rFonts w:hint="eastAsia" w:ascii="宋体" w:hAnsi="宋体" w:eastAsia="宋体" w:cs="宋体"/>
          <w:color w:val="auto"/>
          <w:sz w:val="24"/>
          <w:lang w:val="zh-CN"/>
        </w:rPr>
      </w:pPr>
      <w:r>
        <w:rPr>
          <w:rFonts w:hint="eastAsia" w:ascii="宋体" w:hAnsi="宋体" w:eastAsia="宋体" w:cs="宋体"/>
          <w:color w:val="auto"/>
          <w:sz w:val="24"/>
          <w:lang w:val="zh-CN"/>
        </w:rPr>
        <w:t>（8）所有检测样本保留一年或以上，并按要求返样。</w:t>
      </w:r>
    </w:p>
    <w:p w14:paraId="1A91C4F6">
      <w:pPr>
        <w:autoSpaceDE w:val="0"/>
        <w:autoSpaceDN w:val="0"/>
        <w:adjustRightInd w:val="0"/>
        <w:snapToGrid w:val="0"/>
        <w:spacing w:line="360" w:lineRule="auto"/>
        <w:ind w:firstLine="480" w:firstLineChars="200"/>
        <w:jc w:val="left"/>
        <w:rPr>
          <w:rFonts w:hint="eastAsia" w:ascii="宋体" w:hAnsi="宋体" w:eastAsia="宋体" w:cs="宋体"/>
          <w:color w:val="auto"/>
          <w:sz w:val="24"/>
          <w:lang w:val="zh-CN"/>
        </w:rPr>
      </w:pPr>
      <w:r>
        <w:rPr>
          <w:rFonts w:hint="eastAsia" w:ascii="宋体" w:hAnsi="宋体" w:eastAsia="宋体" w:cs="宋体"/>
          <w:color w:val="auto"/>
          <w:sz w:val="24"/>
          <w:lang w:val="zh-CN"/>
        </w:rPr>
        <w:t>（9）供应商应提供每个检测样本的质控数据，包含接收样本的温度质控、检测过程中质控、数据分析质控等。</w:t>
      </w:r>
    </w:p>
    <w:p w14:paraId="5C527D49">
      <w:pPr>
        <w:autoSpaceDE w:val="0"/>
        <w:autoSpaceDN w:val="0"/>
        <w:adjustRightInd w:val="0"/>
        <w:snapToGrid w:val="0"/>
        <w:spacing w:line="360" w:lineRule="auto"/>
        <w:ind w:firstLine="480" w:firstLineChars="200"/>
        <w:jc w:val="left"/>
        <w:rPr>
          <w:rFonts w:hint="eastAsia" w:ascii="宋体" w:hAnsi="宋体" w:eastAsia="宋体" w:cs="宋体"/>
          <w:color w:val="auto"/>
          <w:sz w:val="24"/>
          <w:lang w:val="zh-CN"/>
        </w:rPr>
      </w:pPr>
      <w:r>
        <w:rPr>
          <w:rFonts w:hint="eastAsia" w:ascii="宋体" w:hAnsi="宋体" w:eastAsia="宋体" w:cs="宋体"/>
          <w:color w:val="auto"/>
          <w:sz w:val="24"/>
          <w:lang w:val="zh-CN"/>
        </w:rPr>
        <w:t>（10）供应商应提供检测项目检测结果的原始数据数字化文件。</w:t>
      </w:r>
    </w:p>
    <w:p w14:paraId="417081BF">
      <w:pPr>
        <w:autoSpaceDE w:val="0"/>
        <w:autoSpaceDN w:val="0"/>
        <w:adjustRightInd w:val="0"/>
        <w:snapToGrid w:val="0"/>
        <w:spacing w:line="360" w:lineRule="auto"/>
        <w:ind w:firstLine="480" w:firstLineChars="200"/>
        <w:jc w:val="left"/>
        <w:rPr>
          <w:rFonts w:hint="eastAsia" w:ascii="宋体" w:hAnsi="宋体" w:eastAsia="宋体" w:cs="宋体"/>
          <w:color w:val="auto"/>
          <w:sz w:val="24"/>
          <w:lang w:val="zh-CN"/>
        </w:rPr>
      </w:pPr>
      <w:r>
        <w:rPr>
          <w:rFonts w:hint="eastAsia" w:ascii="宋体" w:hAnsi="宋体" w:eastAsia="宋体" w:cs="宋体"/>
          <w:color w:val="auto"/>
          <w:sz w:val="24"/>
          <w:lang w:val="zh-CN"/>
        </w:rPr>
        <w:t>（11）对可疑结果进行复核时，要求送第三方实验室进行比对，保证结果的准确无误，费用由供应商承担。</w:t>
      </w:r>
    </w:p>
    <w:p w14:paraId="0C932FD9">
      <w:pPr>
        <w:widowControl/>
        <w:adjustRightInd w:val="0"/>
        <w:snapToGrid w:val="0"/>
        <w:spacing w:line="360" w:lineRule="auto"/>
        <w:ind w:firstLine="482" w:firstLineChars="200"/>
        <w:rPr>
          <w:rFonts w:hint="eastAsia" w:ascii="宋体" w:hAnsi="宋体" w:eastAsia="宋体" w:cs="宋体"/>
          <w:b/>
          <w:color w:val="auto"/>
          <w:sz w:val="24"/>
        </w:rPr>
      </w:pPr>
      <w:r>
        <w:rPr>
          <w:rFonts w:hint="eastAsia" w:ascii="宋体" w:hAnsi="宋体" w:eastAsia="宋体" w:cs="宋体"/>
          <w:b/>
          <w:color w:val="auto"/>
          <w:sz w:val="24"/>
        </w:rPr>
        <w:t>（四）服务需求：</w:t>
      </w:r>
    </w:p>
    <w:p w14:paraId="3E50B023">
      <w:pPr>
        <w:autoSpaceDE w:val="0"/>
        <w:autoSpaceDN w:val="0"/>
        <w:adjustRightInd w:val="0"/>
        <w:snapToGrid w:val="0"/>
        <w:spacing w:line="360" w:lineRule="auto"/>
        <w:ind w:firstLine="480" w:firstLineChars="200"/>
        <w:jc w:val="left"/>
        <w:rPr>
          <w:rFonts w:hint="eastAsia" w:ascii="宋体" w:hAnsi="宋体" w:eastAsia="宋体" w:cs="宋体"/>
          <w:color w:val="auto"/>
          <w:sz w:val="24"/>
          <w:lang w:val="zh-CN"/>
        </w:rPr>
      </w:pPr>
      <w:r>
        <w:rPr>
          <w:rFonts w:hint="eastAsia" w:ascii="宋体" w:hAnsi="宋体" w:eastAsia="宋体" w:cs="宋体"/>
          <w:color w:val="auto"/>
          <w:sz w:val="24"/>
          <w:lang w:val="zh-CN"/>
        </w:rPr>
        <w:t>（1）样本运输要求：</w:t>
      </w:r>
    </w:p>
    <w:p w14:paraId="4EEE59E8">
      <w:pPr>
        <w:autoSpaceDE w:val="0"/>
        <w:autoSpaceDN w:val="0"/>
        <w:adjustRightInd w:val="0"/>
        <w:snapToGrid w:val="0"/>
        <w:spacing w:line="360" w:lineRule="auto"/>
        <w:ind w:firstLine="480" w:firstLineChars="200"/>
        <w:jc w:val="left"/>
        <w:rPr>
          <w:rFonts w:hint="eastAsia" w:ascii="宋体" w:hAnsi="宋体" w:eastAsia="宋体" w:cs="宋体"/>
          <w:color w:val="auto"/>
          <w:sz w:val="24"/>
          <w:lang w:val="zh-CN"/>
        </w:rPr>
      </w:pPr>
      <w:r>
        <w:rPr>
          <w:rFonts w:hint="eastAsia" w:ascii="宋体" w:hAnsi="宋体" w:eastAsia="宋体" w:cs="宋体"/>
          <w:color w:val="auto"/>
          <w:sz w:val="24"/>
          <w:lang w:val="zh-CN"/>
        </w:rPr>
        <w:t>①供应商派专人到指定地点接收并保证受委托检验标本冷链物流运输，若发现问题需及时与采购人沟通解决。</w:t>
      </w:r>
    </w:p>
    <w:p w14:paraId="03C509CF">
      <w:pPr>
        <w:autoSpaceDE w:val="0"/>
        <w:autoSpaceDN w:val="0"/>
        <w:adjustRightInd w:val="0"/>
        <w:snapToGrid w:val="0"/>
        <w:spacing w:line="360" w:lineRule="auto"/>
        <w:ind w:firstLine="480" w:firstLineChars="200"/>
        <w:jc w:val="left"/>
        <w:rPr>
          <w:rFonts w:hint="eastAsia" w:ascii="宋体" w:hAnsi="宋体" w:eastAsia="宋体" w:cs="宋体"/>
          <w:color w:val="auto"/>
          <w:sz w:val="24"/>
          <w:lang w:val="zh-CN"/>
        </w:rPr>
      </w:pPr>
      <w:r>
        <w:rPr>
          <w:rFonts w:hint="eastAsia" w:ascii="宋体" w:hAnsi="宋体" w:eastAsia="宋体" w:cs="宋体"/>
          <w:color w:val="auto"/>
          <w:sz w:val="24"/>
          <w:lang w:val="zh-CN"/>
        </w:rPr>
        <w:t>②一般样本72小时内送达委托检测机构，供应商上门收取标本。特殊项目按采购人要求时间运输到委托机构，具体按项目协商。</w:t>
      </w:r>
    </w:p>
    <w:p w14:paraId="71757520">
      <w:pPr>
        <w:autoSpaceDE w:val="0"/>
        <w:autoSpaceDN w:val="0"/>
        <w:adjustRightInd w:val="0"/>
        <w:snapToGrid w:val="0"/>
        <w:spacing w:line="360" w:lineRule="auto"/>
        <w:ind w:firstLine="480" w:firstLineChars="200"/>
        <w:jc w:val="left"/>
        <w:rPr>
          <w:rFonts w:hint="eastAsia" w:ascii="宋体" w:hAnsi="宋体" w:eastAsia="宋体" w:cs="宋体"/>
          <w:color w:val="auto"/>
          <w:sz w:val="24"/>
          <w:lang w:val="zh-CN"/>
        </w:rPr>
      </w:pPr>
      <w:r>
        <w:rPr>
          <w:rFonts w:hint="eastAsia" w:ascii="宋体" w:hAnsi="宋体" w:eastAsia="宋体" w:cs="宋体"/>
          <w:color w:val="auto"/>
          <w:sz w:val="24"/>
          <w:lang w:val="zh-CN"/>
        </w:rPr>
        <w:t>③样本运输要求直立、冷藏、封闭，符合《</w:t>
      </w:r>
      <w:r>
        <w:rPr>
          <w:rFonts w:ascii="宋体" w:hAnsi="宋体" w:eastAsia="宋体" w:cs="宋体"/>
          <w:color w:val="auto"/>
          <w:sz w:val="24"/>
          <w:lang w:val="zh-CN"/>
        </w:rPr>
        <w:t>GB/T 28577-2021</w:t>
      </w:r>
      <w:r>
        <w:rPr>
          <w:rFonts w:hint="eastAsia" w:ascii="宋体" w:hAnsi="宋体" w:eastAsia="宋体" w:cs="宋体"/>
          <w:color w:val="auto"/>
          <w:sz w:val="24"/>
          <w:lang w:val="zh-CN"/>
        </w:rPr>
        <w:t>冷链物流分类与基本要求》与生物安全要求，确保运输过程的样品质量和环境安全。可保证冷藏、冷冻、常温三种温度的运输要求。同时设有温度监视装置，实时监测箱内温度，保证样本检测前的运输质量控制。对于有特殊要求的样本视具体项目与采购人商定。</w:t>
      </w:r>
    </w:p>
    <w:p w14:paraId="4410ED01">
      <w:pPr>
        <w:autoSpaceDE w:val="0"/>
        <w:autoSpaceDN w:val="0"/>
        <w:adjustRightInd w:val="0"/>
        <w:snapToGrid w:val="0"/>
        <w:spacing w:line="360" w:lineRule="auto"/>
        <w:ind w:firstLine="480" w:firstLineChars="200"/>
        <w:jc w:val="left"/>
        <w:rPr>
          <w:rFonts w:hint="eastAsia" w:ascii="宋体" w:hAnsi="宋体" w:eastAsia="宋体" w:cs="宋体"/>
          <w:color w:val="auto"/>
          <w:sz w:val="24"/>
          <w:lang w:val="zh-CN"/>
        </w:rPr>
      </w:pPr>
      <w:r>
        <w:rPr>
          <w:rFonts w:hint="eastAsia" w:ascii="宋体" w:hAnsi="宋体" w:eastAsia="宋体" w:cs="宋体"/>
          <w:color w:val="auto"/>
          <w:sz w:val="24"/>
          <w:lang w:val="zh-CN"/>
        </w:rPr>
        <w:t>④供应商接收后不合格样本率＜1‰。</w:t>
      </w:r>
    </w:p>
    <w:p w14:paraId="650A9C1A">
      <w:pPr>
        <w:autoSpaceDE w:val="0"/>
        <w:autoSpaceDN w:val="0"/>
        <w:adjustRightInd w:val="0"/>
        <w:snapToGrid w:val="0"/>
        <w:spacing w:line="360" w:lineRule="auto"/>
        <w:ind w:firstLine="480" w:firstLineChars="200"/>
        <w:jc w:val="left"/>
        <w:rPr>
          <w:rFonts w:hint="eastAsia" w:ascii="宋体" w:hAnsi="宋体" w:eastAsia="宋体" w:cs="宋体"/>
          <w:color w:val="auto"/>
          <w:sz w:val="24"/>
          <w:lang w:val="zh-CN"/>
        </w:rPr>
      </w:pPr>
      <w:r>
        <w:rPr>
          <w:rFonts w:hint="eastAsia" w:ascii="宋体" w:hAnsi="宋体" w:eastAsia="宋体" w:cs="宋体"/>
          <w:color w:val="auto"/>
          <w:sz w:val="24"/>
          <w:lang w:val="zh-CN"/>
        </w:rPr>
        <w:t>（2）样本周转时间（TAT）要求：</w:t>
      </w:r>
    </w:p>
    <w:p w14:paraId="48B2DE7E">
      <w:pPr>
        <w:autoSpaceDE w:val="0"/>
        <w:autoSpaceDN w:val="0"/>
        <w:adjustRightInd w:val="0"/>
        <w:snapToGrid w:val="0"/>
        <w:spacing w:line="360" w:lineRule="auto"/>
        <w:ind w:firstLine="480" w:firstLineChars="200"/>
        <w:jc w:val="left"/>
        <w:rPr>
          <w:rFonts w:hint="eastAsia" w:ascii="宋体" w:hAnsi="宋体" w:eastAsia="宋体" w:cs="宋体"/>
          <w:color w:val="auto"/>
          <w:sz w:val="24"/>
          <w:lang w:val="zh-CN"/>
        </w:rPr>
      </w:pPr>
      <w:r>
        <w:rPr>
          <w:rFonts w:hint="eastAsia" w:ascii="宋体" w:hAnsi="宋体" w:eastAsia="宋体" w:cs="宋体"/>
          <w:color w:val="auto"/>
          <w:sz w:val="24"/>
          <w:lang w:val="zh-CN"/>
        </w:rPr>
        <w:t>①样本周转时间起点为供应商接收样本，检验样本终点为采购人收到检验数据或报告。</w:t>
      </w:r>
    </w:p>
    <w:p w14:paraId="17E6BA82">
      <w:pPr>
        <w:autoSpaceDE w:val="0"/>
        <w:autoSpaceDN w:val="0"/>
        <w:adjustRightInd w:val="0"/>
        <w:snapToGrid w:val="0"/>
        <w:spacing w:line="360" w:lineRule="auto"/>
        <w:ind w:firstLine="480" w:firstLineChars="200"/>
        <w:jc w:val="left"/>
        <w:rPr>
          <w:rFonts w:hint="eastAsia" w:ascii="宋体" w:hAnsi="宋体" w:eastAsia="宋体" w:cs="宋体"/>
          <w:color w:val="auto"/>
          <w:sz w:val="24"/>
          <w:lang w:val="zh-CN"/>
        </w:rPr>
      </w:pPr>
      <w:r>
        <w:rPr>
          <w:rFonts w:hint="eastAsia" w:ascii="宋体" w:hAnsi="宋体" w:eastAsia="宋体" w:cs="宋体"/>
          <w:color w:val="auto"/>
          <w:sz w:val="24"/>
          <w:lang w:val="zh-CN"/>
        </w:rPr>
        <w:t>②分子生物学项目检测TAT时间不长于10个工作日，有特殊要求的项目、检测周期较长的项目视具体情况与采购人协商。</w:t>
      </w:r>
    </w:p>
    <w:p w14:paraId="7CA6766F">
      <w:pPr>
        <w:autoSpaceDE w:val="0"/>
        <w:autoSpaceDN w:val="0"/>
        <w:adjustRightInd w:val="0"/>
        <w:snapToGrid w:val="0"/>
        <w:spacing w:line="360" w:lineRule="auto"/>
        <w:ind w:firstLine="480" w:firstLineChars="200"/>
        <w:jc w:val="left"/>
        <w:rPr>
          <w:rFonts w:hint="eastAsia" w:ascii="宋体" w:hAnsi="宋体" w:eastAsia="宋体" w:cs="宋体"/>
          <w:color w:val="auto"/>
          <w:sz w:val="24"/>
          <w:lang w:val="zh-CN"/>
        </w:rPr>
      </w:pPr>
      <w:r>
        <w:rPr>
          <w:rFonts w:hint="eastAsia" w:ascii="宋体" w:hAnsi="宋体" w:eastAsia="宋体" w:cs="宋体"/>
          <w:color w:val="auto"/>
          <w:sz w:val="24"/>
          <w:lang w:val="zh-CN"/>
        </w:rPr>
        <w:t>③报告延误率＜1/1000。</w:t>
      </w:r>
    </w:p>
    <w:p w14:paraId="7AB484E9">
      <w:pPr>
        <w:autoSpaceDE w:val="0"/>
        <w:autoSpaceDN w:val="0"/>
        <w:adjustRightInd w:val="0"/>
        <w:snapToGrid w:val="0"/>
        <w:spacing w:line="360" w:lineRule="auto"/>
        <w:ind w:firstLine="480" w:firstLineChars="200"/>
        <w:jc w:val="left"/>
        <w:rPr>
          <w:rFonts w:hint="eastAsia" w:ascii="宋体" w:hAnsi="宋体" w:eastAsia="宋体" w:cs="宋体"/>
          <w:color w:val="auto"/>
          <w:sz w:val="24"/>
          <w:lang w:val="zh-CN"/>
        </w:rPr>
      </w:pPr>
      <w:r>
        <w:rPr>
          <w:rFonts w:hint="eastAsia" w:ascii="宋体" w:hAnsi="宋体" w:eastAsia="宋体" w:cs="宋体"/>
          <w:color w:val="auto"/>
          <w:sz w:val="24"/>
          <w:lang w:val="zh-CN"/>
        </w:rPr>
        <w:t>④按采购人要求，供应商随时提供委托项目的样本周转时间（TAT）分析，对于采购人提出的要求及时反馈并更正。</w:t>
      </w:r>
    </w:p>
    <w:p w14:paraId="3DF9F05C">
      <w:pPr>
        <w:autoSpaceDE w:val="0"/>
        <w:autoSpaceDN w:val="0"/>
        <w:adjustRightInd w:val="0"/>
        <w:snapToGrid w:val="0"/>
        <w:spacing w:line="360" w:lineRule="auto"/>
        <w:ind w:firstLine="480" w:firstLineChars="200"/>
        <w:jc w:val="left"/>
        <w:rPr>
          <w:rFonts w:hint="eastAsia" w:ascii="宋体" w:hAnsi="宋体" w:eastAsia="宋体" w:cs="宋体"/>
          <w:color w:val="auto"/>
          <w:sz w:val="24"/>
          <w:lang w:val="zh-CN"/>
        </w:rPr>
      </w:pPr>
      <w:r>
        <w:rPr>
          <w:rFonts w:hint="eastAsia" w:ascii="宋体" w:hAnsi="宋体" w:eastAsia="宋体" w:cs="宋体"/>
          <w:color w:val="auto"/>
          <w:sz w:val="24"/>
          <w:lang w:val="zh-CN"/>
        </w:rPr>
        <w:t>（3）标本保存要求：</w:t>
      </w:r>
    </w:p>
    <w:p w14:paraId="748196D7">
      <w:pPr>
        <w:autoSpaceDE w:val="0"/>
        <w:autoSpaceDN w:val="0"/>
        <w:adjustRightInd w:val="0"/>
        <w:snapToGrid w:val="0"/>
        <w:spacing w:line="360" w:lineRule="auto"/>
        <w:ind w:firstLine="480" w:firstLineChars="200"/>
        <w:jc w:val="left"/>
        <w:rPr>
          <w:rFonts w:hint="eastAsia" w:ascii="宋体" w:hAnsi="宋体" w:eastAsia="宋体" w:cs="宋体"/>
          <w:color w:val="auto"/>
          <w:sz w:val="24"/>
          <w:lang w:val="zh-CN"/>
        </w:rPr>
      </w:pPr>
      <w:r>
        <w:rPr>
          <w:rFonts w:hint="eastAsia" w:ascii="宋体" w:hAnsi="宋体" w:eastAsia="宋体" w:cs="宋体"/>
          <w:color w:val="auto"/>
          <w:sz w:val="24"/>
          <w:lang w:val="zh-CN"/>
        </w:rPr>
        <w:t>供应商具有符合生物安全管理标准的标本储存冷库，能够按采购人要求妥善保存、追溯及销毁检验后样本；所有送测标本需保存不少于7天备查。</w:t>
      </w:r>
    </w:p>
    <w:p w14:paraId="2F2200C7">
      <w:pPr>
        <w:autoSpaceDE w:val="0"/>
        <w:autoSpaceDN w:val="0"/>
        <w:adjustRightInd w:val="0"/>
        <w:snapToGrid w:val="0"/>
        <w:spacing w:line="360" w:lineRule="auto"/>
        <w:ind w:firstLine="482" w:firstLineChars="200"/>
        <w:jc w:val="left"/>
        <w:rPr>
          <w:rFonts w:hint="eastAsia" w:ascii="宋体" w:hAnsi="宋体" w:eastAsia="宋体" w:cs="宋体"/>
          <w:b/>
          <w:color w:val="auto"/>
          <w:sz w:val="24"/>
        </w:rPr>
      </w:pPr>
      <w:r>
        <w:rPr>
          <w:rFonts w:hint="eastAsia" w:ascii="宋体" w:hAnsi="宋体" w:eastAsia="宋体" w:cs="宋体"/>
          <w:b/>
          <w:color w:val="auto"/>
          <w:sz w:val="24"/>
        </w:rPr>
        <w:t>（五）技术需求</w:t>
      </w:r>
    </w:p>
    <w:p w14:paraId="58D47207">
      <w:pPr>
        <w:autoSpaceDE w:val="0"/>
        <w:autoSpaceDN w:val="0"/>
        <w:adjustRightInd w:val="0"/>
        <w:snapToGrid w:val="0"/>
        <w:spacing w:line="360" w:lineRule="auto"/>
        <w:ind w:firstLine="482" w:firstLineChars="200"/>
        <w:jc w:val="left"/>
        <w:rPr>
          <w:rFonts w:hint="eastAsia" w:ascii="宋体" w:hAnsi="宋体" w:eastAsia="宋体" w:cs="宋体"/>
          <w:b/>
          <w:color w:val="auto"/>
          <w:kern w:val="0"/>
          <w:sz w:val="24"/>
          <w:lang w:bidi="ar"/>
        </w:rPr>
      </w:pPr>
      <w:r>
        <w:rPr>
          <w:rFonts w:hint="eastAsia" w:ascii="宋体" w:hAnsi="宋体" w:eastAsia="宋体" w:cs="宋体"/>
          <w:b/>
          <w:color w:val="auto"/>
          <w:kern w:val="0"/>
          <w:sz w:val="24"/>
          <w:lang w:bidi="ar"/>
        </w:rPr>
        <w:t>PGT-A胚胎植入前遗传学筛查项目参数要求</w:t>
      </w:r>
    </w:p>
    <w:p w14:paraId="6D9370A2">
      <w:pPr>
        <w:pStyle w:val="11"/>
        <w:adjustRightInd w:val="0"/>
        <w:snapToGrid w:val="0"/>
        <w:spacing w:line="360" w:lineRule="auto"/>
        <w:ind w:firstLine="480"/>
        <w:jc w:val="left"/>
        <w:rPr>
          <w:rFonts w:hint="eastAsia" w:ascii="宋体" w:hAnsi="宋体" w:eastAsia="宋体" w:cs="宋体"/>
          <w:color w:val="auto"/>
          <w:sz w:val="24"/>
          <w:szCs w:val="24"/>
        </w:rPr>
      </w:pPr>
      <w:r>
        <w:rPr>
          <w:rFonts w:hint="eastAsia" w:ascii="宋体" w:hAnsi="宋体" w:eastAsia="宋体" w:cs="宋体"/>
          <w:color w:val="auto"/>
          <w:sz w:val="24"/>
          <w:szCs w:val="24"/>
        </w:rPr>
        <w:t>（1）检测内容及分辨率：</w:t>
      </w:r>
    </w:p>
    <w:p w14:paraId="7908CA56">
      <w:pPr>
        <w:pStyle w:val="12"/>
        <w:adjustRightInd w:val="0"/>
        <w:snapToGrid w:val="0"/>
        <w:spacing w:line="360" w:lineRule="auto"/>
        <w:ind w:firstLine="480"/>
        <w:jc w:val="left"/>
        <w:rPr>
          <w:rFonts w:hint="eastAsia" w:ascii="宋体" w:hAnsi="宋体" w:eastAsia="宋体" w:cs="宋体"/>
          <w:color w:val="auto"/>
          <w:sz w:val="24"/>
        </w:rPr>
      </w:pPr>
      <w:r>
        <w:rPr>
          <w:rFonts w:hint="eastAsia" w:ascii="宋体" w:hAnsi="宋体" w:eastAsia="宋体" w:cs="宋体"/>
          <w:color w:val="auto"/>
          <w:sz w:val="24"/>
        </w:rPr>
        <w:t>① 检测内容：</w:t>
      </w:r>
    </w:p>
    <w:p w14:paraId="202BCA07">
      <w:pPr>
        <w:widowControl/>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a）对胚胎23对染色体进行非整倍体筛查。</w:t>
      </w:r>
    </w:p>
    <w:p w14:paraId="7EB0835F">
      <w:pPr>
        <w:autoSpaceDE w:val="0"/>
        <w:autoSpaceDN w:val="0"/>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b）在报告附件中提供1-4M致病性CNV注释信息。</w:t>
      </w:r>
    </w:p>
    <w:p w14:paraId="754AAB8A">
      <w:pPr>
        <w:pStyle w:val="11"/>
        <w:adjustRightInd w:val="0"/>
        <w:snapToGrid w:val="0"/>
        <w:spacing w:line="360" w:lineRule="auto"/>
        <w:ind w:firstLine="480"/>
        <w:jc w:val="left"/>
        <w:rPr>
          <w:rFonts w:hint="eastAsia" w:ascii="宋体" w:hAnsi="宋体" w:eastAsia="宋体" w:cs="宋体"/>
          <w:color w:val="auto"/>
          <w:sz w:val="24"/>
          <w:szCs w:val="24"/>
        </w:rPr>
      </w:pPr>
      <w:r>
        <w:rPr>
          <w:rFonts w:hint="eastAsia" w:ascii="宋体" w:hAnsi="宋体" w:eastAsia="宋体" w:cs="宋体"/>
          <w:color w:val="auto"/>
          <w:sz w:val="24"/>
        </w:rPr>
        <w:t xml:space="preserve">② </w:t>
      </w:r>
      <w:r>
        <w:rPr>
          <w:rFonts w:hint="eastAsia" w:ascii="宋体" w:hAnsi="宋体" w:eastAsia="宋体" w:cs="宋体"/>
          <w:color w:val="auto"/>
          <w:sz w:val="24"/>
          <w:szCs w:val="24"/>
        </w:rPr>
        <w:t>检测分辨率：</w:t>
      </w:r>
    </w:p>
    <w:p w14:paraId="21EA5DDC">
      <w:pPr>
        <w:widowControl/>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a）报告≥4Mb的片段缺失和重复。</w:t>
      </w:r>
    </w:p>
    <w:p w14:paraId="0240A5DB">
      <w:pPr>
        <w:autoSpaceDE w:val="0"/>
        <w:autoSpaceDN w:val="0"/>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b）10M以上且≥ 30%嵌合。</w:t>
      </w:r>
    </w:p>
    <w:p w14:paraId="660949D5">
      <w:pPr>
        <w:pStyle w:val="11"/>
        <w:adjustRightInd w:val="0"/>
        <w:snapToGrid w:val="0"/>
        <w:spacing w:line="360" w:lineRule="auto"/>
        <w:ind w:firstLine="480"/>
        <w:jc w:val="left"/>
        <w:rPr>
          <w:rFonts w:hint="eastAsia" w:ascii="宋体" w:hAnsi="宋体" w:eastAsia="宋体" w:cs="宋体"/>
          <w:color w:val="auto"/>
          <w:sz w:val="24"/>
          <w:szCs w:val="24"/>
        </w:rPr>
      </w:pPr>
      <w:r>
        <w:rPr>
          <w:rFonts w:hint="eastAsia" w:ascii="宋体" w:hAnsi="宋体" w:eastAsia="宋体" w:cs="宋体"/>
          <w:color w:val="auto"/>
          <w:sz w:val="24"/>
          <w:szCs w:val="24"/>
        </w:rPr>
        <w:t>（2）检测技术：</w:t>
      </w:r>
    </w:p>
    <w:p w14:paraId="396F524C">
      <w:pPr>
        <w:pStyle w:val="11"/>
        <w:adjustRightInd w:val="0"/>
        <w:snapToGrid w:val="0"/>
        <w:spacing w:line="360" w:lineRule="auto"/>
        <w:ind w:firstLine="480"/>
        <w:jc w:val="left"/>
        <w:rPr>
          <w:rFonts w:hint="eastAsia" w:ascii="宋体" w:hAnsi="宋体" w:eastAsia="宋体" w:cs="宋体"/>
          <w:color w:val="auto"/>
          <w:sz w:val="24"/>
          <w:szCs w:val="24"/>
        </w:rPr>
      </w:pPr>
      <w:r>
        <w:rPr>
          <w:rFonts w:hint="eastAsia" w:ascii="宋体" w:hAnsi="宋体" w:eastAsia="宋体" w:cs="宋体"/>
          <w:color w:val="auto"/>
          <w:sz w:val="24"/>
        </w:rPr>
        <w:t xml:space="preserve">① </w:t>
      </w:r>
      <w:r>
        <w:rPr>
          <w:rFonts w:hint="eastAsia" w:ascii="宋体" w:hAnsi="宋体" w:eastAsia="宋体" w:cs="宋体"/>
          <w:color w:val="auto"/>
          <w:sz w:val="24"/>
          <w:szCs w:val="24"/>
        </w:rPr>
        <w:t>检测技术可检测的样本类型：</w:t>
      </w:r>
    </w:p>
    <w:p w14:paraId="3D42E804">
      <w:pPr>
        <w:widowControl/>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a）卵裂球。</w:t>
      </w:r>
    </w:p>
    <w:p w14:paraId="5EFA66AD">
      <w:pPr>
        <w:widowControl/>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b）囊胚外滋养层细胞。</w:t>
      </w:r>
    </w:p>
    <w:p w14:paraId="52EA25BC">
      <w:pPr>
        <w:widowControl/>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c）囊胚培养基。</w:t>
      </w:r>
    </w:p>
    <w:p w14:paraId="5AFFAE1E">
      <w:pPr>
        <w:pStyle w:val="11"/>
        <w:adjustRightInd w:val="0"/>
        <w:snapToGrid w:val="0"/>
        <w:spacing w:line="360" w:lineRule="auto"/>
        <w:ind w:firstLine="480"/>
        <w:jc w:val="left"/>
        <w:rPr>
          <w:rFonts w:hint="eastAsia" w:ascii="宋体" w:hAnsi="宋体" w:eastAsia="宋体" w:cs="宋体"/>
          <w:color w:val="auto"/>
          <w:sz w:val="24"/>
          <w:szCs w:val="24"/>
        </w:rPr>
      </w:pPr>
      <w:r>
        <w:rPr>
          <w:rFonts w:hint="eastAsia" w:ascii="宋体" w:hAnsi="宋体" w:eastAsia="宋体" w:cs="宋体"/>
          <w:color w:val="auto"/>
          <w:sz w:val="24"/>
        </w:rPr>
        <w:t xml:space="preserve">② </w:t>
      </w:r>
      <w:r>
        <w:rPr>
          <w:rFonts w:hint="eastAsia" w:ascii="宋体" w:hAnsi="宋体" w:eastAsia="宋体" w:cs="宋体"/>
          <w:color w:val="auto"/>
          <w:sz w:val="24"/>
          <w:szCs w:val="24"/>
        </w:rPr>
        <w:t>技术性能：</w:t>
      </w:r>
    </w:p>
    <w:p w14:paraId="22BB3CA1">
      <w:pPr>
        <w:widowControl/>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a）单细胞扩增技术；扩增成功率≥95%。</w:t>
      </w:r>
    </w:p>
    <w:p w14:paraId="7F447D81">
      <w:pPr>
        <w:widowControl/>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b）单细胞扩增脱扣率低＜10%，覆盖度高≥93%，均一性好CV≤0.25。</w:t>
      </w:r>
    </w:p>
    <w:p w14:paraId="2617E8A1">
      <w:pPr>
        <w:widowControl/>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c）能够提供分析胚胎全三倍体、染色体水平的单亲二倍体UPD的检测方案，对样本异常染色体片段（含嵌合）进行父母源来源区别，并对异常染色体片段进行有丝分裂或减数分裂来源区分。</w:t>
      </w:r>
    </w:p>
    <w:p w14:paraId="70CB0820">
      <w:pPr>
        <w:widowControl/>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d）能够进行样本间亲源关系及外源污染的区别，具备完善的防污染、防错体系及措施。</w:t>
      </w:r>
    </w:p>
    <w:p w14:paraId="5A856672">
      <w:pPr>
        <w:widowControl/>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e）配备单细胞扩增试剂盒。</w:t>
      </w:r>
    </w:p>
    <w:p w14:paraId="38D713AC">
      <w:pPr>
        <w:widowControl/>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f）单细胞扩增和建库试剂盒能匹配高通量测序平台测序要求。</w:t>
      </w:r>
    </w:p>
    <w:p w14:paraId="507A849E">
      <w:pPr>
        <w:pStyle w:val="2"/>
        <w:adjustRightInd w:val="0"/>
        <w:snapToGrid w:val="0"/>
        <w:spacing w:line="360" w:lineRule="auto"/>
        <w:ind w:firstLine="482" w:firstLineChars="200"/>
        <w:jc w:val="left"/>
        <w:rPr>
          <w:rFonts w:hint="eastAsia" w:ascii="宋体" w:hAnsi="宋体" w:eastAsia="宋体" w:cs="宋体"/>
          <w:b/>
          <w:color w:val="auto"/>
          <w:kern w:val="0"/>
          <w:sz w:val="24"/>
          <w:szCs w:val="24"/>
          <w:lang w:eastAsia="zh-CN" w:bidi="ar"/>
        </w:rPr>
      </w:pPr>
      <w:r>
        <w:rPr>
          <w:rFonts w:hint="eastAsia" w:ascii="宋体" w:hAnsi="宋体" w:eastAsia="宋体" w:cs="宋体"/>
          <w:b/>
          <w:color w:val="auto"/>
          <w:kern w:val="0"/>
          <w:sz w:val="24"/>
          <w:szCs w:val="24"/>
          <w:lang w:eastAsia="zh-CN" w:bidi="ar"/>
        </w:rPr>
        <w:t>PGT-SR胚胎植入前染色体结构异常检测项目参数要求</w:t>
      </w:r>
    </w:p>
    <w:p w14:paraId="19EB3A5D">
      <w:pPr>
        <w:pStyle w:val="11"/>
        <w:adjustRightInd w:val="0"/>
        <w:snapToGrid w:val="0"/>
        <w:spacing w:line="360" w:lineRule="auto"/>
        <w:ind w:firstLine="480"/>
        <w:jc w:val="left"/>
        <w:rPr>
          <w:rFonts w:hint="eastAsia" w:ascii="宋体" w:hAnsi="宋体" w:eastAsia="宋体" w:cs="宋体"/>
          <w:color w:val="auto"/>
          <w:sz w:val="24"/>
          <w:szCs w:val="24"/>
        </w:rPr>
      </w:pPr>
      <w:r>
        <w:rPr>
          <w:rFonts w:hint="eastAsia" w:ascii="宋体" w:hAnsi="宋体" w:eastAsia="宋体" w:cs="宋体"/>
          <w:color w:val="auto"/>
          <w:sz w:val="24"/>
          <w:szCs w:val="24"/>
        </w:rPr>
        <w:t>（1）检测内容及分辨率：</w:t>
      </w:r>
    </w:p>
    <w:p w14:paraId="2F5C5AB0">
      <w:pPr>
        <w:pStyle w:val="11"/>
        <w:adjustRightInd w:val="0"/>
        <w:snapToGrid w:val="0"/>
        <w:spacing w:line="360" w:lineRule="auto"/>
        <w:ind w:firstLine="480"/>
        <w:jc w:val="left"/>
        <w:rPr>
          <w:rFonts w:hint="eastAsia" w:ascii="宋体" w:hAnsi="宋体" w:eastAsia="宋体" w:cs="宋体"/>
          <w:color w:val="auto"/>
          <w:sz w:val="24"/>
          <w:szCs w:val="24"/>
        </w:rPr>
      </w:pPr>
      <w:r>
        <w:rPr>
          <w:rFonts w:hint="eastAsia" w:ascii="宋体" w:hAnsi="宋体" w:eastAsia="宋体" w:cs="宋体"/>
          <w:color w:val="auto"/>
          <w:sz w:val="24"/>
          <w:szCs w:val="24"/>
        </w:rPr>
        <w:t>① 检测内容：</w:t>
      </w:r>
    </w:p>
    <w:p w14:paraId="62450B89">
      <w:pPr>
        <w:pStyle w:val="11"/>
        <w:adjustRightInd w:val="0"/>
        <w:snapToGrid w:val="0"/>
        <w:spacing w:line="360" w:lineRule="auto"/>
        <w:ind w:firstLine="480"/>
        <w:jc w:val="left"/>
        <w:rPr>
          <w:rFonts w:hint="eastAsia" w:ascii="宋体" w:hAnsi="宋体" w:eastAsia="宋体" w:cs="宋体"/>
          <w:color w:val="auto"/>
          <w:sz w:val="24"/>
          <w:szCs w:val="24"/>
        </w:rPr>
      </w:pPr>
      <w:r>
        <w:rPr>
          <w:rFonts w:hint="eastAsia" w:ascii="宋体" w:hAnsi="宋体" w:eastAsia="宋体" w:cs="宋体"/>
          <w:color w:val="auto"/>
          <w:sz w:val="24"/>
        </w:rPr>
        <w:t>a）</w:t>
      </w:r>
      <w:r>
        <w:rPr>
          <w:rFonts w:hint="eastAsia" w:ascii="宋体" w:hAnsi="宋体" w:eastAsia="宋体" w:cs="宋体"/>
          <w:color w:val="auto"/>
          <w:sz w:val="24"/>
          <w:szCs w:val="24"/>
        </w:rPr>
        <w:t>区分染色体拷贝数正常和异常胚胎，可提供断裂点信息。</w:t>
      </w:r>
    </w:p>
    <w:p w14:paraId="618D21E9">
      <w:pPr>
        <w:pStyle w:val="13"/>
        <w:adjustRightInd w:val="0"/>
        <w:snapToGrid w:val="0"/>
        <w:spacing w:line="360" w:lineRule="auto"/>
        <w:ind w:firstLine="480"/>
        <w:rPr>
          <w:rFonts w:hint="eastAsia" w:ascii="宋体" w:hAnsi="宋体" w:eastAsia="宋体" w:cs="宋体"/>
          <w:color w:val="auto"/>
          <w:sz w:val="24"/>
        </w:rPr>
      </w:pPr>
      <w:r>
        <w:rPr>
          <w:rFonts w:hint="eastAsia" w:ascii="宋体" w:hAnsi="宋体" w:eastAsia="宋体" w:cs="宋体"/>
          <w:color w:val="auto"/>
          <w:sz w:val="24"/>
        </w:rPr>
        <w:t>b）区分染色体易位或倒位携带者与染色体结构正常胚胎：试用范围平衡易位、罗氏易位、倒位的患者，遗传和新发突变患者均可使用。根据男女双方外周血和胚胎样本的单核苷酸多态性（SNP）进行连锁分析，区分罗氏易位、平衡易位、倒位携带者与染色体结构正常的胚胎。</w:t>
      </w:r>
    </w:p>
    <w:p w14:paraId="44241F44">
      <w:pPr>
        <w:pStyle w:val="11"/>
        <w:adjustRightInd w:val="0"/>
        <w:snapToGrid w:val="0"/>
        <w:spacing w:line="360" w:lineRule="auto"/>
        <w:ind w:firstLine="480"/>
        <w:jc w:val="left"/>
        <w:rPr>
          <w:rFonts w:hint="eastAsia" w:ascii="宋体" w:hAnsi="宋体" w:eastAsia="宋体" w:cs="宋体"/>
          <w:color w:val="auto"/>
          <w:sz w:val="24"/>
          <w:szCs w:val="24"/>
        </w:rPr>
      </w:pPr>
      <w:r>
        <w:rPr>
          <w:rFonts w:hint="eastAsia" w:ascii="宋体" w:hAnsi="宋体" w:eastAsia="宋体" w:cs="宋体"/>
          <w:color w:val="auto"/>
          <w:sz w:val="24"/>
        </w:rPr>
        <w:t xml:space="preserve">② </w:t>
      </w:r>
      <w:r>
        <w:rPr>
          <w:rFonts w:hint="eastAsia" w:ascii="宋体" w:hAnsi="宋体" w:eastAsia="宋体" w:cs="宋体"/>
          <w:color w:val="auto"/>
          <w:sz w:val="24"/>
          <w:szCs w:val="24"/>
        </w:rPr>
        <w:t>检测分辨率：</w:t>
      </w:r>
    </w:p>
    <w:p w14:paraId="0C2175BE">
      <w:pPr>
        <w:widowControl/>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a）检测胚胎易位相关染色体≥1M的缺失、重复，其他染色体≥4Mb的片段缺失和重复；SNP位点≥2个。</w:t>
      </w:r>
    </w:p>
    <w:p w14:paraId="1F363C89">
      <w:pPr>
        <w:widowControl/>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 xml:space="preserve">b）10M以上且≥30%嵌合率。 </w:t>
      </w:r>
    </w:p>
    <w:p w14:paraId="0A309915">
      <w:pPr>
        <w:pStyle w:val="11"/>
        <w:adjustRightInd w:val="0"/>
        <w:snapToGrid w:val="0"/>
        <w:spacing w:line="360" w:lineRule="auto"/>
        <w:ind w:firstLine="480"/>
        <w:jc w:val="left"/>
        <w:rPr>
          <w:rFonts w:hint="eastAsia" w:ascii="宋体" w:hAnsi="宋体" w:eastAsia="宋体" w:cs="宋体"/>
          <w:color w:val="auto"/>
          <w:sz w:val="24"/>
          <w:szCs w:val="24"/>
        </w:rPr>
      </w:pPr>
      <w:r>
        <w:rPr>
          <w:rFonts w:hint="eastAsia" w:ascii="宋体" w:hAnsi="宋体" w:eastAsia="宋体" w:cs="宋体"/>
          <w:color w:val="auto"/>
          <w:sz w:val="24"/>
          <w:szCs w:val="24"/>
        </w:rPr>
        <w:t>（2）检测技术：</w:t>
      </w:r>
    </w:p>
    <w:p w14:paraId="39FEF8DF">
      <w:pPr>
        <w:pStyle w:val="11"/>
        <w:adjustRightInd w:val="0"/>
        <w:snapToGrid w:val="0"/>
        <w:spacing w:line="360" w:lineRule="auto"/>
        <w:ind w:firstLine="480"/>
        <w:jc w:val="left"/>
        <w:rPr>
          <w:rFonts w:hint="eastAsia" w:ascii="宋体" w:hAnsi="宋体" w:eastAsia="宋体" w:cs="宋体"/>
          <w:color w:val="auto"/>
          <w:sz w:val="24"/>
          <w:szCs w:val="24"/>
        </w:rPr>
      </w:pPr>
      <w:r>
        <w:rPr>
          <w:rFonts w:hint="eastAsia" w:ascii="宋体" w:hAnsi="宋体" w:eastAsia="宋体" w:cs="宋体"/>
          <w:color w:val="auto"/>
          <w:sz w:val="24"/>
          <w:szCs w:val="24"/>
        </w:rPr>
        <w:t>① 检测技术可检测的样本类型：</w:t>
      </w:r>
    </w:p>
    <w:p w14:paraId="5AD88F18">
      <w:pPr>
        <w:widowControl/>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a）卵裂球。</w:t>
      </w:r>
    </w:p>
    <w:p w14:paraId="1D4195D8">
      <w:pPr>
        <w:widowControl/>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b）囊胚外滋养层细胞。</w:t>
      </w:r>
    </w:p>
    <w:p w14:paraId="468AEDA1">
      <w:pPr>
        <w:widowControl/>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c）囊胚培养基。</w:t>
      </w:r>
    </w:p>
    <w:p w14:paraId="7571F53F">
      <w:pPr>
        <w:widowControl/>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d）对于新发易位或家系不全的家系能通过检测单精子、极体、或其他特殊样本提供解决方案，且需相应文献支持。</w:t>
      </w:r>
    </w:p>
    <w:p w14:paraId="56CD9950">
      <w:pPr>
        <w:pStyle w:val="11"/>
        <w:adjustRightInd w:val="0"/>
        <w:snapToGrid w:val="0"/>
        <w:spacing w:line="360" w:lineRule="auto"/>
        <w:ind w:firstLine="480"/>
        <w:jc w:val="left"/>
        <w:rPr>
          <w:rFonts w:hint="eastAsia" w:ascii="宋体" w:hAnsi="宋体" w:eastAsia="宋体" w:cs="宋体"/>
          <w:color w:val="auto"/>
          <w:sz w:val="24"/>
          <w:szCs w:val="24"/>
        </w:rPr>
      </w:pPr>
      <w:r>
        <w:rPr>
          <w:rFonts w:hint="eastAsia" w:ascii="宋体" w:hAnsi="宋体" w:eastAsia="宋体" w:cs="宋体"/>
          <w:color w:val="auto"/>
          <w:sz w:val="24"/>
        </w:rPr>
        <w:t xml:space="preserve">② </w:t>
      </w:r>
      <w:r>
        <w:rPr>
          <w:rFonts w:hint="eastAsia" w:ascii="宋体" w:hAnsi="宋体" w:eastAsia="宋体" w:cs="宋体"/>
          <w:color w:val="auto"/>
          <w:sz w:val="24"/>
          <w:szCs w:val="24"/>
        </w:rPr>
        <w:t>技术性能：</w:t>
      </w:r>
    </w:p>
    <w:p w14:paraId="68349B22">
      <w:pPr>
        <w:widowControl/>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a）单细胞扩增技术，扩增成功率≥95%。</w:t>
      </w:r>
    </w:p>
    <w:p w14:paraId="4ABC59F7">
      <w:pPr>
        <w:widowControl/>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b）单细胞扩增脱扣率低＜10%，覆盖度高≥93%，均一性好CV≤0.25。</w:t>
      </w:r>
    </w:p>
    <w:p w14:paraId="7EFDEC04">
      <w:pPr>
        <w:widowControl/>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c）能够提供分析胚胎全三倍体、染色体水平的单亲二倍体UPD的检测方案，对样本异常染色体片段（含嵌合）进行父母源来源区别，并对异常染色体片段进行有丝分裂或减数分裂来源区分。</w:t>
      </w:r>
    </w:p>
    <w:p w14:paraId="1656446A">
      <w:pPr>
        <w:widowControl/>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d）能够进行样本间亲源关系及外源污染的区别，具备完善的防污染、防错体系及措施。</w:t>
      </w:r>
    </w:p>
    <w:p w14:paraId="5CAAA21E">
      <w:pPr>
        <w:widowControl/>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e）配备单细胞扩增试剂盒。</w:t>
      </w:r>
    </w:p>
    <w:p w14:paraId="0A065C97">
      <w:pPr>
        <w:widowControl/>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f）单细胞扩增和建库试剂盒能匹配高通量测序平台测序要求。</w:t>
      </w:r>
    </w:p>
    <w:p w14:paraId="4B7C126E">
      <w:pPr>
        <w:widowControl/>
        <w:adjustRightInd w:val="0"/>
        <w:snapToGrid w:val="0"/>
        <w:ind w:firstLine="480"/>
        <w:jc w:val="left"/>
        <w:rPr>
          <w:rFonts w:hint="eastAsia" w:ascii="宋体" w:hAnsi="宋体" w:eastAsia="宋体" w:cs="宋体"/>
          <w:b/>
          <w:color w:val="auto"/>
          <w:sz w:val="24"/>
        </w:rPr>
      </w:pPr>
      <w:r>
        <w:rPr>
          <w:rFonts w:hint="eastAsia" w:ascii="宋体" w:hAnsi="宋体" w:eastAsia="宋体" w:cs="宋体"/>
          <w:b/>
          <w:color w:val="auto"/>
          <w:sz w:val="24"/>
        </w:rPr>
        <w:t>（六）其他服务需求</w:t>
      </w:r>
    </w:p>
    <w:p w14:paraId="260740FC">
      <w:pPr>
        <w:widowControl/>
        <w:adjustRightInd w:val="0"/>
        <w:snapToGrid w:val="0"/>
        <w:ind w:firstLine="480"/>
        <w:jc w:val="left"/>
        <w:rPr>
          <w:rFonts w:hint="eastAsia" w:ascii="宋体" w:hAnsi="宋体" w:eastAsia="宋体" w:cs="宋体"/>
          <w:b/>
          <w:color w:val="auto"/>
          <w:sz w:val="24"/>
        </w:rPr>
      </w:pPr>
      <w:r>
        <w:rPr>
          <w:rFonts w:hint="eastAsia" w:ascii="宋体" w:hAnsi="宋体" w:eastAsia="宋体" w:cs="宋体"/>
          <w:b/>
          <w:color w:val="auto"/>
          <w:sz w:val="24"/>
        </w:rPr>
        <w:t>1、报告交付的周期：</w:t>
      </w:r>
    </w:p>
    <w:p w14:paraId="6D1973A5">
      <w:pPr>
        <w:widowControl/>
        <w:adjustRightInd w:val="0"/>
        <w:snapToGrid w:val="0"/>
        <w:ind w:firstLine="480"/>
        <w:jc w:val="left"/>
        <w:rPr>
          <w:rFonts w:hint="eastAsia" w:ascii="宋体" w:hAnsi="宋体" w:eastAsia="宋体" w:cs="宋体"/>
          <w:color w:val="auto"/>
          <w:sz w:val="24"/>
        </w:rPr>
      </w:pPr>
      <w:r>
        <w:rPr>
          <w:rFonts w:hint="eastAsia" w:ascii="宋体" w:hAnsi="宋体" w:eastAsia="宋体" w:cs="宋体"/>
          <w:b/>
          <w:color w:val="auto"/>
          <w:sz w:val="24"/>
        </w:rPr>
        <w:t>（1）PGT-A胚胎植入前遗传学筛查项目：</w:t>
      </w:r>
      <w:r>
        <w:rPr>
          <w:rFonts w:hint="eastAsia" w:ascii="宋体" w:hAnsi="宋体" w:eastAsia="宋体" w:cs="宋体"/>
          <w:color w:val="auto"/>
          <w:sz w:val="24"/>
        </w:rPr>
        <w:t>7个自然日内完成检测，并出具检测报告。</w:t>
      </w:r>
    </w:p>
    <w:p w14:paraId="32345FCB">
      <w:pPr>
        <w:widowControl/>
        <w:adjustRightInd w:val="0"/>
        <w:snapToGrid w:val="0"/>
        <w:ind w:firstLine="480"/>
        <w:jc w:val="left"/>
        <w:rPr>
          <w:rFonts w:hint="eastAsia" w:ascii="宋体" w:hAnsi="宋体" w:eastAsia="宋体" w:cs="宋体"/>
          <w:color w:val="auto"/>
          <w:sz w:val="24"/>
        </w:rPr>
      </w:pPr>
      <w:r>
        <w:rPr>
          <w:rFonts w:hint="eastAsia" w:ascii="宋体" w:hAnsi="宋体" w:eastAsia="宋体" w:cs="宋体"/>
          <w:b/>
          <w:color w:val="auto"/>
          <w:sz w:val="24"/>
        </w:rPr>
        <w:t>（2）PGT-SR胚胎植入前染色体分子遗传学检测：</w:t>
      </w:r>
      <w:r>
        <w:rPr>
          <w:rFonts w:hint="eastAsia" w:ascii="宋体" w:hAnsi="宋体" w:eastAsia="宋体" w:cs="宋体"/>
          <w:color w:val="auto"/>
          <w:sz w:val="24"/>
        </w:rPr>
        <w:t>只做染色体非整倍性检测的10个自然日完成检测并出具报告；对于易位、倒位患者，需要区分易位、倒位携带情况的，则需20个自然日完成检测并出具报告。</w:t>
      </w:r>
    </w:p>
    <w:p w14:paraId="4F0C3445">
      <w:pPr>
        <w:widowControl/>
        <w:adjustRightInd w:val="0"/>
        <w:snapToGrid w:val="0"/>
        <w:ind w:firstLine="480"/>
        <w:jc w:val="left"/>
        <w:rPr>
          <w:rFonts w:hint="eastAsia" w:ascii="宋体" w:hAnsi="宋体" w:eastAsia="宋体" w:cs="宋体"/>
          <w:b/>
          <w:color w:val="auto"/>
          <w:sz w:val="24"/>
        </w:rPr>
      </w:pPr>
      <w:r>
        <w:rPr>
          <w:rFonts w:hint="eastAsia" w:ascii="宋体" w:hAnsi="宋体" w:eastAsia="宋体" w:cs="宋体"/>
          <w:b/>
          <w:color w:val="auto"/>
          <w:sz w:val="24"/>
        </w:rPr>
        <w:t>2、交付（实施）的地点（范围）</w:t>
      </w:r>
    </w:p>
    <w:p w14:paraId="63C92292">
      <w:pPr>
        <w:widowControl/>
        <w:adjustRightInd w:val="0"/>
        <w:snapToGrid w:val="0"/>
        <w:jc w:val="left"/>
        <w:rPr>
          <w:rFonts w:hint="eastAsia" w:ascii="宋体" w:hAnsi="宋体" w:eastAsia="宋体" w:cs="宋体"/>
          <w:color w:val="auto"/>
          <w:sz w:val="24"/>
        </w:rPr>
      </w:pPr>
      <w:r>
        <w:rPr>
          <w:rFonts w:hint="eastAsia" w:ascii="宋体" w:hAnsi="宋体" w:eastAsia="宋体" w:cs="宋体"/>
          <w:color w:val="auto"/>
          <w:sz w:val="24"/>
        </w:rPr>
        <w:t>（1）按采购人要求，定点交付纸质版检测报告，同时可提供电子版检测报告。</w:t>
      </w:r>
    </w:p>
    <w:p w14:paraId="534E3F25">
      <w:pPr>
        <w:widowControl/>
        <w:adjustRightInd w:val="0"/>
        <w:snapToGrid w:val="0"/>
        <w:jc w:val="left"/>
        <w:rPr>
          <w:rFonts w:hint="eastAsia" w:ascii="宋体" w:hAnsi="宋体" w:eastAsia="宋体" w:cs="宋体"/>
          <w:color w:val="auto"/>
          <w:sz w:val="24"/>
        </w:rPr>
      </w:pPr>
      <w:r>
        <w:rPr>
          <w:rFonts w:hint="eastAsia" w:ascii="宋体" w:hAnsi="宋体" w:eastAsia="宋体" w:cs="宋体"/>
          <w:color w:val="auto"/>
          <w:sz w:val="24"/>
        </w:rPr>
        <w:t>（2）检验结果的报告：接到标本后，按照约定时间出具检测结果，其余未涉及内容的报告时间由采购人视具体情况另行约定，供应商应按采购人约定的时间出具报告。如未能按时出具报告的，供应商应发布书面迟发报告通知并说明原因，无故不遵守约定三次以上，且仍不改正，采购人有权终止合同。</w:t>
      </w:r>
    </w:p>
    <w:p w14:paraId="603A056F">
      <w:pPr>
        <w:widowControl/>
        <w:adjustRightInd w:val="0"/>
        <w:snapToGrid w:val="0"/>
        <w:jc w:val="left"/>
        <w:rPr>
          <w:rFonts w:hint="eastAsia" w:ascii="宋体" w:hAnsi="宋体" w:eastAsia="宋体" w:cs="宋体"/>
          <w:color w:val="auto"/>
          <w:sz w:val="24"/>
        </w:rPr>
      </w:pPr>
      <w:r>
        <w:rPr>
          <w:rFonts w:hint="eastAsia" w:ascii="宋体" w:hAnsi="宋体" w:eastAsia="宋体" w:cs="宋体"/>
          <w:color w:val="auto"/>
          <w:sz w:val="24"/>
        </w:rPr>
        <w:t>（31）报告方式：供应商应按照采购人要求由专职人员按时送达电子版报告和纸版报告(各检测结果报告出具约定时间见交付周期)。</w:t>
      </w:r>
    </w:p>
    <w:p w14:paraId="61C8AF44">
      <w:pPr>
        <w:widowControl/>
        <w:adjustRightInd w:val="0"/>
        <w:snapToGrid w:val="0"/>
        <w:jc w:val="left"/>
        <w:rPr>
          <w:rFonts w:hint="eastAsia" w:ascii="宋体" w:hAnsi="宋体" w:eastAsia="宋体" w:cs="宋体"/>
          <w:color w:val="auto"/>
          <w:sz w:val="24"/>
        </w:rPr>
      </w:pPr>
      <w:r>
        <w:rPr>
          <w:rFonts w:hint="eastAsia" w:ascii="宋体" w:hAnsi="宋体" w:eastAsia="宋体" w:cs="宋体"/>
          <w:color w:val="auto"/>
          <w:sz w:val="24"/>
        </w:rPr>
        <w:t>（4）受委托检验项目的检测操作、报告审核签字人应具备医学检验相关专业中级及以上职称。</w:t>
      </w:r>
    </w:p>
    <w:p w14:paraId="4DACEBAF">
      <w:pPr>
        <w:widowControl/>
        <w:adjustRightInd w:val="0"/>
        <w:snapToGrid w:val="0"/>
        <w:jc w:val="left"/>
        <w:rPr>
          <w:rFonts w:hint="eastAsia" w:ascii="宋体" w:hAnsi="宋体" w:eastAsia="宋体" w:cs="宋体"/>
          <w:color w:val="auto"/>
          <w:sz w:val="24"/>
        </w:rPr>
      </w:pPr>
      <w:r>
        <w:rPr>
          <w:rFonts w:hint="eastAsia" w:ascii="宋体" w:hAnsi="宋体" w:eastAsia="宋体" w:cs="宋体"/>
          <w:color w:val="auto"/>
          <w:sz w:val="24"/>
        </w:rPr>
        <w:t>（5）供应商应设有专业的遗传咨询相关专业人员对检验结果进行解释，以解答采购人的疑问；如须进行解释，专业咨询人员应即时响应，且解释准确无误。</w:t>
      </w:r>
    </w:p>
    <w:p w14:paraId="1909E1C3">
      <w:pPr>
        <w:widowControl/>
        <w:adjustRightInd w:val="0"/>
        <w:snapToGrid w:val="0"/>
        <w:ind w:firstLine="480"/>
        <w:jc w:val="left"/>
        <w:rPr>
          <w:rFonts w:hint="eastAsia" w:ascii="宋体" w:hAnsi="宋体" w:eastAsia="宋体" w:cs="宋体"/>
          <w:b/>
          <w:color w:val="auto"/>
          <w:sz w:val="24"/>
        </w:rPr>
      </w:pPr>
      <w:r>
        <w:rPr>
          <w:rFonts w:hint="eastAsia" w:ascii="宋体" w:hAnsi="宋体" w:eastAsia="宋体" w:cs="宋体"/>
          <w:b/>
          <w:color w:val="auto"/>
          <w:sz w:val="24"/>
        </w:rPr>
        <w:t>（七）生物安全要求：</w:t>
      </w:r>
    </w:p>
    <w:p w14:paraId="20A07C9B">
      <w:pPr>
        <w:widowControl/>
        <w:adjustRightInd w:val="0"/>
        <w:snapToGrid w:val="0"/>
        <w:jc w:val="left"/>
        <w:rPr>
          <w:rFonts w:hint="eastAsia" w:ascii="宋体" w:hAnsi="宋体" w:eastAsia="宋体" w:cs="宋体"/>
          <w:color w:val="auto"/>
          <w:sz w:val="24"/>
        </w:rPr>
      </w:pPr>
      <w:r>
        <w:rPr>
          <w:rFonts w:hint="eastAsia" w:ascii="宋体" w:hAnsi="宋体" w:eastAsia="宋体" w:cs="宋体"/>
          <w:color w:val="auto"/>
          <w:sz w:val="24"/>
        </w:rPr>
        <w:t>1、实验室具备BSL-2级以上生物安全水平，并配备完成生物安全培训考试的专业人员。</w:t>
      </w:r>
    </w:p>
    <w:p w14:paraId="6031EDD4">
      <w:pPr>
        <w:widowControl/>
        <w:adjustRightInd w:val="0"/>
        <w:snapToGrid w:val="0"/>
        <w:jc w:val="left"/>
        <w:rPr>
          <w:rFonts w:hint="eastAsia" w:ascii="宋体" w:hAnsi="宋体" w:eastAsia="宋体" w:cs="宋体"/>
          <w:color w:val="auto"/>
          <w:sz w:val="24"/>
        </w:rPr>
      </w:pPr>
      <w:r>
        <w:rPr>
          <w:rFonts w:hint="eastAsia" w:ascii="宋体" w:hAnsi="宋体" w:eastAsia="宋体" w:cs="宋体"/>
          <w:color w:val="auto"/>
          <w:sz w:val="24"/>
        </w:rPr>
        <w:t>2、供应商在项目实施过程中未经安全审查，不得将国家人类遗传资源信息向境外组织、个人及其设立或实际控制的机构提供或者开放使用。</w:t>
      </w:r>
    </w:p>
    <w:p w14:paraId="37D83A56">
      <w:pPr>
        <w:widowControl/>
        <w:adjustRightInd w:val="0"/>
        <w:snapToGrid w:val="0"/>
        <w:ind w:firstLine="480"/>
        <w:jc w:val="left"/>
        <w:rPr>
          <w:rFonts w:hint="eastAsia" w:ascii="宋体" w:hAnsi="宋体" w:eastAsia="宋体" w:cs="宋体"/>
          <w:b/>
          <w:color w:val="auto"/>
          <w:sz w:val="24"/>
        </w:rPr>
      </w:pPr>
      <w:r>
        <w:rPr>
          <w:rFonts w:hint="eastAsia" w:ascii="宋体" w:hAnsi="宋体" w:eastAsia="宋体" w:cs="宋体"/>
          <w:b/>
          <w:color w:val="auto"/>
          <w:sz w:val="24"/>
        </w:rPr>
        <w:t>（八）售后服务及其他（质保期或技术指导等）：</w:t>
      </w:r>
    </w:p>
    <w:p w14:paraId="3B1AFC50">
      <w:pPr>
        <w:widowControl/>
        <w:adjustRightInd w:val="0"/>
        <w:snapToGrid w:val="0"/>
        <w:jc w:val="left"/>
        <w:rPr>
          <w:rFonts w:hint="eastAsia" w:ascii="宋体" w:hAnsi="宋体" w:eastAsia="宋体" w:cs="宋体"/>
          <w:color w:val="auto"/>
          <w:sz w:val="24"/>
        </w:rPr>
      </w:pPr>
      <w:r>
        <w:rPr>
          <w:rFonts w:hint="eastAsia" w:ascii="宋体" w:hAnsi="宋体" w:eastAsia="宋体" w:cs="宋体"/>
          <w:color w:val="auto"/>
          <w:sz w:val="24"/>
        </w:rPr>
        <w:t>1、能够积极配合医院需求，可提供医院本地化分析平台；且有本地化平台合作医院。</w:t>
      </w:r>
    </w:p>
    <w:p w14:paraId="57C2FA2B">
      <w:pPr>
        <w:widowControl/>
        <w:adjustRightInd w:val="0"/>
        <w:snapToGrid w:val="0"/>
        <w:jc w:val="left"/>
        <w:rPr>
          <w:rFonts w:hint="eastAsia" w:ascii="宋体" w:hAnsi="宋体" w:eastAsia="宋体" w:cs="宋体"/>
          <w:color w:val="auto"/>
          <w:sz w:val="24"/>
        </w:rPr>
      </w:pPr>
      <w:r>
        <w:rPr>
          <w:rFonts w:hint="eastAsia" w:ascii="宋体" w:hAnsi="宋体" w:eastAsia="宋体" w:cs="宋体"/>
          <w:color w:val="auto"/>
          <w:sz w:val="24"/>
        </w:rPr>
        <w:t>2、提供配套的人员培训体系，可以协助进行人员专业技能的培训和遗传咨询服务。</w:t>
      </w:r>
    </w:p>
    <w:p w14:paraId="320843C7">
      <w:pPr>
        <w:widowControl/>
        <w:adjustRightInd w:val="0"/>
        <w:snapToGrid w:val="0"/>
        <w:jc w:val="left"/>
        <w:rPr>
          <w:rFonts w:hint="eastAsia" w:ascii="宋体" w:hAnsi="宋体" w:eastAsia="宋体" w:cs="宋体"/>
          <w:color w:val="auto"/>
          <w:sz w:val="24"/>
        </w:rPr>
      </w:pPr>
      <w:r>
        <w:rPr>
          <w:rFonts w:hint="eastAsia" w:ascii="宋体" w:hAnsi="宋体" w:eastAsia="宋体" w:cs="宋体"/>
          <w:color w:val="auto"/>
          <w:sz w:val="24"/>
        </w:rPr>
        <w:t>3、对于胚胎植入前遗传学检测各项目后期能完成对应产前诊断验证。</w:t>
      </w:r>
    </w:p>
    <w:p w14:paraId="0DFB729F">
      <w:pPr>
        <w:widowControl/>
        <w:adjustRightInd w:val="0"/>
        <w:snapToGrid w:val="0"/>
        <w:jc w:val="left"/>
        <w:rPr>
          <w:rFonts w:hint="eastAsia" w:ascii="宋体" w:hAnsi="宋体" w:eastAsia="宋体" w:cs="宋体"/>
          <w:color w:val="auto"/>
          <w:sz w:val="24"/>
        </w:rPr>
      </w:pPr>
      <w:r>
        <w:rPr>
          <w:rFonts w:hint="eastAsia" w:ascii="宋体" w:hAnsi="宋体" w:eastAsia="宋体" w:cs="宋体"/>
          <w:color w:val="auto"/>
          <w:sz w:val="24"/>
        </w:rPr>
        <w:t>4、可以协助申报市级/省级/国家级项目，具备申报成功经验。</w:t>
      </w:r>
    </w:p>
    <w:p w14:paraId="7F9EB5EE">
      <w:pPr>
        <w:widowControl/>
        <w:adjustRightInd w:val="0"/>
        <w:snapToGrid w:val="0"/>
        <w:jc w:val="left"/>
        <w:rPr>
          <w:rFonts w:hint="eastAsia" w:ascii="宋体" w:hAnsi="宋体" w:eastAsia="宋体" w:cs="宋体"/>
          <w:color w:val="auto"/>
          <w:sz w:val="24"/>
        </w:rPr>
      </w:pPr>
      <w:r>
        <w:rPr>
          <w:rFonts w:hint="eastAsia" w:ascii="宋体" w:hAnsi="宋体" w:eastAsia="宋体" w:cs="宋体"/>
          <w:color w:val="auto"/>
          <w:sz w:val="24"/>
        </w:rPr>
        <w:t>5、具备强大的科研实力，供应商能够提供自己发表或作为重要参与人署名发表的影响因子IF≥10的SCI期刊文章。</w:t>
      </w:r>
    </w:p>
    <w:p w14:paraId="6AEEB9AF">
      <w:pPr>
        <w:widowControl/>
        <w:adjustRightInd w:val="0"/>
        <w:snapToGrid w:val="0"/>
        <w:jc w:val="left"/>
        <w:rPr>
          <w:rFonts w:hint="eastAsia" w:ascii="宋体" w:hAnsi="宋体" w:eastAsia="宋体" w:cs="宋体"/>
          <w:color w:val="auto"/>
          <w:sz w:val="24"/>
        </w:rPr>
      </w:pPr>
      <w:r>
        <w:rPr>
          <w:rFonts w:hint="eastAsia" w:ascii="宋体" w:hAnsi="宋体" w:eastAsia="宋体" w:cs="宋体"/>
          <w:color w:val="auto"/>
          <w:sz w:val="24"/>
        </w:rPr>
        <w:t>6、供应商如使用采购人提供的受检者标本发表科研成果，需经采购人同意，且采购人有署名权，署名排序按照文章发表时各方的贡献另行协商确定。</w:t>
      </w:r>
    </w:p>
    <w:p w14:paraId="05992142">
      <w:pPr>
        <w:widowControl/>
        <w:adjustRightInd w:val="0"/>
        <w:snapToGrid w:val="0"/>
        <w:jc w:val="left"/>
        <w:rPr>
          <w:rFonts w:hint="eastAsia" w:ascii="宋体" w:hAnsi="宋体" w:eastAsia="宋体" w:cs="宋体"/>
          <w:color w:val="auto"/>
          <w:sz w:val="24"/>
        </w:rPr>
      </w:pPr>
      <w:r>
        <w:rPr>
          <w:rFonts w:hint="eastAsia" w:ascii="宋体" w:hAnsi="宋体" w:eastAsia="宋体" w:cs="宋体"/>
          <w:color w:val="auto"/>
          <w:sz w:val="24"/>
        </w:rPr>
        <w:t>7、供应商应无偿向采购人提供检测项目所用检测方法的具体操作流程。</w:t>
      </w:r>
    </w:p>
    <w:p w14:paraId="606027A6">
      <w:pPr>
        <w:widowControl/>
        <w:adjustRightInd w:val="0"/>
        <w:snapToGrid w:val="0"/>
        <w:jc w:val="left"/>
        <w:rPr>
          <w:rFonts w:hint="eastAsia" w:ascii="宋体" w:hAnsi="宋体" w:eastAsia="宋体" w:cs="宋体"/>
          <w:color w:val="auto"/>
          <w:sz w:val="24"/>
        </w:rPr>
      </w:pPr>
      <w:r>
        <w:rPr>
          <w:rFonts w:hint="eastAsia" w:ascii="宋体" w:hAnsi="宋体" w:eastAsia="宋体" w:cs="宋体"/>
          <w:color w:val="auto"/>
          <w:sz w:val="24"/>
        </w:rPr>
        <w:t>8、纠纷处理：如因检测服务发生质量问题，造成医院向患者承担赔偿责任的，由供应商承担相应责任。</w:t>
      </w:r>
    </w:p>
    <w:p w14:paraId="4E9F8210">
      <w:pPr>
        <w:adjustRightInd w:val="0"/>
        <w:snapToGrid w:val="0"/>
        <w:spacing w:line="360" w:lineRule="auto"/>
        <w:ind w:firstLine="482" w:firstLineChars="200"/>
        <w:jc w:val="left"/>
        <w:rPr>
          <w:rFonts w:hint="eastAsia" w:ascii="宋体" w:hAnsi="宋体" w:eastAsia="宋体" w:cs="宋体"/>
          <w:b/>
          <w:color w:val="auto"/>
          <w:sz w:val="24"/>
        </w:rPr>
      </w:pPr>
      <w:r>
        <w:rPr>
          <w:rFonts w:hint="eastAsia" w:ascii="宋体" w:hAnsi="宋体" w:eastAsia="宋体" w:cs="宋体"/>
          <w:b/>
          <w:color w:val="auto"/>
          <w:sz w:val="24"/>
        </w:rPr>
        <w:t>（九）检验项目清单</w:t>
      </w:r>
    </w:p>
    <w:tbl>
      <w:tblPr>
        <w:tblStyle w:val="7"/>
        <w:tblW w:w="499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353"/>
        <w:gridCol w:w="6167"/>
      </w:tblGrid>
      <w:tr w14:paraId="5169C0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blHeader/>
          <w:jc w:val="center"/>
        </w:trPr>
        <w:tc>
          <w:tcPr>
            <w:tcW w:w="1381" w:type="pct"/>
            <w:vAlign w:val="center"/>
          </w:tcPr>
          <w:p w14:paraId="76452A26">
            <w:pPr>
              <w:widowControl/>
              <w:adjustRightInd w:val="0"/>
              <w:snapToGrid w:val="0"/>
              <w:jc w:val="center"/>
              <w:rPr>
                <w:rFonts w:hint="eastAsia" w:ascii="宋体" w:hAnsi="宋体" w:eastAsia="宋体" w:cs="宋体"/>
                <w:b/>
                <w:bCs/>
                <w:color w:val="auto"/>
                <w:kern w:val="0"/>
                <w:sz w:val="24"/>
              </w:rPr>
            </w:pPr>
            <w:r>
              <w:rPr>
                <w:rFonts w:hint="eastAsia" w:ascii="宋体" w:hAnsi="宋体" w:eastAsia="宋体" w:cs="宋体"/>
                <w:b/>
                <w:bCs/>
                <w:color w:val="auto"/>
                <w:kern w:val="0"/>
                <w:sz w:val="24"/>
              </w:rPr>
              <w:t>项目编号</w:t>
            </w:r>
          </w:p>
        </w:tc>
        <w:tc>
          <w:tcPr>
            <w:tcW w:w="3618" w:type="pct"/>
            <w:vAlign w:val="center"/>
          </w:tcPr>
          <w:p w14:paraId="353096DD">
            <w:pPr>
              <w:widowControl/>
              <w:adjustRightInd w:val="0"/>
              <w:snapToGrid w:val="0"/>
              <w:jc w:val="center"/>
              <w:rPr>
                <w:rFonts w:hint="eastAsia" w:ascii="宋体" w:hAnsi="宋体" w:eastAsia="宋体" w:cs="宋体"/>
                <w:b/>
                <w:bCs/>
                <w:color w:val="auto"/>
                <w:kern w:val="0"/>
                <w:sz w:val="24"/>
              </w:rPr>
            </w:pPr>
            <w:r>
              <w:rPr>
                <w:rFonts w:hint="eastAsia" w:ascii="宋体" w:hAnsi="宋体" w:eastAsia="宋体" w:cs="宋体"/>
                <w:b/>
                <w:bCs/>
                <w:color w:val="auto"/>
                <w:kern w:val="0"/>
                <w:sz w:val="24"/>
              </w:rPr>
              <w:t>项目名称</w:t>
            </w:r>
          </w:p>
        </w:tc>
      </w:tr>
      <w:tr w14:paraId="1608F5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1381" w:type="pct"/>
            <w:vAlign w:val="center"/>
          </w:tcPr>
          <w:p w14:paraId="189EB2BD">
            <w:pPr>
              <w:widowControl/>
              <w:adjustRightInd w:val="0"/>
              <w:snapToGrid w:val="0"/>
              <w:jc w:val="center"/>
              <w:rPr>
                <w:rFonts w:hint="eastAsia" w:ascii="宋体" w:hAnsi="宋体" w:eastAsia="宋体" w:cs="宋体"/>
                <w:color w:val="auto"/>
                <w:kern w:val="0"/>
                <w:sz w:val="24"/>
              </w:rPr>
            </w:pPr>
            <w:r>
              <w:rPr>
                <w:rFonts w:hint="eastAsia" w:ascii="宋体" w:hAnsi="宋体" w:eastAsia="宋体" w:cs="宋体"/>
                <w:color w:val="auto"/>
                <w:kern w:val="0"/>
                <w:sz w:val="24"/>
              </w:rPr>
              <w:t>1</w:t>
            </w:r>
          </w:p>
        </w:tc>
        <w:tc>
          <w:tcPr>
            <w:tcW w:w="3618" w:type="pct"/>
            <w:vAlign w:val="center"/>
          </w:tcPr>
          <w:p w14:paraId="67CA1037">
            <w:pPr>
              <w:widowControl/>
              <w:adjustRightInd w:val="0"/>
              <w:snapToGrid w:val="0"/>
              <w:jc w:val="center"/>
              <w:rPr>
                <w:rFonts w:hint="eastAsia" w:ascii="宋体" w:hAnsi="宋体" w:eastAsia="宋体" w:cs="宋体"/>
                <w:color w:val="auto"/>
                <w:kern w:val="0"/>
                <w:sz w:val="24"/>
              </w:rPr>
            </w:pPr>
            <w:r>
              <w:rPr>
                <w:rFonts w:hint="eastAsia" w:ascii="宋体" w:hAnsi="宋体" w:eastAsia="宋体" w:cs="宋体"/>
                <w:color w:val="auto"/>
                <w:sz w:val="24"/>
              </w:rPr>
              <w:t>PGT-A</w:t>
            </w:r>
            <w:r>
              <w:rPr>
                <w:rFonts w:hint="eastAsia" w:ascii="宋体" w:hAnsi="宋体" w:eastAsia="宋体" w:cs="宋体"/>
                <w:color w:val="auto"/>
                <w:sz w:val="24"/>
                <w:lang w:val="en-US" w:eastAsia="zh-CN"/>
              </w:rPr>
              <w:t>胚胎</w:t>
            </w:r>
            <w:r>
              <w:rPr>
                <w:rFonts w:hint="eastAsia" w:ascii="宋体" w:hAnsi="宋体" w:eastAsia="宋体" w:cs="宋体"/>
                <w:color w:val="auto"/>
                <w:sz w:val="24"/>
              </w:rPr>
              <w:t>分子遗传检测</w:t>
            </w:r>
          </w:p>
        </w:tc>
      </w:tr>
      <w:tr w14:paraId="1EF4BA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1381" w:type="pct"/>
            <w:vAlign w:val="center"/>
          </w:tcPr>
          <w:p w14:paraId="72414E84">
            <w:pPr>
              <w:widowControl/>
              <w:adjustRightInd w:val="0"/>
              <w:snapToGrid w:val="0"/>
              <w:jc w:val="center"/>
              <w:rPr>
                <w:rFonts w:hint="eastAsia" w:ascii="宋体" w:hAnsi="宋体" w:eastAsia="宋体" w:cs="宋体"/>
                <w:color w:val="auto"/>
                <w:kern w:val="0"/>
                <w:sz w:val="24"/>
              </w:rPr>
            </w:pPr>
            <w:r>
              <w:rPr>
                <w:rFonts w:hint="eastAsia" w:ascii="宋体" w:hAnsi="宋体" w:eastAsia="宋体" w:cs="宋体"/>
                <w:color w:val="auto"/>
                <w:kern w:val="0"/>
                <w:sz w:val="24"/>
              </w:rPr>
              <w:t>2</w:t>
            </w:r>
          </w:p>
        </w:tc>
        <w:tc>
          <w:tcPr>
            <w:tcW w:w="3618" w:type="pct"/>
            <w:vAlign w:val="center"/>
          </w:tcPr>
          <w:p w14:paraId="46E9A336">
            <w:pPr>
              <w:widowControl/>
              <w:adjustRightInd w:val="0"/>
              <w:snapToGrid w:val="0"/>
              <w:jc w:val="center"/>
              <w:rPr>
                <w:rFonts w:hint="eastAsia" w:ascii="宋体" w:hAnsi="宋体" w:eastAsia="宋体" w:cs="宋体"/>
                <w:color w:val="auto"/>
                <w:kern w:val="0"/>
                <w:sz w:val="24"/>
              </w:rPr>
            </w:pPr>
            <w:r>
              <w:rPr>
                <w:rFonts w:hint="eastAsia" w:ascii="宋体" w:hAnsi="宋体" w:eastAsia="宋体" w:cs="宋体"/>
                <w:color w:val="auto"/>
                <w:sz w:val="24"/>
              </w:rPr>
              <w:t>PGT-SR</w:t>
            </w:r>
            <w:r>
              <w:rPr>
                <w:rFonts w:hint="eastAsia" w:ascii="宋体" w:hAnsi="宋体" w:eastAsia="宋体" w:cs="宋体"/>
                <w:color w:val="auto"/>
                <w:sz w:val="24"/>
                <w:lang w:val="en-US" w:eastAsia="zh-CN"/>
              </w:rPr>
              <w:t>胚胎</w:t>
            </w:r>
            <w:r>
              <w:rPr>
                <w:rFonts w:hint="eastAsia" w:ascii="宋体" w:hAnsi="宋体" w:eastAsia="宋体" w:cs="宋体"/>
                <w:color w:val="auto"/>
                <w:sz w:val="24"/>
              </w:rPr>
              <w:t>分子遗传检测</w:t>
            </w:r>
          </w:p>
        </w:tc>
      </w:tr>
      <w:tr w14:paraId="527484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1381" w:type="pct"/>
            <w:vAlign w:val="center"/>
          </w:tcPr>
          <w:p w14:paraId="0DC76F87">
            <w:pPr>
              <w:widowControl/>
              <w:adjustRightInd w:val="0"/>
              <w:snapToGrid w:val="0"/>
              <w:jc w:val="center"/>
              <w:rPr>
                <w:rFonts w:hint="eastAsia" w:ascii="宋体" w:hAnsi="宋体" w:eastAsia="宋体" w:cs="宋体"/>
                <w:color w:val="auto"/>
                <w:kern w:val="0"/>
                <w:sz w:val="24"/>
              </w:rPr>
            </w:pPr>
            <w:r>
              <w:rPr>
                <w:rFonts w:hint="eastAsia" w:ascii="宋体" w:hAnsi="宋体" w:eastAsia="宋体" w:cs="宋体"/>
                <w:color w:val="auto"/>
                <w:kern w:val="0"/>
                <w:sz w:val="24"/>
              </w:rPr>
              <w:t>3</w:t>
            </w:r>
          </w:p>
        </w:tc>
        <w:tc>
          <w:tcPr>
            <w:tcW w:w="3618" w:type="pct"/>
            <w:vAlign w:val="center"/>
          </w:tcPr>
          <w:p w14:paraId="370E47BD">
            <w:pPr>
              <w:widowControl/>
              <w:adjustRightInd w:val="0"/>
              <w:snapToGrid w:val="0"/>
              <w:jc w:val="center"/>
              <w:rPr>
                <w:rFonts w:hint="eastAsia" w:ascii="宋体" w:hAnsi="宋体" w:eastAsia="宋体" w:cs="宋体"/>
                <w:color w:val="auto"/>
                <w:sz w:val="24"/>
              </w:rPr>
            </w:pPr>
            <w:r>
              <w:rPr>
                <w:rFonts w:hint="eastAsia" w:ascii="宋体" w:hAnsi="宋体" w:eastAsia="宋体" w:cs="宋体"/>
                <w:color w:val="auto"/>
                <w:sz w:val="24"/>
              </w:rPr>
              <w:t>PGT-SR家系分析</w:t>
            </w:r>
          </w:p>
        </w:tc>
      </w:tr>
      <w:tr w14:paraId="1D65DE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1381" w:type="pct"/>
            <w:vAlign w:val="center"/>
          </w:tcPr>
          <w:p w14:paraId="7D29C214">
            <w:pPr>
              <w:widowControl/>
              <w:adjustRightInd w:val="0"/>
              <w:snapToGrid w:val="0"/>
              <w:jc w:val="center"/>
              <w:rPr>
                <w:rFonts w:hint="eastAsia" w:ascii="宋体" w:hAnsi="宋体" w:eastAsia="宋体" w:cs="宋体"/>
                <w:color w:val="auto"/>
                <w:kern w:val="0"/>
                <w:sz w:val="24"/>
              </w:rPr>
            </w:pPr>
            <w:r>
              <w:rPr>
                <w:rFonts w:hint="eastAsia" w:ascii="宋体" w:hAnsi="宋体" w:eastAsia="宋体" w:cs="宋体"/>
                <w:color w:val="auto"/>
                <w:kern w:val="0"/>
                <w:sz w:val="24"/>
              </w:rPr>
              <w:t>4</w:t>
            </w:r>
          </w:p>
        </w:tc>
        <w:tc>
          <w:tcPr>
            <w:tcW w:w="3618" w:type="pct"/>
            <w:vAlign w:val="center"/>
          </w:tcPr>
          <w:p w14:paraId="7E030CC3">
            <w:pPr>
              <w:widowControl/>
              <w:adjustRightInd w:val="0"/>
              <w:snapToGrid w:val="0"/>
              <w:jc w:val="center"/>
              <w:rPr>
                <w:rFonts w:hint="eastAsia" w:ascii="宋体" w:hAnsi="宋体" w:eastAsia="宋体" w:cs="宋体"/>
                <w:color w:val="auto"/>
                <w:sz w:val="24"/>
              </w:rPr>
            </w:pPr>
            <w:r>
              <w:rPr>
                <w:rFonts w:hint="eastAsia" w:ascii="宋体" w:hAnsi="宋体" w:eastAsia="宋体" w:cs="宋体"/>
                <w:color w:val="auto"/>
                <w:sz w:val="24"/>
              </w:rPr>
              <w:t>PGT-</w:t>
            </w:r>
            <w:r>
              <w:rPr>
                <w:rFonts w:hint="eastAsia" w:ascii="宋体" w:hAnsi="宋体" w:eastAsia="宋体" w:cs="宋体"/>
                <w:color w:val="auto"/>
                <w:sz w:val="24"/>
                <w:lang w:val="en-US" w:eastAsia="zh-CN"/>
              </w:rPr>
              <w:t>A</w:t>
            </w:r>
            <w:r>
              <w:rPr>
                <w:rFonts w:hint="eastAsia" w:ascii="宋体" w:hAnsi="宋体" w:eastAsia="宋体" w:cs="宋体"/>
                <w:color w:val="auto"/>
                <w:sz w:val="24"/>
              </w:rPr>
              <w:t>+PGT-</w:t>
            </w:r>
            <w:r>
              <w:rPr>
                <w:rFonts w:hint="eastAsia" w:ascii="宋体" w:hAnsi="宋体" w:eastAsia="宋体" w:cs="宋体"/>
                <w:color w:val="auto"/>
                <w:sz w:val="24"/>
                <w:lang w:val="en-US" w:eastAsia="zh-CN"/>
              </w:rPr>
              <w:t>SR胚胎</w:t>
            </w:r>
            <w:r>
              <w:rPr>
                <w:rFonts w:hint="eastAsia" w:ascii="宋体" w:hAnsi="宋体" w:eastAsia="宋体" w:cs="宋体"/>
                <w:color w:val="auto"/>
                <w:sz w:val="24"/>
              </w:rPr>
              <w:t>分子遗传检测</w:t>
            </w:r>
          </w:p>
        </w:tc>
      </w:tr>
    </w:tbl>
    <w:p w14:paraId="00CE576A">
      <w:pPr>
        <w:rPr>
          <w:rFonts w:hint="eastAsia" w:ascii="宋体" w:hAnsi="宋体" w:eastAsia="宋体" w:cs="宋体"/>
          <w:b/>
          <w:color w:val="auto"/>
          <w:sz w:val="24"/>
        </w:rPr>
      </w:pPr>
      <w:r>
        <w:rPr>
          <w:rFonts w:hint="eastAsia" w:ascii="宋体" w:hAnsi="宋体" w:eastAsia="宋体" w:cs="宋体"/>
          <w:b/>
          <w:color w:val="auto"/>
          <w:sz w:val="24"/>
        </w:rPr>
        <w:br w:type="page"/>
      </w:r>
    </w:p>
    <w:p w14:paraId="056F4FB7">
      <w:pPr>
        <w:adjustRightInd w:val="0"/>
        <w:snapToGrid w:val="0"/>
        <w:spacing w:before="156" w:beforeLines="50" w:line="360" w:lineRule="auto"/>
        <w:ind w:firstLine="482" w:firstLineChars="200"/>
        <w:jc w:val="left"/>
        <w:rPr>
          <w:rFonts w:hint="eastAsia" w:ascii="宋体" w:hAnsi="宋体" w:eastAsia="宋体" w:cs="宋体"/>
          <w:b/>
          <w:color w:val="auto"/>
          <w:sz w:val="24"/>
        </w:rPr>
      </w:pPr>
      <w:r>
        <w:rPr>
          <w:rFonts w:hint="eastAsia" w:ascii="宋体" w:hAnsi="宋体" w:eastAsia="宋体" w:cs="宋体"/>
          <w:b/>
          <w:color w:val="auto"/>
          <w:sz w:val="24"/>
        </w:rPr>
        <w:t>采购包2：胚胎植入前单基因病检测项目（PGT-M）服务参数要求</w:t>
      </w:r>
    </w:p>
    <w:p w14:paraId="2D4AF277">
      <w:pPr>
        <w:adjustRightInd w:val="0"/>
        <w:snapToGrid w:val="0"/>
        <w:spacing w:line="360" w:lineRule="auto"/>
        <w:ind w:firstLine="482" w:firstLineChars="200"/>
        <w:jc w:val="left"/>
        <w:rPr>
          <w:rFonts w:hint="eastAsia" w:ascii="宋体" w:hAnsi="宋体" w:eastAsia="宋体" w:cs="宋体"/>
          <w:b/>
          <w:color w:val="auto"/>
          <w:sz w:val="24"/>
        </w:rPr>
      </w:pPr>
      <w:r>
        <w:rPr>
          <w:rFonts w:hint="eastAsia" w:ascii="宋体" w:hAnsi="宋体" w:eastAsia="宋体" w:cs="宋体"/>
          <w:b/>
          <w:color w:val="auto"/>
          <w:sz w:val="24"/>
        </w:rPr>
        <w:t>（一）报价情况</w:t>
      </w:r>
    </w:p>
    <w:tbl>
      <w:tblPr>
        <w:tblStyle w:val="7"/>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860"/>
        <w:gridCol w:w="3939"/>
        <w:gridCol w:w="2723"/>
      </w:tblGrid>
      <w:tr w14:paraId="05671A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blHeader/>
          <w:jc w:val="center"/>
        </w:trPr>
        <w:tc>
          <w:tcPr>
            <w:tcW w:w="1091" w:type="pct"/>
            <w:vAlign w:val="center"/>
          </w:tcPr>
          <w:p w14:paraId="28DC141D">
            <w:pPr>
              <w:widowControl/>
              <w:adjustRightInd w:val="0"/>
              <w:snapToGrid w:val="0"/>
              <w:jc w:val="center"/>
              <w:rPr>
                <w:rFonts w:hint="eastAsia" w:ascii="宋体" w:hAnsi="宋体" w:eastAsia="宋体" w:cs="宋体"/>
                <w:b/>
                <w:bCs/>
                <w:color w:val="auto"/>
                <w:kern w:val="0"/>
                <w:sz w:val="24"/>
              </w:rPr>
            </w:pPr>
            <w:r>
              <w:rPr>
                <w:rFonts w:hint="eastAsia" w:ascii="宋体" w:hAnsi="宋体" w:eastAsia="宋体" w:cs="宋体"/>
                <w:b/>
                <w:bCs/>
                <w:color w:val="auto"/>
                <w:kern w:val="0"/>
                <w:sz w:val="24"/>
              </w:rPr>
              <w:t>项目编号</w:t>
            </w:r>
          </w:p>
        </w:tc>
        <w:tc>
          <w:tcPr>
            <w:tcW w:w="2310" w:type="pct"/>
            <w:vAlign w:val="center"/>
          </w:tcPr>
          <w:p w14:paraId="35C1009E">
            <w:pPr>
              <w:widowControl/>
              <w:adjustRightInd w:val="0"/>
              <w:snapToGrid w:val="0"/>
              <w:jc w:val="center"/>
              <w:rPr>
                <w:rFonts w:hint="eastAsia" w:ascii="宋体" w:hAnsi="宋体" w:eastAsia="宋体" w:cs="宋体"/>
                <w:b/>
                <w:bCs/>
                <w:color w:val="auto"/>
                <w:kern w:val="0"/>
                <w:sz w:val="24"/>
              </w:rPr>
            </w:pPr>
            <w:r>
              <w:rPr>
                <w:rFonts w:hint="eastAsia" w:ascii="宋体" w:hAnsi="宋体" w:eastAsia="宋体" w:cs="宋体"/>
                <w:b/>
                <w:bCs/>
                <w:color w:val="auto"/>
                <w:kern w:val="0"/>
                <w:sz w:val="24"/>
              </w:rPr>
              <w:t>项目名称</w:t>
            </w:r>
          </w:p>
        </w:tc>
        <w:tc>
          <w:tcPr>
            <w:tcW w:w="1597" w:type="pct"/>
            <w:vAlign w:val="center"/>
          </w:tcPr>
          <w:p w14:paraId="0B8199CD">
            <w:pPr>
              <w:widowControl/>
              <w:adjustRightInd w:val="0"/>
              <w:snapToGrid w:val="0"/>
              <w:jc w:val="center"/>
              <w:rPr>
                <w:rFonts w:hint="eastAsia" w:ascii="宋体" w:hAnsi="宋体" w:eastAsia="宋体" w:cs="宋体"/>
                <w:b/>
                <w:bCs/>
                <w:color w:val="auto"/>
                <w:kern w:val="0"/>
                <w:sz w:val="24"/>
              </w:rPr>
            </w:pPr>
            <w:r>
              <w:rPr>
                <w:rFonts w:hint="eastAsia" w:ascii="宋体" w:hAnsi="宋体" w:eastAsia="宋体" w:cs="宋体"/>
                <w:b/>
                <w:bCs/>
                <w:color w:val="auto"/>
                <w:kern w:val="0"/>
                <w:sz w:val="24"/>
              </w:rPr>
              <w:t>报价（元/样本）</w:t>
            </w:r>
          </w:p>
        </w:tc>
      </w:tr>
      <w:tr w14:paraId="412C37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1091" w:type="pct"/>
            <w:vAlign w:val="center"/>
          </w:tcPr>
          <w:p w14:paraId="049E9F15">
            <w:pPr>
              <w:widowControl/>
              <w:adjustRightInd w:val="0"/>
              <w:snapToGrid w:val="0"/>
              <w:jc w:val="center"/>
              <w:rPr>
                <w:rFonts w:hint="eastAsia" w:ascii="宋体" w:hAnsi="宋体" w:eastAsia="宋体" w:cs="宋体"/>
                <w:color w:val="auto"/>
                <w:kern w:val="0"/>
                <w:sz w:val="24"/>
              </w:rPr>
            </w:pPr>
            <w:r>
              <w:rPr>
                <w:rFonts w:hint="eastAsia" w:ascii="宋体" w:hAnsi="宋体" w:eastAsia="宋体" w:cs="宋体"/>
                <w:color w:val="auto"/>
                <w:kern w:val="0"/>
                <w:sz w:val="24"/>
              </w:rPr>
              <w:t>1</w:t>
            </w:r>
          </w:p>
        </w:tc>
        <w:tc>
          <w:tcPr>
            <w:tcW w:w="2310" w:type="pct"/>
            <w:vAlign w:val="center"/>
          </w:tcPr>
          <w:p w14:paraId="7424CB52">
            <w:pPr>
              <w:widowControl/>
              <w:adjustRightInd w:val="0"/>
              <w:snapToGrid w:val="0"/>
              <w:jc w:val="center"/>
              <w:rPr>
                <w:rFonts w:hint="eastAsia" w:ascii="宋体" w:hAnsi="宋体" w:eastAsia="宋体" w:cs="宋体"/>
                <w:color w:val="auto"/>
                <w:kern w:val="0"/>
                <w:sz w:val="24"/>
              </w:rPr>
            </w:pPr>
            <w:r>
              <w:rPr>
                <w:rFonts w:hint="eastAsia" w:ascii="宋体" w:hAnsi="宋体" w:eastAsia="宋体" w:cs="宋体"/>
                <w:color w:val="auto"/>
                <w:sz w:val="24"/>
              </w:rPr>
              <w:t>PGT-M胚胎</w:t>
            </w:r>
            <w:r>
              <w:rPr>
                <w:rFonts w:hint="eastAsia" w:ascii="宋体" w:hAnsi="宋体" w:eastAsia="宋体" w:cs="宋体"/>
                <w:color w:val="auto"/>
                <w:kern w:val="0"/>
                <w:sz w:val="24"/>
              </w:rPr>
              <w:t>分子遗传</w:t>
            </w:r>
            <w:r>
              <w:rPr>
                <w:rFonts w:hint="eastAsia" w:ascii="宋体" w:hAnsi="宋体" w:eastAsia="宋体" w:cs="宋体"/>
                <w:color w:val="auto"/>
                <w:kern w:val="0"/>
                <w:sz w:val="24"/>
                <w:lang w:val="en-US" w:eastAsia="zh-CN"/>
              </w:rPr>
              <w:t>学</w:t>
            </w:r>
            <w:r>
              <w:rPr>
                <w:rFonts w:hint="eastAsia" w:ascii="宋体" w:hAnsi="宋体" w:eastAsia="宋体" w:cs="宋体"/>
                <w:color w:val="auto"/>
                <w:kern w:val="0"/>
                <w:sz w:val="24"/>
              </w:rPr>
              <w:t>检测</w:t>
            </w:r>
          </w:p>
        </w:tc>
        <w:tc>
          <w:tcPr>
            <w:tcW w:w="1597" w:type="pct"/>
            <w:vAlign w:val="center"/>
          </w:tcPr>
          <w:p w14:paraId="770A2884">
            <w:pPr>
              <w:widowControl/>
              <w:adjustRightInd w:val="0"/>
              <w:snapToGrid w:val="0"/>
              <w:jc w:val="center"/>
              <w:rPr>
                <w:rFonts w:hint="eastAsia" w:ascii="宋体" w:hAnsi="宋体" w:eastAsia="宋体" w:cs="宋体"/>
                <w:color w:val="auto"/>
                <w:sz w:val="24"/>
              </w:rPr>
            </w:pPr>
          </w:p>
        </w:tc>
      </w:tr>
      <w:tr w14:paraId="7CFFA3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1091" w:type="pct"/>
            <w:vAlign w:val="center"/>
          </w:tcPr>
          <w:p w14:paraId="472AAA6B">
            <w:pPr>
              <w:widowControl/>
              <w:adjustRightInd w:val="0"/>
              <w:snapToGrid w:val="0"/>
              <w:jc w:val="center"/>
              <w:rPr>
                <w:rFonts w:hint="eastAsia" w:ascii="宋体" w:hAnsi="宋体" w:eastAsia="宋体" w:cs="宋体"/>
                <w:color w:val="auto"/>
                <w:kern w:val="0"/>
                <w:sz w:val="24"/>
              </w:rPr>
            </w:pPr>
            <w:r>
              <w:rPr>
                <w:rFonts w:hint="eastAsia" w:ascii="宋体" w:hAnsi="宋体" w:eastAsia="宋体" w:cs="宋体"/>
                <w:color w:val="auto"/>
                <w:kern w:val="0"/>
                <w:sz w:val="24"/>
              </w:rPr>
              <w:t>2</w:t>
            </w:r>
          </w:p>
        </w:tc>
        <w:tc>
          <w:tcPr>
            <w:tcW w:w="2310" w:type="pct"/>
            <w:vAlign w:val="center"/>
          </w:tcPr>
          <w:p w14:paraId="38D078D3">
            <w:pPr>
              <w:widowControl/>
              <w:adjustRightInd w:val="0"/>
              <w:snapToGrid w:val="0"/>
              <w:jc w:val="center"/>
              <w:rPr>
                <w:rFonts w:hint="eastAsia" w:ascii="宋体" w:hAnsi="宋体" w:eastAsia="宋体" w:cs="宋体"/>
                <w:color w:val="auto"/>
                <w:sz w:val="24"/>
              </w:rPr>
            </w:pPr>
            <w:r>
              <w:rPr>
                <w:rFonts w:hint="eastAsia" w:ascii="宋体" w:hAnsi="宋体" w:eastAsia="宋体" w:cs="宋体"/>
                <w:color w:val="auto"/>
                <w:sz w:val="24"/>
              </w:rPr>
              <w:t>PGT-M家系预实验</w:t>
            </w:r>
          </w:p>
        </w:tc>
        <w:tc>
          <w:tcPr>
            <w:tcW w:w="1597" w:type="pct"/>
            <w:vAlign w:val="center"/>
          </w:tcPr>
          <w:p w14:paraId="5E0B8E36">
            <w:pPr>
              <w:widowControl/>
              <w:adjustRightInd w:val="0"/>
              <w:snapToGrid w:val="0"/>
              <w:jc w:val="center"/>
              <w:rPr>
                <w:rFonts w:hint="eastAsia" w:ascii="宋体" w:hAnsi="宋体" w:eastAsia="宋体" w:cs="宋体"/>
                <w:color w:val="auto"/>
                <w:sz w:val="24"/>
              </w:rPr>
            </w:pPr>
          </w:p>
        </w:tc>
      </w:tr>
      <w:tr w14:paraId="31FE6F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1091" w:type="pct"/>
            <w:vAlign w:val="center"/>
          </w:tcPr>
          <w:p w14:paraId="40024529">
            <w:pPr>
              <w:widowControl/>
              <w:adjustRightInd w:val="0"/>
              <w:snapToGrid w:val="0"/>
              <w:jc w:val="center"/>
              <w:rPr>
                <w:rFonts w:hint="eastAsia" w:ascii="宋体" w:hAnsi="宋体" w:eastAsia="宋体" w:cs="宋体"/>
                <w:color w:val="auto"/>
                <w:kern w:val="0"/>
                <w:sz w:val="24"/>
              </w:rPr>
            </w:pPr>
            <w:r>
              <w:rPr>
                <w:rFonts w:hint="eastAsia" w:ascii="宋体" w:hAnsi="宋体" w:eastAsia="宋体" w:cs="宋体"/>
                <w:color w:val="auto"/>
                <w:kern w:val="0"/>
                <w:sz w:val="24"/>
              </w:rPr>
              <w:t>3</w:t>
            </w:r>
          </w:p>
        </w:tc>
        <w:tc>
          <w:tcPr>
            <w:tcW w:w="2310" w:type="pct"/>
            <w:vAlign w:val="center"/>
          </w:tcPr>
          <w:p w14:paraId="77E13DB1">
            <w:pPr>
              <w:widowControl/>
              <w:adjustRightInd w:val="0"/>
              <w:snapToGrid w:val="0"/>
              <w:jc w:val="center"/>
              <w:rPr>
                <w:rFonts w:hint="eastAsia" w:ascii="宋体" w:hAnsi="宋体" w:eastAsia="宋体" w:cs="宋体"/>
                <w:color w:val="auto"/>
                <w:kern w:val="0"/>
                <w:sz w:val="24"/>
              </w:rPr>
            </w:pPr>
            <w:r>
              <w:rPr>
                <w:rFonts w:hint="eastAsia" w:ascii="宋体" w:hAnsi="宋体" w:eastAsia="宋体" w:cs="宋体"/>
                <w:color w:val="auto"/>
                <w:kern w:val="0"/>
                <w:sz w:val="24"/>
              </w:rPr>
              <w:t>PGT-A+PGT-M胚胎分子遗传</w:t>
            </w:r>
            <w:r>
              <w:rPr>
                <w:rFonts w:hint="eastAsia" w:ascii="宋体" w:hAnsi="宋体" w:eastAsia="宋体" w:cs="宋体"/>
                <w:color w:val="auto"/>
                <w:kern w:val="0"/>
                <w:sz w:val="24"/>
                <w:lang w:val="en-US" w:eastAsia="zh-CN"/>
              </w:rPr>
              <w:t>学</w:t>
            </w:r>
            <w:r>
              <w:rPr>
                <w:rFonts w:hint="eastAsia" w:ascii="宋体" w:hAnsi="宋体" w:eastAsia="宋体" w:cs="宋体"/>
                <w:color w:val="auto"/>
                <w:kern w:val="0"/>
                <w:sz w:val="24"/>
              </w:rPr>
              <w:t>检测</w:t>
            </w:r>
          </w:p>
        </w:tc>
        <w:tc>
          <w:tcPr>
            <w:tcW w:w="1597" w:type="pct"/>
            <w:vAlign w:val="center"/>
          </w:tcPr>
          <w:p w14:paraId="7CD2CBD9">
            <w:pPr>
              <w:widowControl/>
              <w:adjustRightInd w:val="0"/>
              <w:snapToGrid w:val="0"/>
              <w:jc w:val="center"/>
              <w:rPr>
                <w:rFonts w:hint="eastAsia" w:ascii="宋体" w:hAnsi="宋体" w:eastAsia="宋体" w:cs="宋体"/>
                <w:color w:val="auto"/>
                <w:sz w:val="24"/>
              </w:rPr>
            </w:pPr>
          </w:p>
        </w:tc>
      </w:tr>
    </w:tbl>
    <w:p w14:paraId="72A86B4A">
      <w:pPr>
        <w:autoSpaceDE w:val="0"/>
        <w:autoSpaceDN w:val="0"/>
        <w:adjustRightInd w:val="0"/>
        <w:snapToGrid w:val="0"/>
        <w:spacing w:line="360" w:lineRule="auto"/>
        <w:ind w:firstLine="482" w:firstLineChars="200"/>
        <w:jc w:val="left"/>
        <w:rPr>
          <w:rFonts w:hint="eastAsia" w:ascii="宋体" w:hAnsi="宋体" w:eastAsia="宋体" w:cs="宋体"/>
          <w:b/>
          <w:color w:val="auto"/>
          <w:sz w:val="24"/>
        </w:rPr>
      </w:pPr>
    </w:p>
    <w:tbl>
      <w:tblPr>
        <w:tblStyle w:val="7"/>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19"/>
        <w:gridCol w:w="985"/>
        <w:gridCol w:w="1416"/>
      </w:tblGrid>
      <w:tr w14:paraId="6EB08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3590" w:type="pct"/>
            <w:vAlign w:val="center"/>
          </w:tcPr>
          <w:p w14:paraId="09F636DD">
            <w:pPr>
              <w:pStyle w:val="10"/>
              <w:adjustRightInd w:val="0"/>
              <w:snapToGrid w:val="0"/>
              <w:spacing w:line="240" w:lineRule="auto"/>
              <w:ind w:firstLine="0" w:firstLineChars="0"/>
              <w:jc w:val="center"/>
              <w:rPr>
                <w:rFonts w:hint="eastAsia" w:ascii="宋体" w:hAnsi="宋体" w:eastAsia="宋体" w:cs="宋体"/>
                <w:b/>
                <w:color w:val="auto"/>
                <w:szCs w:val="24"/>
              </w:rPr>
            </w:pPr>
            <w:r>
              <w:rPr>
                <w:rFonts w:hint="eastAsia" w:ascii="宋体" w:hAnsi="宋体" w:eastAsia="宋体" w:cs="宋体"/>
                <w:b/>
                <w:color w:val="auto"/>
                <w:szCs w:val="24"/>
              </w:rPr>
              <w:t>采购内容</w:t>
            </w:r>
          </w:p>
        </w:tc>
        <w:tc>
          <w:tcPr>
            <w:tcW w:w="578" w:type="pct"/>
            <w:vAlign w:val="center"/>
          </w:tcPr>
          <w:p w14:paraId="10FC8014">
            <w:pPr>
              <w:pStyle w:val="10"/>
              <w:adjustRightInd w:val="0"/>
              <w:snapToGrid w:val="0"/>
              <w:spacing w:line="240" w:lineRule="auto"/>
              <w:ind w:firstLine="0" w:firstLineChars="0"/>
              <w:jc w:val="center"/>
              <w:rPr>
                <w:rFonts w:hint="eastAsia" w:ascii="宋体" w:hAnsi="宋体" w:eastAsia="宋体" w:cs="宋体"/>
                <w:b/>
                <w:color w:val="auto"/>
                <w:szCs w:val="24"/>
              </w:rPr>
            </w:pPr>
            <w:r>
              <w:rPr>
                <w:rFonts w:hint="eastAsia" w:ascii="宋体" w:hAnsi="宋体" w:eastAsia="宋体" w:cs="宋体"/>
                <w:b/>
                <w:color w:val="auto"/>
                <w:szCs w:val="24"/>
              </w:rPr>
              <w:t>数量</w:t>
            </w:r>
          </w:p>
        </w:tc>
        <w:tc>
          <w:tcPr>
            <w:tcW w:w="831" w:type="pct"/>
            <w:vAlign w:val="center"/>
          </w:tcPr>
          <w:p w14:paraId="43FA6DB3">
            <w:pPr>
              <w:pStyle w:val="10"/>
              <w:adjustRightInd w:val="0"/>
              <w:snapToGrid w:val="0"/>
              <w:spacing w:line="240" w:lineRule="auto"/>
              <w:ind w:firstLine="0" w:firstLineChars="0"/>
              <w:jc w:val="center"/>
              <w:rPr>
                <w:rFonts w:hint="eastAsia" w:ascii="宋体" w:hAnsi="宋体" w:eastAsia="宋体" w:cs="宋体"/>
                <w:b/>
                <w:color w:val="auto"/>
                <w:szCs w:val="24"/>
              </w:rPr>
            </w:pPr>
            <w:r>
              <w:rPr>
                <w:rFonts w:hint="eastAsia" w:ascii="宋体" w:hAnsi="宋体" w:eastAsia="宋体" w:cs="宋体"/>
                <w:b/>
                <w:color w:val="auto"/>
                <w:szCs w:val="24"/>
              </w:rPr>
              <w:t>服务期限</w:t>
            </w:r>
          </w:p>
        </w:tc>
      </w:tr>
      <w:tr w14:paraId="52F2F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3590" w:type="pct"/>
            <w:vAlign w:val="center"/>
          </w:tcPr>
          <w:p w14:paraId="54A2BC07">
            <w:pPr>
              <w:adjustRightInd w:val="0"/>
              <w:snapToGrid w:val="0"/>
              <w:jc w:val="center"/>
              <w:rPr>
                <w:rFonts w:hint="eastAsia" w:ascii="宋体" w:hAnsi="宋体" w:eastAsia="宋体" w:cs="宋体"/>
                <w:color w:val="auto"/>
                <w:sz w:val="24"/>
              </w:rPr>
            </w:pPr>
            <w:r>
              <w:rPr>
                <w:rFonts w:hint="eastAsia" w:ascii="宋体" w:hAnsi="宋体" w:eastAsia="宋体" w:cs="宋体"/>
                <w:color w:val="auto"/>
                <w:sz w:val="24"/>
              </w:rPr>
              <w:t>胚胎植入前单基因病检测项目（PGT-M）委托第三方检测服务</w:t>
            </w:r>
          </w:p>
        </w:tc>
        <w:tc>
          <w:tcPr>
            <w:tcW w:w="578" w:type="pct"/>
            <w:vAlign w:val="center"/>
          </w:tcPr>
          <w:p w14:paraId="7B944F7A">
            <w:pPr>
              <w:adjustRightInd w:val="0"/>
              <w:snapToGrid w:val="0"/>
              <w:jc w:val="center"/>
              <w:rPr>
                <w:rFonts w:hint="eastAsia" w:ascii="宋体" w:hAnsi="宋体" w:eastAsia="宋体" w:cs="宋体"/>
                <w:color w:val="auto"/>
                <w:sz w:val="24"/>
              </w:rPr>
            </w:pPr>
            <w:r>
              <w:rPr>
                <w:rFonts w:hint="eastAsia" w:ascii="宋体" w:hAnsi="宋体" w:eastAsia="宋体" w:cs="宋体"/>
                <w:color w:val="auto"/>
                <w:sz w:val="24"/>
              </w:rPr>
              <w:t>1</w:t>
            </w:r>
          </w:p>
        </w:tc>
        <w:tc>
          <w:tcPr>
            <w:tcW w:w="831" w:type="pct"/>
            <w:vAlign w:val="center"/>
          </w:tcPr>
          <w:p w14:paraId="66C05F23">
            <w:pPr>
              <w:adjustRightInd w:val="0"/>
              <w:snapToGrid w:val="0"/>
              <w:jc w:val="center"/>
              <w:rPr>
                <w:rFonts w:hint="eastAsia" w:ascii="宋体" w:hAnsi="宋体" w:eastAsia="宋体" w:cs="宋体"/>
                <w:color w:val="auto"/>
                <w:sz w:val="24"/>
              </w:rPr>
            </w:pPr>
            <w:r>
              <w:rPr>
                <w:rFonts w:hint="eastAsia" w:ascii="宋体" w:hAnsi="宋体" w:eastAsia="宋体" w:cs="宋体"/>
                <w:color w:val="auto"/>
                <w:sz w:val="24"/>
              </w:rPr>
              <w:t>2年</w:t>
            </w:r>
          </w:p>
        </w:tc>
      </w:tr>
    </w:tbl>
    <w:p w14:paraId="7DBFA7A9">
      <w:pPr>
        <w:autoSpaceDE w:val="0"/>
        <w:autoSpaceDN w:val="0"/>
        <w:adjustRightInd w:val="0"/>
        <w:snapToGrid w:val="0"/>
        <w:spacing w:line="360" w:lineRule="auto"/>
        <w:ind w:firstLine="482" w:firstLineChars="200"/>
        <w:jc w:val="left"/>
        <w:rPr>
          <w:rFonts w:hint="eastAsia" w:ascii="宋体" w:hAnsi="宋体" w:eastAsia="宋体" w:cs="宋体"/>
          <w:b/>
          <w:color w:val="auto"/>
          <w:sz w:val="24"/>
        </w:rPr>
      </w:pPr>
      <w:r>
        <w:rPr>
          <w:rFonts w:hint="eastAsia" w:ascii="宋体" w:hAnsi="宋体" w:eastAsia="宋体" w:cs="宋体"/>
          <w:b/>
          <w:color w:val="auto"/>
          <w:sz w:val="24"/>
        </w:rPr>
        <w:t>（二）管理需求：</w:t>
      </w:r>
    </w:p>
    <w:p w14:paraId="78E4B13D">
      <w:pPr>
        <w:pStyle w:val="12"/>
        <w:spacing w:line="360" w:lineRule="auto"/>
        <w:ind w:firstLine="480"/>
        <w:rPr>
          <w:rFonts w:hint="eastAsia" w:ascii="宋体" w:hAnsi="宋体" w:eastAsia="宋体" w:cs="宋体"/>
          <w:color w:val="auto"/>
          <w:sz w:val="24"/>
        </w:rPr>
      </w:pPr>
      <w:r>
        <w:rPr>
          <w:rFonts w:hint="eastAsia" w:ascii="宋体" w:hAnsi="宋体" w:eastAsia="宋体" w:cs="宋体"/>
          <w:color w:val="auto"/>
          <w:sz w:val="24"/>
        </w:rPr>
        <w:t>（1）供应商的实验室符合国家《医疗机构临床实验室管理办法》等法律法规要求。</w:t>
      </w:r>
    </w:p>
    <w:p w14:paraId="1B98FE45">
      <w:pPr>
        <w:pStyle w:val="12"/>
        <w:spacing w:line="360" w:lineRule="auto"/>
        <w:ind w:firstLine="480"/>
        <w:rPr>
          <w:rFonts w:hint="eastAsia" w:ascii="宋体" w:hAnsi="宋体" w:eastAsia="宋体" w:cs="宋体"/>
          <w:color w:val="auto"/>
          <w:sz w:val="24"/>
        </w:rPr>
      </w:pPr>
      <w:r>
        <w:rPr>
          <w:rFonts w:hint="eastAsia" w:ascii="宋体" w:hAnsi="宋体" w:eastAsia="宋体" w:cs="宋体"/>
          <w:color w:val="auto"/>
          <w:sz w:val="24"/>
        </w:rPr>
        <w:t>（2）供应商提供可靠的冷链物流服务，按双方约定要求收检标本。</w:t>
      </w:r>
    </w:p>
    <w:p w14:paraId="0AB1B4FD">
      <w:pPr>
        <w:pStyle w:val="12"/>
        <w:spacing w:line="360" w:lineRule="auto"/>
        <w:ind w:firstLine="480"/>
        <w:rPr>
          <w:rFonts w:hint="eastAsia" w:ascii="宋体" w:hAnsi="宋体" w:eastAsia="宋体" w:cs="宋体"/>
          <w:color w:val="auto"/>
          <w:sz w:val="24"/>
        </w:rPr>
      </w:pPr>
      <w:r>
        <w:rPr>
          <w:rFonts w:hint="eastAsia" w:ascii="宋体" w:hAnsi="宋体" w:eastAsia="宋体" w:cs="宋体"/>
          <w:color w:val="auto"/>
          <w:sz w:val="24"/>
        </w:rPr>
        <w:t>（3）供应商应配合支持信息系统对接，保障项目传输结果及时无误；安排专人负责采购人信息业务，及时解决信息故障。</w:t>
      </w:r>
    </w:p>
    <w:p w14:paraId="51F73C38">
      <w:pPr>
        <w:pStyle w:val="12"/>
        <w:spacing w:line="360" w:lineRule="auto"/>
        <w:ind w:firstLine="480"/>
        <w:rPr>
          <w:rFonts w:hint="eastAsia" w:ascii="宋体" w:hAnsi="宋体" w:eastAsia="宋体" w:cs="宋体"/>
          <w:color w:val="auto"/>
          <w:sz w:val="24"/>
        </w:rPr>
      </w:pPr>
      <w:r>
        <w:rPr>
          <w:rFonts w:hint="eastAsia" w:ascii="宋体" w:hAnsi="宋体" w:eastAsia="宋体" w:cs="宋体"/>
          <w:color w:val="auto"/>
          <w:sz w:val="24"/>
        </w:rPr>
        <w:t>（4）供应商具有符合生物安全管理标准的标本储存冷库，能够按采购人要求妥善保存、追溯及销毁检验后样本。</w:t>
      </w:r>
    </w:p>
    <w:p w14:paraId="46CADA3A">
      <w:pPr>
        <w:pStyle w:val="12"/>
        <w:spacing w:line="360" w:lineRule="auto"/>
        <w:ind w:firstLine="480"/>
        <w:rPr>
          <w:rFonts w:hint="eastAsia" w:ascii="宋体" w:hAnsi="宋体" w:eastAsia="宋体" w:cs="宋体"/>
          <w:color w:val="auto"/>
          <w:sz w:val="24"/>
        </w:rPr>
      </w:pPr>
      <w:r>
        <w:rPr>
          <w:rFonts w:hint="eastAsia" w:ascii="宋体" w:hAnsi="宋体" w:eastAsia="宋体" w:cs="宋体"/>
          <w:color w:val="auto"/>
          <w:sz w:val="24"/>
        </w:rPr>
        <w:t>（5）供应商保证按国家检验规范进行操作，并对标本的检验报告承担相应的责任。</w:t>
      </w:r>
    </w:p>
    <w:p w14:paraId="7B59A67B">
      <w:pPr>
        <w:pStyle w:val="12"/>
        <w:spacing w:line="360" w:lineRule="auto"/>
        <w:ind w:firstLine="480"/>
        <w:rPr>
          <w:rFonts w:hint="eastAsia" w:ascii="宋体" w:hAnsi="宋体" w:eastAsia="宋体" w:cs="宋体"/>
          <w:color w:val="auto"/>
          <w:sz w:val="24"/>
        </w:rPr>
      </w:pPr>
      <w:r>
        <w:rPr>
          <w:rFonts w:hint="eastAsia" w:ascii="宋体" w:hAnsi="宋体" w:eastAsia="宋体" w:cs="宋体"/>
          <w:color w:val="auto"/>
          <w:sz w:val="24"/>
        </w:rPr>
        <w:t>（6）供应商有为采购人保密的义务，未经同意不得泄露委托检验的项目、检验的内容、检验的结果。</w:t>
      </w:r>
    </w:p>
    <w:p w14:paraId="70DEE00B">
      <w:pPr>
        <w:pStyle w:val="12"/>
        <w:spacing w:line="360" w:lineRule="auto"/>
        <w:ind w:firstLine="480"/>
        <w:rPr>
          <w:rFonts w:hint="eastAsia" w:ascii="宋体" w:hAnsi="宋体" w:eastAsia="宋体" w:cs="宋体"/>
          <w:color w:val="auto"/>
          <w:sz w:val="24"/>
        </w:rPr>
      </w:pPr>
      <w:r>
        <w:rPr>
          <w:rFonts w:hint="eastAsia" w:ascii="宋体" w:hAnsi="宋体" w:eastAsia="宋体" w:cs="宋体"/>
          <w:color w:val="auto"/>
          <w:sz w:val="24"/>
        </w:rPr>
        <w:t>（7）检测样本、检测数据的所有权、使用权为采购人所有，未经许可不得挪作它用。</w:t>
      </w:r>
    </w:p>
    <w:p w14:paraId="42F2AA41">
      <w:pPr>
        <w:pStyle w:val="12"/>
        <w:spacing w:line="360" w:lineRule="auto"/>
        <w:ind w:firstLine="480"/>
        <w:rPr>
          <w:rFonts w:hint="eastAsia" w:ascii="宋体" w:hAnsi="宋体" w:eastAsia="宋体" w:cs="宋体"/>
          <w:color w:val="auto"/>
          <w:sz w:val="24"/>
        </w:rPr>
      </w:pPr>
      <w:r>
        <w:rPr>
          <w:rFonts w:hint="eastAsia" w:ascii="宋体" w:hAnsi="宋体" w:eastAsia="宋体" w:cs="宋体"/>
          <w:color w:val="auto"/>
          <w:sz w:val="24"/>
        </w:rPr>
        <w:t>（8）供应商保证检验结果的公正性，不受任何诱使或压力的干扰。</w:t>
      </w:r>
    </w:p>
    <w:p w14:paraId="6AFD7A95">
      <w:pPr>
        <w:pStyle w:val="12"/>
        <w:spacing w:line="360" w:lineRule="auto"/>
        <w:ind w:firstLine="480"/>
        <w:rPr>
          <w:rFonts w:hint="eastAsia" w:ascii="宋体" w:hAnsi="宋体" w:eastAsia="宋体" w:cs="宋体"/>
          <w:color w:val="auto"/>
          <w:sz w:val="24"/>
        </w:rPr>
      </w:pPr>
      <w:r>
        <w:rPr>
          <w:rFonts w:hint="eastAsia" w:ascii="宋体" w:hAnsi="宋体" w:eastAsia="宋体" w:cs="宋体"/>
          <w:color w:val="auto"/>
          <w:sz w:val="24"/>
        </w:rPr>
        <w:t>（9）供应商未经采购人同意，受委托实验室不得私自向临床医生推广项目或其他形式的引导推荐行为，不得私自收受临床科室送检的标本。</w:t>
      </w:r>
    </w:p>
    <w:p w14:paraId="12624A2D">
      <w:pPr>
        <w:pStyle w:val="12"/>
        <w:spacing w:line="360" w:lineRule="auto"/>
        <w:ind w:firstLine="482"/>
        <w:rPr>
          <w:rFonts w:hint="eastAsia" w:ascii="宋体" w:hAnsi="宋体" w:eastAsia="宋体" w:cs="宋体"/>
          <w:b/>
          <w:color w:val="auto"/>
          <w:sz w:val="24"/>
        </w:rPr>
      </w:pPr>
      <w:r>
        <w:rPr>
          <w:rFonts w:hint="eastAsia" w:ascii="宋体" w:hAnsi="宋体" w:eastAsia="宋体" w:cs="宋体"/>
          <w:b/>
          <w:color w:val="auto"/>
          <w:sz w:val="24"/>
        </w:rPr>
        <w:t>（三）质量需求：</w:t>
      </w:r>
    </w:p>
    <w:p w14:paraId="35231D37">
      <w:pPr>
        <w:pStyle w:val="12"/>
        <w:spacing w:line="360" w:lineRule="auto"/>
        <w:ind w:firstLine="480"/>
        <w:rPr>
          <w:rFonts w:hint="eastAsia" w:ascii="宋体" w:hAnsi="宋体" w:eastAsia="宋体" w:cs="宋体"/>
          <w:color w:val="auto"/>
          <w:sz w:val="24"/>
        </w:rPr>
      </w:pPr>
      <w:r>
        <w:rPr>
          <w:rFonts w:hint="eastAsia" w:ascii="宋体" w:hAnsi="宋体" w:eastAsia="宋体" w:cs="宋体"/>
          <w:color w:val="auto"/>
          <w:sz w:val="24"/>
        </w:rPr>
        <w:t>（1）飞行检查：能接受采购人实验室组织的飞行检查、现场督查等。</w:t>
      </w:r>
    </w:p>
    <w:p w14:paraId="3885DF6D">
      <w:pPr>
        <w:pStyle w:val="12"/>
        <w:spacing w:line="360" w:lineRule="auto"/>
        <w:ind w:firstLine="480"/>
        <w:rPr>
          <w:rFonts w:hint="eastAsia" w:ascii="宋体" w:hAnsi="宋体" w:eastAsia="宋体" w:cs="宋体"/>
          <w:color w:val="auto"/>
          <w:sz w:val="24"/>
        </w:rPr>
      </w:pPr>
      <w:r>
        <w:rPr>
          <w:rFonts w:hint="eastAsia" w:ascii="宋体" w:hAnsi="宋体" w:eastAsia="宋体" w:cs="宋体"/>
          <w:color w:val="auto"/>
          <w:sz w:val="24"/>
        </w:rPr>
        <w:t>（2）检测前样本分析：对外送样本的检测前质量进行定期评估，确保样本质量，并定期反馈给采购人，供应商须向采购人使用科室提供检测前样本处理培训。</w:t>
      </w:r>
    </w:p>
    <w:p w14:paraId="3B574745">
      <w:pPr>
        <w:pStyle w:val="12"/>
        <w:spacing w:line="360" w:lineRule="auto"/>
        <w:ind w:firstLine="480"/>
        <w:rPr>
          <w:rFonts w:hint="eastAsia" w:ascii="宋体" w:hAnsi="宋体" w:eastAsia="宋体" w:cs="宋体"/>
          <w:color w:val="auto"/>
          <w:sz w:val="24"/>
        </w:rPr>
      </w:pPr>
      <w:r>
        <w:rPr>
          <w:rFonts w:hint="eastAsia" w:ascii="宋体" w:hAnsi="宋体" w:eastAsia="宋体" w:cs="宋体"/>
          <w:color w:val="auto"/>
          <w:sz w:val="24"/>
        </w:rPr>
        <w:t>（3）主要检测项目采用仪器、配套试剂具有注册证或备案证。</w:t>
      </w:r>
    </w:p>
    <w:p w14:paraId="58C6A39C">
      <w:pPr>
        <w:pStyle w:val="12"/>
        <w:spacing w:line="360" w:lineRule="auto"/>
        <w:ind w:firstLine="480"/>
        <w:rPr>
          <w:rFonts w:hint="eastAsia" w:ascii="宋体" w:hAnsi="宋体" w:eastAsia="宋体" w:cs="宋体"/>
          <w:color w:val="auto"/>
          <w:sz w:val="24"/>
        </w:rPr>
      </w:pPr>
      <w:r>
        <w:rPr>
          <w:rFonts w:hint="eastAsia" w:ascii="宋体" w:hAnsi="宋体" w:eastAsia="宋体" w:cs="宋体"/>
          <w:color w:val="auto"/>
          <w:sz w:val="24"/>
        </w:rPr>
        <w:t>（4）性能验证：定期对检测项目进行性能验证，确保仪器、试剂、方法科学可靠稳定。</w:t>
      </w:r>
    </w:p>
    <w:p w14:paraId="5D3F84AC">
      <w:pPr>
        <w:pStyle w:val="12"/>
        <w:spacing w:line="360" w:lineRule="auto"/>
        <w:ind w:firstLine="480"/>
        <w:rPr>
          <w:rFonts w:hint="eastAsia" w:ascii="宋体" w:hAnsi="宋体" w:eastAsia="宋体" w:cs="宋体"/>
          <w:color w:val="auto"/>
          <w:sz w:val="24"/>
        </w:rPr>
      </w:pPr>
      <w:r>
        <w:rPr>
          <w:rFonts w:hint="eastAsia" w:ascii="宋体" w:hAnsi="宋体" w:eastAsia="宋体" w:cs="宋体"/>
          <w:color w:val="auto"/>
          <w:sz w:val="24"/>
        </w:rPr>
        <w:t>（5）规范操作：按有关要求完成相关项目检测方法和SOP的建立，实验操作严格按照SOP规范步骤实施。</w:t>
      </w:r>
    </w:p>
    <w:p w14:paraId="687D5D1A">
      <w:pPr>
        <w:pStyle w:val="12"/>
        <w:spacing w:line="360" w:lineRule="auto"/>
        <w:ind w:firstLine="480"/>
        <w:rPr>
          <w:rFonts w:hint="eastAsia" w:ascii="宋体" w:hAnsi="宋体" w:eastAsia="宋体" w:cs="宋体"/>
          <w:color w:val="auto"/>
          <w:sz w:val="24"/>
        </w:rPr>
      </w:pPr>
      <w:r>
        <w:rPr>
          <w:rFonts w:hint="eastAsia" w:ascii="宋体" w:hAnsi="宋体" w:eastAsia="宋体" w:cs="宋体"/>
          <w:color w:val="auto"/>
          <w:sz w:val="24"/>
        </w:rPr>
        <w:t>（6）供应商专门有仪器管理员，联络各厂商，负责仪器定期保养、维护、校准，确保所有仪器设备正常有序运转。</w:t>
      </w:r>
    </w:p>
    <w:p w14:paraId="3DF0C782">
      <w:pPr>
        <w:pStyle w:val="12"/>
        <w:spacing w:line="360" w:lineRule="auto"/>
        <w:ind w:firstLine="480"/>
        <w:rPr>
          <w:rFonts w:hint="eastAsia" w:ascii="宋体" w:hAnsi="宋体" w:eastAsia="宋体" w:cs="宋体"/>
          <w:color w:val="auto"/>
          <w:sz w:val="24"/>
        </w:rPr>
      </w:pPr>
      <w:r>
        <w:rPr>
          <w:rFonts w:hint="eastAsia" w:ascii="宋体" w:hAnsi="宋体" w:eastAsia="宋体" w:cs="宋体"/>
          <w:color w:val="auto"/>
          <w:sz w:val="24"/>
        </w:rPr>
        <w:t>（7）实行审核制度，所有报告均需检验人员、主管审核后方能发布。</w:t>
      </w:r>
    </w:p>
    <w:p w14:paraId="3E4A7163">
      <w:pPr>
        <w:pStyle w:val="12"/>
        <w:spacing w:line="360" w:lineRule="auto"/>
        <w:ind w:firstLine="480"/>
        <w:rPr>
          <w:rFonts w:hint="eastAsia" w:ascii="宋体" w:hAnsi="宋体" w:eastAsia="宋体" w:cs="宋体"/>
          <w:color w:val="auto"/>
          <w:sz w:val="24"/>
        </w:rPr>
      </w:pPr>
      <w:r>
        <w:rPr>
          <w:rFonts w:hint="eastAsia" w:ascii="宋体" w:hAnsi="宋体" w:eastAsia="宋体" w:cs="宋体"/>
          <w:color w:val="auto"/>
          <w:sz w:val="24"/>
        </w:rPr>
        <w:t>（8）所有检测样本保留一年或以上，并按要求全部返样。</w:t>
      </w:r>
    </w:p>
    <w:p w14:paraId="6B1D14C8">
      <w:pPr>
        <w:pStyle w:val="12"/>
        <w:spacing w:line="360" w:lineRule="auto"/>
        <w:ind w:firstLine="480"/>
        <w:rPr>
          <w:rFonts w:hint="eastAsia" w:ascii="宋体" w:hAnsi="宋体" w:eastAsia="宋体" w:cs="宋体"/>
          <w:color w:val="auto"/>
          <w:sz w:val="24"/>
        </w:rPr>
      </w:pPr>
      <w:r>
        <w:rPr>
          <w:rFonts w:hint="eastAsia" w:ascii="宋体" w:hAnsi="宋体" w:eastAsia="宋体" w:cs="宋体"/>
          <w:color w:val="auto"/>
          <w:sz w:val="24"/>
        </w:rPr>
        <w:t>（9）供应商应提供每个检测样本的质控数据，包含接收样本的温度质控、检测过程中质控、数据分析质控等。</w:t>
      </w:r>
    </w:p>
    <w:p w14:paraId="2250B7C1">
      <w:pPr>
        <w:pStyle w:val="12"/>
        <w:spacing w:line="360" w:lineRule="auto"/>
        <w:ind w:firstLine="480"/>
        <w:rPr>
          <w:rFonts w:hint="eastAsia" w:ascii="宋体" w:hAnsi="宋体" w:eastAsia="宋体" w:cs="宋体"/>
          <w:color w:val="auto"/>
          <w:sz w:val="24"/>
        </w:rPr>
      </w:pPr>
      <w:r>
        <w:rPr>
          <w:rFonts w:hint="eastAsia" w:ascii="宋体" w:hAnsi="宋体" w:eastAsia="宋体" w:cs="宋体"/>
          <w:color w:val="auto"/>
          <w:sz w:val="24"/>
        </w:rPr>
        <w:t>（10）供应商应提供检测项目检测结果的原始数据数字化文件。</w:t>
      </w:r>
    </w:p>
    <w:p w14:paraId="480F9ECC">
      <w:pPr>
        <w:pStyle w:val="12"/>
        <w:spacing w:line="360" w:lineRule="auto"/>
        <w:ind w:firstLine="480"/>
        <w:rPr>
          <w:rFonts w:hint="eastAsia" w:ascii="宋体" w:hAnsi="宋体" w:eastAsia="宋体" w:cs="宋体"/>
          <w:color w:val="auto"/>
          <w:sz w:val="24"/>
        </w:rPr>
      </w:pPr>
      <w:r>
        <w:rPr>
          <w:rFonts w:hint="eastAsia" w:ascii="宋体" w:hAnsi="宋体" w:eastAsia="宋体" w:cs="宋体"/>
          <w:color w:val="auto"/>
          <w:sz w:val="24"/>
        </w:rPr>
        <w:t>（11）对可疑结果进行复核时，要求送第三方实验室进行比对，保证结果的准确无误，费用由供应商承担。</w:t>
      </w:r>
    </w:p>
    <w:p w14:paraId="589CDB27">
      <w:pPr>
        <w:pStyle w:val="12"/>
        <w:spacing w:line="360" w:lineRule="auto"/>
        <w:ind w:firstLine="482"/>
        <w:rPr>
          <w:rFonts w:hint="eastAsia" w:ascii="宋体" w:hAnsi="宋体" w:eastAsia="宋体" w:cs="宋体"/>
          <w:b/>
          <w:color w:val="auto"/>
          <w:sz w:val="24"/>
        </w:rPr>
      </w:pPr>
      <w:r>
        <w:rPr>
          <w:rFonts w:hint="eastAsia" w:ascii="宋体" w:hAnsi="宋体" w:eastAsia="宋体" w:cs="宋体"/>
          <w:b/>
          <w:color w:val="auto"/>
          <w:sz w:val="24"/>
        </w:rPr>
        <w:t>（四）服务需求</w:t>
      </w:r>
    </w:p>
    <w:p w14:paraId="243D37AD">
      <w:pPr>
        <w:pStyle w:val="12"/>
        <w:spacing w:line="360" w:lineRule="auto"/>
        <w:ind w:firstLine="480"/>
        <w:rPr>
          <w:rFonts w:hint="eastAsia" w:ascii="宋体" w:hAnsi="宋体" w:eastAsia="宋体" w:cs="宋体"/>
          <w:color w:val="auto"/>
          <w:sz w:val="24"/>
        </w:rPr>
      </w:pPr>
      <w:r>
        <w:rPr>
          <w:rFonts w:hint="eastAsia" w:ascii="宋体" w:hAnsi="宋体" w:eastAsia="宋体" w:cs="宋体"/>
          <w:color w:val="auto"/>
          <w:sz w:val="24"/>
        </w:rPr>
        <w:t>（1）样本运输要求：</w:t>
      </w:r>
    </w:p>
    <w:p w14:paraId="3E5146F2">
      <w:pPr>
        <w:pStyle w:val="12"/>
        <w:spacing w:line="360" w:lineRule="auto"/>
        <w:ind w:firstLine="480"/>
        <w:rPr>
          <w:rFonts w:hint="eastAsia" w:ascii="宋体" w:hAnsi="宋体" w:eastAsia="宋体" w:cs="宋体"/>
          <w:color w:val="auto"/>
          <w:sz w:val="24"/>
        </w:rPr>
      </w:pPr>
      <w:r>
        <w:rPr>
          <w:rFonts w:hint="eastAsia" w:ascii="宋体" w:hAnsi="宋体" w:eastAsia="宋体" w:cs="宋体"/>
          <w:color w:val="auto"/>
          <w:sz w:val="24"/>
        </w:rPr>
        <w:t>①供应商派专人到指定地点接收并保证受委托检验标本冷链物流运输，若发现问题需及时与采购人沟通解决。</w:t>
      </w:r>
    </w:p>
    <w:p w14:paraId="5C41905D">
      <w:pPr>
        <w:pStyle w:val="12"/>
        <w:spacing w:line="360" w:lineRule="auto"/>
        <w:ind w:firstLine="480"/>
        <w:rPr>
          <w:rFonts w:hint="eastAsia" w:ascii="宋体" w:hAnsi="宋体" w:eastAsia="宋体" w:cs="宋体"/>
          <w:color w:val="auto"/>
          <w:sz w:val="24"/>
        </w:rPr>
      </w:pPr>
      <w:r>
        <w:rPr>
          <w:rFonts w:hint="eastAsia" w:ascii="宋体" w:hAnsi="宋体" w:eastAsia="宋体" w:cs="宋体"/>
          <w:color w:val="auto"/>
          <w:sz w:val="24"/>
        </w:rPr>
        <w:t>②一般样本72小时内送达委托检测机构，供应商上门收取标本。特殊项目按采购人要求时间运输到委托机构，具体按项目协商。</w:t>
      </w:r>
    </w:p>
    <w:p w14:paraId="34315BB9">
      <w:pPr>
        <w:pStyle w:val="12"/>
        <w:spacing w:line="360" w:lineRule="auto"/>
        <w:ind w:firstLine="480"/>
        <w:rPr>
          <w:rFonts w:hint="eastAsia" w:ascii="宋体" w:hAnsi="宋体" w:eastAsia="宋体" w:cs="宋体"/>
          <w:color w:val="auto"/>
          <w:sz w:val="24"/>
        </w:rPr>
      </w:pPr>
      <w:r>
        <w:rPr>
          <w:rFonts w:hint="eastAsia" w:ascii="宋体" w:hAnsi="宋体" w:eastAsia="宋体" w:cs="宋体"/>
          <w:color w:val="auto"/>
          <w:sz w:val="24"/>
        </w:rPr>
        <w:t>③样本运输要求直立、冷藏、封闭，符合《GB/T28577-2021冷链物流分类与基本要求》与生物安全要求，确保运输过程的样品质量和环境安全。可保证冷藏、冷冻、常温三种温度的运输要求。同时设有温度监视装置，实时监测箱内温度，保证样本检测前的运输质量控制。对于有特殊要求的样本视具体项目与采购人商定。</w:t>
      </w:r>
    </w:p>
    <w:p w14:paraId="1554C51E">
      <w:pPr>
        <w:pStyle w:val="12"/>
        <w:spacing w:line="360" w:lineRule="auto"/>
        <w:ind w:firstLine="480"/>
        <w:rPr>
          <w:rFonts w:hint="eastAsia" w:ascii="宋体" w:hAnsi="宋体" w:eastAsia="宋体" w:cs="宋体"/>
          <w:color w:val="auto"/>
          <w:sz w:val="24"/>
        </w:rPr>
      </w:pPr>
      <w:r>
        <w:rPr>
          <w:rFonts w:hint="eastAsia" w:ascii="宋体" w:hAnsi="宋体" w:eastAsia="宋体" w:cs="宋体"/>
          <w:color w:val="auto"/>
          <w:sz w:val="24"/>
        </w:rPr>
        <w:t>④供应商接收后不合格样本率＜1‰。</w:t>
      </w:r>
    </w:p>
    <w:p w14:paraId="260E25BD">
      <w:pPr>
        <w:pStyle w:val="12"/>
        <w:spacing w:line="360" w:lineRule="auto"/>
        <w:ind w:firstLine="480"/>
        <w:rPr>
          <w:rFonts w:hint="eastAsia" w:ascii="宋体" w:hAnsi="宋体" w:eastAsia="宋体" w:cs="宋体"/>
          <w:color w:val="auto"/>
          <w:sz w:val="24"/>
        </w:rPr>
      </w:pPr>
      <w:r>
        <w:rPr>
          <w:rFonts w:hint="eastAsia" w:ascii="宋体" w:hAnsi="宋体" w:eastAsia="宋体" w:cs="宋体"/>
          <w:color w:val="auto"/>
          <w:sz w:val="24"/>
        </w:rPr>
        <w:t>（2）样本周转时间（TAT）要求：</w:t>
      </w:r>
    </w:p>
    <w:p w14:paraId="52676FAA">
      <w:pPr>
        <w:pStyle w:val="12"/>
        <w:spacing w:line="360" w:lineRule="auto"/>
        <w:ind w:firstLine="480"/>
        <w:rPr>
          <w:rFonts w:hint="eastAsia" w:ascii="宋体" w:hAnsi="宋体" w:eastAsia="宋体" w:cs="宋体"/>
          <w:color w:val="auto"/>
          <w:sz w:val="24"/>
        </w:rPr>
      </w:pPr>
      <w:r>
        <w:rPr>
          <w:rFonts w:hint="eastAsia" w:ascii="宋体" w:hAnsi="宋体" w:eastAsia="宋体" w:cs="宋体"/>
          <w:color w:val="auto"/>
          <w:sz w:val="24"/>
        </w:rPr>
        <w:t>①样本周转时间起点为供应商接收样本，检验样本终点为采购人收到检验数据或报告。</w:t>
      </w:r>
    </w:p>
    <w:p w14:paraId="461072AE">
      <w:pPr>
        <w:pStyle w:val="12"/>
        <w:spacing w:line="360" w:lineRule="auto"/>
        <w:ind w:firstLine="480"/>
        <w:rPr>
          <w:rFonts w:hint="eastAsia" w:ascii="宋体" w:hAnsi="宋体" w:eastAsia="宋体" w:cs="宋体"/>
          <w:color w:val="auto"/>
          <w:sz w:val="24"/>
        </w:rPr>
      </w:pPr>
      <w:r>
        <w:rPr>
          <w:rFonts w:hint="eastAsia" w:ascii="宋体" w:hAnsi="宋体" w:eastAsia="宋体" w:cs="宋体"/>
          <w:color w:val="auto"/>
          <w:sz w:val="24"/>
        </w:rPr>
        <w:t>②分子生物学项目检测TAT时间不长于20个工作日，有特殊要求的项目、检测周期较长的项目视具体情况与采购人协商。</w:t>
      </w:r>
    </w:p>
    <w:p w14:paraId="5CEF7BD7">
      <w:pPr>
        <w:pStyle w:val="12"/>
        <w:spacing w:line="360" w:lineRule="auto"/>
        <w:ind w:firstLine="480"/>
        <w:rPr>
          <w:rFonts w:hint="eastAsia" w:ascii="宋体" w:hAnsi="宋体" w:eastAsia="宋体" w:cs="宋体"/>
          <w:color w:val="auto"/>
          <w:sz w:val="24"/>
        </w:rPr>
      </w:pPr>
      <w:r>
        <w:rPr>
          <w:rFonts w:hint="eastAsia" w:ascii="宋体" w:hAnsi="宋体" w:eastAsia="宋体" w:cs="宋体"/>
          <w:color w:val="auto"/>
          <w:sz w:val="24"/>
        </w:rPr>
        <w:t>③报告延误率＜1/1000。</w:t>
      </w:r>
    </w:p>
    <w:p w14:paraId="0739251D">
      <w:pPr>
        <w:pStyle w:val="12"/>
        <w:spacing w:line="360" w:lineRule="auto"/>
        <w:ind w:firstLine="480"/>
        <w:rPr>
          <w:rFonts w:hint="eastAsia" w:ascii="宋体" w:hAnsi="宋体" w:eastAsia="宋体" w:cs="宋体"/>
          <w:color w:val="auto"/>
          <w:sz w:val="24"/>
        </w:rPr>
      </w:pPr>
      <w:r>
        <w:rPr>
          <w:rFonts w:hint="eastAsia" w:ascii="宋体" w:hAnsi="宋体" w:eastAsia="宋体" w:cs="宋体"/>
          <w:color w:val="auto"/>
          <w:sz w:val="24"/>
        </w:rPr>
        <w:t>④按采购人要求，供应商随时提供委托项目的样本周转时间（TAT）分析，对于采购人提出的要求及时反馈并更正。</w:t>
      </w:r>
    </w:p>
    <w:p w14:paraId="2FB60419">
      <w:pPr>
        <w:pStyle w:val="12"/>
        <w:spacing w:line="360" w:lineRule="auto"/>
        <w:ind w:firstLine="480"/>
        <w:rPr>
          <w:rFonts w:hint="eastAsia" w:ascii="宋体" w:hAnsi="宋体" w:eastAsia="宋体" w:cs="宋体"/>
          <w:color w:val="auto"/>
          <w:sz w:val="24"/>
        </w:rPr>
      </w:pPr>
      <w:r>
        <w:rPr>
          <w:rFonts w:hint="eastAsia" w:ascii="宋体" w:hAnsi="宋体" w:eastAsia="宋体" w:cs="宋体"/>
          <w:color w:val="auto"/>
          <w:sz w:val="24"/>
        </w:rPr>
        <w:t>（3）标本保存要求：</w:t>
      </w:r>
    </w:p>
    <w:p w14:paraId="59DDB3E8">
      <w:pPr>
        <w:pStyle w:val="12"/>
        <w:spacing w:line="360" w:lineRule="auto"/>
        <w:ind w:firstLine="480"/>
        <w:rPr>
          <w:rFonts w:hint="eastAsia" w:ascii="宋体" w:hAnsi="宋体" w:eastAsia="宋体" w:cs="宋体"/>
          <w:color w:val="auto"/>
          <w:sz w:val="24"/>
        </w:rPr>
      </w:pPr>
      <w:r>
        <w:rPr>
          <w:rFonts w:hint="eastAsia" w:ascii="宋体" w:hAnsi="宋体" w:eastAsia="宋体" w:cs="宋体"/>
          <w:color w:val="auto"/>
          <w:sz w:val="24"/>
        </w:rPr>
        <w:t>供应商具有符合生物安全管理标准的标本储存冷库，能够按采购人要求妥善保存、追溯及销毁检验后样本；所有送测标本需保存不少于7天备查。</w:t>
      </w:r>
    </w:p>
    <w:p w14:paraId="23AAA849">
      <w:pPr>
        <w:pStyle w:val="12"/>
        <w:spacing w:line="360" w:lineRule="auto"/>
        <w:ind w:firstLine="482"/>
        <w:rPr>
          <w:rFonts w:hint="eastAsia" w:ascii="宋体" w:hAnsi="宋体" w:eastAsia="宋体" w:cs="宋体"/>
          <w:b/>
          <w:bCs/>
          <w:color w:val="auto"/>
          <w:sz w:val="24"/>
        </w:rPr>
      </w:pPr>
      <w:r>
        <w:rPr>
          <w:rFonts w:hint="eastAsia" w:ascii="宋体" w:hAnsi="宋体" w:eastAsia="宋体" w:cs="宋体"/>
          <w:b/>
          <w:bCs/>
          <w:color w:val="auto"/>
          <w:sz w:val="24"/>
        </w:rPr>
        <w:t>（五）技术需求</w:t>
      </w:r>
    </w:p>
    <w:p w14:paraId="54370903">
      <w:pPr>
        <w:widowControl/>
        <w:adjustRightInd w:val="0"/>
        <w:snapToGrid w:val="0"/>
        <w:spacing w:line="360" w:lineRule="auto"/>
        <w:ind w:firstLine="482" w:firstLineChars="200"/>
        <w:jc w:val="left"/>
        <w:rPr>
          <w:rFonts w:hint="eastAsia" w:ascii="宋体" w:hAnsi="宋体" w:eastAsia="宋体" w:cs="宋体"/>
          <w:b/>
          <w:color w:val="auto"/>
          <w:kern w:val="0"/>
          <w:sz w:val="24"/>
          <w:lang w:bidi="ar"/>
        </w:rPr>
      </w:pPr>
      <w:r>
        <w:rPr>
          <w:rFonts w:hint="eastAsia" w:ascii="宋体" w:hAnsi="宋体" w:eastAsia="宋体" w:cs="宋体"/>
          <w:b/>
          <w:color w:val="auto"/>
          <w:kern w:val="0"/>
          <w:sz w:val="24"/>
          <w:lang w:bidi="ar"/>
        </w:rPr>
        <w:t>PGT-M胚胎植入前单基因病检测项目参数要求</w:t>
      </w:r>
    </w:p>
    <w:p w14:paraId="3973A724">
      <w:pPr>
        <w:pStyle w:val="11"/>
        <w:adjustRightInd w:val="0"/>
        <w:snapToGrid w:val="0"/>
        <w:spacing w:line="360" w:lineRule="auto"/>
        <w:ind w:firstLine="480"/>
        <w:jc w:val="left"/>
        <w:rPr>
          <w:rFonts w:hint="eastAsia" w:ascii="宋体" w:hAnsi="宋体" w:eastAsia="宋体" w:cs="宋体"/>
          <w:color w:val="auto"/>
          <w:sz w:val="24"/>
          <w:szCs w:val="24"/>
        </w:rPr>
      </w:pPr>
      <w:r>
        <w:rPr>
          <w:rFonts w:hint="eastAsia" w:ascii="宋体" w:hAnsi="宋体" w:eastAsia="宋体" w:cs="宋体"/>
          <w:color w:val="auto"/>
          <w:sz w:val="24"/>
        </w:rPr>
        <w:t>（1）</w:t>
      </w:r>
      <w:r>
        <w:rPr>
          <w:rFonts w:hint="eastAsia" w:ascii="宋体" w:hAnsi="宋体" w:eastAsia="宋体" w:cs="宋体"/>
          <w:color w:val="auto"/>
          <w:sz w:val="24"/>
          <w:szCs w:val="24"/>
        </w:rPr>
        <w:t>检测内容及分辨率：</w:t>
      </w:r>
    </w:p>
    <w:p w14:paraId="669B9426">
      <w:pPr>
        <w:pStyle w:val="11"/>
        <w:adjustRightInd w:val="0"/>
        <w:snapToGrid w:val="0"/>
        <w:spacing w:line="360" w:lineRule="auto"/>
        <w:ind w:firstLine="480"/>
        <w:jc w:val="left"/>
        <w:rPr>
          <w:rFonts w:hint="eastAsia" w:ascii="宋体" w:hAnsi="宋体" w:eastAsia="宋体" w:cs="宋体"/>
          <w:color w:val="auto"/>
          <w:sz w:val="24"/>
          <w:szCs w:val="24"/>
        </w:rPr>
      </w:pPr>
      <w:r>
        <w:rPr>
          <w:rFonts w:hint="eastAsia" w:ascii="宋体" w:hAnsi="宋体" w:eastAsia="宋体" w:cs="宋体"/>
          <w:color w:val="auto"/>
          <w:sz w:val="24"/>
        </w:rPr>
        <w:t xml:space="preserve">① </w:t>
      </w:r>
      <w:r>
        <w:rPr>
          <w:rFonts w:hint="eastAsia" w:ascii="宋体" w:hAnsi="宋体" w:eastAsia="宋体" w:cs="宋体"/>
          <w:color w:val="auto"/>
          <w:sz w:val="24"/>
          <w:szCs w:val="24"/>
        </w:rPr>
        <w:t>检测内容：</w:t>
      </w:r>
    </w:p>
    <w:p w14:paraId="7A1DE080">
      <w:pPr>
        <w:widowControl/>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a）家系预实验分析：提供男女双方及先证者或男女双方及其双方父母进行致病位点的验证，及利用单核苷酸多态性（SNP）或短串联重复序列（STR)构建单倍型；通过检测单精子、极体或其他特殊样本对于新发突变或家系不全的单基因病家系提供解决方案。</w:t>
      </w:r>
    </w:p>
    <w:p w14:paraId="725D78B6">
      <w:pPr>
        <w:widowControl/>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 xml:space="preserve">b）胚胎单基因病分子遗传检测：对胚胎样本进行致病位点直接检测，检测胚胎样本是否携带致病位点；对胚胎样本进行SNP或STR连锁分析，检测胚胎样本是否携带致病位点；确保结果的准确性。 </w:t>
      </w:r>
    </w:p>
    <w:p w14:paraId="1740680B">
      <w:pPr>
        <w:pStyle w:val="11"/>
        <w:adjustRightInd w:val="0"/>
        <w:snapToGrid w:val="0"/>
        <w:spacing w:line="360" w:lineRule="auto"/>
        <w:ind w:firstLine="480"/>
        <w:jc w:val="left"/>
        <w:rPr>
          <w:rFonts w:hint="eastAsia" w:ascii="宋体" w:hAnsi="宋体" w:eastAsia="宋体" w:cs="宋体"/>
          <w:color w:val="auto"/>
          <w:sz w:val="24"/>
          <w:szCs w:val="24"/>
        </w:rPr>
      </w:pPr>
      <w:r>
        <w:rPr>
          <w:rFonts w:hint="eastAsia" w:ascii="宋体" w:hAnsi="宋体" w:eastAsia="宋体" w:cs="宋体"/>
          <w:color w:val="auto"/>
          <w:sz w:val="24"/>
        </w:rPr>
        <w:t xml:space="preserve">② </w:t>
      </w:r>
      <w:r>
        <w:rPr>
          <w:rFonts w:hint="eastAsia" w:ascii="宋体" w:hAnsi="宋体" w:eastAsia="宋体" w:cs="宋体"/>
          <w:color w:val="auto"/>
          <w:sz w:val="24"/>
          <w:szCs w:val="24"/>
        </w:rPr>
        <w:t>检测分辨率：</w:t>
      </w:r>
    </w:p>
    <w:p w14:paraId="18395580">
      <w:pPr>
        <w:widowControl/>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a）同时检测胚胎样本23对染色体的数目异常及4M以上的缺失、重复，≥30%的胚胎嵌合体异常嵌合；</w:t>
      </w:r>
    </w:p>
    <w:p w14:paraId="7EDF9630">
      <w:pPr>
        <w:widowControl/>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b）致病基因上下游 1M 内有效SNP为位点＞100个，特殊基因如CYP21A2基因SNP 总数量＞430个，HLA基因SNP总数量＞430个，HBA基因SNP总数量＞400个，需提供检测报告。</w:t>
      </w:r>
    </w:p>
    <w:p w14:paraId="1EBF3C34">
      <w:pPr>
        <w:pStyle w:val="11"/>
        <w:adjustRightInd w:val="0"/>
        <w:snapToGrid w:val="0"/>
        <w:spacing w:line="360" w:lineRule="auto"/>
        <w:ind w:firstLine="480"/>
        <w:jc w:val="left"/>
        <w:rPr>
          <w:rFonts w:hint="eastAsia" w:ascii="宋体" w:hAnsi="宋体" w:eastAsia="宋体" w:cs="宋体"/>
          <w:color w:val="auto"/>
          <w:sz w:val="24"/>
          <w:szCs w:val="24"/>
        </w:rPr>
      </w:pPr>
      <w:r>
        <w:rPr>
          <w:rFonts w:hint="eastAsia" w:ascii="宋体" w:hAnsi="宋体" w:eastAsia="宋体" w:cs="宋体"/>
          <w:color w:val="auto"/>
          <w:sz w:val="24"/>
          <w:szCs w:val="24"/>
        </w:rPr>
        <w:t>（2）检测技术：</w:t>
      </w:r>
    </w:p>
    <w:p w14:paraId="4007610E">
      <w:pPr>
        <w:pStyle w:val="11"/>
        <w:adjustRightInd w:val="0"/>
        <w:snapToGrid w:val="0"/>
        <w:spacing w:line="360" w:lineRule="auto"/>
        <w:ind w:firstLine="480"/>
        <w:jc w:val="left"/>
        <w:rPr>
          <w:rFonts w:hint="eastAsia" w:ascii="宋体" w:hAnsi="宋体" w:eastAsia="宋体" w:cs="宋体"/>
          <w:color w:val="auto"/>
          <w:sz w:val="24"/>
          <w:szCs w:val="24"/>
        </w:rPr>
      </w:pPr>
      <w:r>
        <w:rPr>
          <w:rFonts w:hint="eastAsia" w:ascii="宋体" w:hAnsi="宋体" w:eastAsia="宋体" w:cs="宋体"/>
          <w:color w:val="auto"/>
          <w:sz w:val="24"/>
        </w:rPr>
        <w:t xml:space="preserve">① </w:t>
      </w:r>
      <w:r>
        <w:rPr>
          <w:rFonts w:hint="eastAsia" w:ascii="宋体" w:hAnsi="宋体" w:eastAsia="宋体" w:cs="宋体"/>
          <w:color w:val="auto"/>
          <w:sz w:val="24"/>
          <w:szCs w:val="24"/>
        </w:rPr>
        <w:t>检测技术可实现的样本类型：</w:t>
      </w:r>
    </w:p>
    <w:p w14:paraId="33C9781C">
      <w:pPr>
        <w:widowControl/>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a）囊胚外滋养层细胞</w:t>
      </w:r>
    </w:p>
    <w:p w14:paraId="131555BF">
      <w:pPr>
        <w:widowControl/>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b）对于新发突变或家系不全的单基因病家系能通过检测单精子、极体或其他特殊样本提供解决方案，且需相应文献支持。</w:t>
      </w:r>
    </w:p>
    <w:p w14:paraId="235BEE71">
      <w:pPr>
        <w:widowControl/>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② 技术性能：</w:t>
      </w:r>
    </w:p>
    <w:p w14:paraId="3713DDDC">
      <w:pPr>
        <w:widowControl/>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a）单细胞扩增技术，扩增成功率≥95%；</w:t>
      </w:r>
    </w:p>
    <w:p w14:paraId="1FF021C3">
      <w:pPr>
        <w:widowControl/>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b）单细胞扩增脱扣率低&lt;10%，覆盖度高≥93%，均一性好CV≤0.25；</w:t>
      </w:r>
    </w:p>
    <w:p w14:paraId="3DC91DA6">
      <w:pPr>
        <w:widowControl/>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c）能够提供分析胚胎全三倍体、染色体水平的单亲二倍体UPD的检测方案；</w:t>
      </w:r>
    </w:p>
    <w:p w14:paraId="256BB814">
      <w:pPr>
        <w:widowControl/>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d）针对基因位于着丝粒附近或染色体末端的特殊常见疾病，如a地贫、甲型血友病 F8，</w:t>
      </w:r>
      <w:r>
        <w:rPr>
          <w:rFonts w:hint="eastAsia" w:asciiTheme="minorEastAsia" w:hAnsiTheme="minorEastAsia" w:cstheme="minorEastAsia"/>
          <w:color w:val="auto"/>
          <w:sz w:val="24"/>
        </w:rPr>
        <w:t>可提供SNP加密或SNP+STR双标记等技术方法，有效保障单体型构建成功率</w:t>
      </w:r>
      <w:r>
        <w:rPr>
          <w:rFonts w:hint="eastAsia" w:ascii="宋体" w:hAnsi="宋体" w:eastAsia="宋体" w:cs="宋体"/>
          <w:color w:val="auto"/>
          <w:sz w:val="24"/>
        </w:rPr>
        <w:t>；</w:t>
      </w:r>
    </w:p>
    <w:p w14:paraId="6FDEAA54">
      <w:pPr>
        <w:widowControl/>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e）</w:t>
      </w:r>
      <w:r>
        <w:rPr>
          <w:rFonts w:hint="eastAsia" w:asciiTheme="minorEastAsia" w:hAnsiTheme="minorEastAsia" w:cstheme="minorEastAsia"/>
          <w:color w:val="auto"/>
          <w:sz w:val="24"/>
        </w:rPr>
        <w:t>应用二代测序技术，可同时进行单基因病致病位点直接检测和单体型构建分析检测</w:t>
      </w:r>
      <w:r>
        <w:rPr>
          <w:rFonts w:hint="eastAsia" w:ascii="宋体" w:hAnsi="宋体" w:eastAsia="宋体" w:cs="宋体"/>
          <w:color w:val="auto"/>
          <w:sz w:val="24"/>
        </w:rPr>
        <w:t>；</w:t>
      </w:r>
    </w:p>
    <w:p w14:paraId="5E781785">
      <w:pPr>
        <w:widowControl/>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f）</w:t>
      </w:r>
      <w:r>
        <w:rPr>
          <w:rFonts w:hint="eastAsia" w:asciiTheme="minorEastAsia" w:hAnsiTheme="minorEastAsia" w:cstheme="minorEastAsia"/>
          <w:color w:val="auto"/>
          <w:sz w:val="24"/>
        </w:rPr>
        <w:t>至少已完成1000种单基因遗传病的阻断，</w:t>
      </w:r>
      <w:r>
        <w:rPr>
          <w:rFonts w:hint="eastAsia" w:asciiTheme="minorEastAsia" w:hAnsiTheme="minorEastAsia" w:cstheme="minorEastAsia"/>
          <w:color w:val="auto"/>
          <w:sz w:val="24"/>
        </w:rPr>
        <w:t>提供不少于3个专利授权证明文件；</w:t>
      </w:r>
    </w:p>
    <w:p w14:paraId="05477C83">
      <w:pPr>
        <w:widowControl/>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g）</w:t>
      </w:r>
      <w:r>
        <w:rPr>
          <w:rFonts w:hint="eastAsia" w:asciiTheme="minorEastAsia" w:hAnsiTheme="minorEastAsia" w:cstheme="minorEastAsia"/>
          <w:color w:val="auto"/>
          <w:sz w:val="24"/>
        </w:rPr>
        <w:t>采用试剂盒已获得医疗器械备案证，能合规开展临床检测</w:t>
      </w:r>
      <w:r>
        <w:rPr>
          <w:rFonts w:hint="eastAsia" w:ascii="宋体" w:hAnsi="宋体" w:eastAsia="宋体" w:cs="宋体"/>
          <w:color w:val="auto"/>
          <w:sz w:val="24"/>
        </w:rPr>
        <w:t>。</w:t>
      </w:r>
    </w:p>
    <w:p w14:paraId="718B8F0C">
      <w:pPr>
        <w:pStyle w:val="2"/>
        <w:adjustRightInd w:val="0"/>
        <w:snapToGrid w:val="0"/>
        <w:spacing w:line="360" w:lineRule="auto"/>
        <w:ind w:firstLine="482" w:firstLineChars="200"/>
        <w:jc w:val="left"/>
        <w:rPr>
          <w:rFonts w:hint="eastAsia" w:ascii="宋体" w:hAnsi="宋体" w:eastAsia="宋体" w:cs="宋体"/>
          <w:b/>
          <w:color w:val="auto"/>
          <w:sz w:val="24"/>
          <w:szCs w:val="24"/>
          <w:lang w:eastAsia="zh-CN"/>
        </w:rPr>
      </w:pPr>
      <w:r>
        <w:rPr>
          <w:rFonts w:hint="eastAsia" w:ascii="宋体" w:hAnsi="宋体" w:eastAsia="宋体" w:cs="宋体"/>
          <w:b/>
          <w:color w:val="auto"/>
          <w:sz w:val="24"/>
          <w:szCs w:val="24"/>
          <w:lang w:eastAsia="zh-CN"/>
        </w:rPr>
        <w:t>（六）其他服务需求</w:t>
      </w:r>
    </w:p>
    <w:p w14:paraId="51BF6C1C">
      <w:pPr>
        <w:pStyle w:val="2"/>
        <w:adjustRightInd w:val="0"/>
        <w:snapToGrid w:val="0"/>
        <w:spacing w:line="360" w:lineRule="auto"/>
        <w:ind w:firstLine="482" w:firstLineChars="200"/>
        <w:jc w:val="left"/>
        <w:rPr>
          <w:rFonts w:hint="eastAsia" w:ascii="宋体" w:hAnsi="宋体" w:eastAsia="宋体" w:cs="宋体"/>
          <w:color w:val="auto"/>
          <w:sz w:val="24"/>
          <w:szCs w:val="24"/>
          <w:lang w:eastAsia="zh-CN"/>
        </w:rPr>
      </w:pPr>
      <w:r>
        <w:rPr>
          <w:rFonts w:hint="eastAsia" w:ascii="宋体" w:hAnsi="宋体" w:eastAsia="宋体" w:cs="宋体"/>
          <w:b/>
          <w:bCs/>
          <w:color w:val="auto"/>
          <w:sz w:val="24"/>
          <w:szCs w:val="24"/>
          <w:lang w:eastAsia="zh-CN"/>
        </w:rPr>
        <w:t>1、</w:t>
      </w:r>
      <w:r>
        <w:rPr>
          <w:rFonts w:hint="eastAsia" w:ascii="宋体" w:hAnsi="宋体" w:eastAsia="宋体" w:cs="宋体"/>
          <w:b/>
          <w:color w:val="auto"/>
          <w:sz w:val="24"/>
          <w:szCs w:val="24"/>
          <w:lang w:eastAsia="zh-CN"/>
        </w:rPr>
        <w:t>报告交付的周期：</w:t>
      </w:r>
    </w:p>
    <w:p w14:paraId="57F44EF6">
      <w:pPr>
        <w:pStyle w:val="2"/>
        <w:adjustRightInd w:val="0"/>
        <w:snapToGrid w:val="0"/>
        <w:spacing w:line="360" w:lineRule="auto"/>
        <w:ind w:firstLine="482" w:firstLineChars="200"/>
        <w:jc w:val="left"/>
        <w:rPr>
          <w:rFonts w:hint="eastAsia" w:ascii="宋体" w:hAnsi="宋体" w:eastAsia="宋体" w:cs="宋体"/>
          <w:color w:val="auto"/>
          <w:sz w:val="24"/>
          <w:szCs w:val="24"/>
          <w:lang w:eastAsia="zh-CN"/>
        </w:rPr>
      </w:pPr>
      <w:r>
        <w:rPr>
          <w:rFonts w:hint="eastAsia" w:ascii="宋体" w:hAnsi="宋体" w:eastAsia="宋体" w:cs="宋体"/>
          <w:b/>
          <w:color w:val="auto"/>
          <w:sz w:val="24"/>
          <w:szCs w:val="24"/>
          <w:lang w:eastAsia="zh-CN"/>
        </w:rPr>
        <w:t>PGT-M胚胎植入前单基因病检测：</w:t>
      </w:r>
      <w:r>
        <w:rPr>
          <w:rFonts w:hint="eastAsia" w:ascii="宋体" w:hAnsi="宋体" w:eastAsia="宋体" w:cs="宋体"/>
          <w:color w:val="auto"/>
          <w:sz w:val="24"/>
          <w:szCs w:val="24"/>
          <w:lang w:eastAsia="zh-CN"/>
        </w:rPr>
        <w:t>如预实验和胚胎检测同时进行，需20个自然日完成检测并出具报告。如分阶段送样，预实验20个自然日出具报告，胚胎检测20个自然日出具报告。</w:t>
      </w:r>
    </w:p>
    <w:p w14:paraId="2A067AA6">
      <w:pPr>
        <w:pStyle w:val="2"/>
        <w:adjustRightInd w:val="0"/>
        <w:snapToGrid w:val="0"/>
        <w:spacing w:line="360" w:lineRule="auto"/>
        <w:ind w:firstLine="482" w:firstLineChars="200"/>
        <w:jc w:val="left"/>
        <w:rPr>
          <w:rFonts w:hint="eastAsia" w:ascii="宋体" w:hAnsi="宋体" w:eastAsia="宋体" w:cs="宋体"/>
          <w:b/>
          <w:color w:val="auto"/>
          <w:sz w:val="24"/>
          <w:szCs w:val="24"/>
          <w:lang w:eastAsia="zh-CN"/>
        </w:rPr>
      </w:pPr>
      <w:r>
        <w:rPr>
          <w:rFonts w:hint="eastAsia" w:ascii="宋体" w:hAnsi="宋体" w:eastAsia="宋体" w:cs="宋体"/>
          <w:b/>
          <w:color w:val="auto"/>
          <w:sz w:val="24"/>
          <w:szCs w:val="24"/>
          <w:lang w:eastAsia="zh-CN"/>
        </w:rPr>
        <w:t>2、交付（实施）的地点（范围）</w:t>
      </w:r>
    </w:p>
    <w:p w14:paraId="0610792D">
      <w:pPr>
        <w:pStyle w:val="2"/>
        <w:adjustRightInd w:val="0"/>
        <w:snapToGrid w:val="0"/>
        <w:spacing w:line="360" w:lineRule="auto"/>
        <w:ind w:firstLine="480" w:firstLineChars="200"/>
        <w:jc w:val="left"/>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（1）按采购人要求，定点交付纸质版检测报告，同时可提供电子版检测报告。</w:t>
      </w:r>
    </w:p>
    <w:p w14:paraId="7A294609">
      <w:pPr>
        <w:pStyle w:val="2"/>
        <w:adjustRightInd w:val="0"/>
        <w:snapToGrid w:val="0"/>
        <w:spacing w:line="360" w:lineRule="auto"/>
        <w:ind w:firstLine="480" w:firstLineChars="200"/>
        <w:jc w:val="left"/>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2）检验结果的报告：接到标本后，按照约定时间出具检测结果，其余未涉及内容的报告时间由采购人视具体情况另行约定，供应商应按采购人约定的时间出具报告。如未能按时出具报告的，供应商应发布书面迟发报告通知并说明原因，无故不遵守</w:t>
      </w:r>
      <w:r>
        <w:rPr>
          <w:rFonts w:hint="eastAsia" w:ascii="宋体" w:hAnsi="宋体" w:eastAsia="宋体" w:cs="宋体"/>
          <w:color w:val="auto"/>
          <w:sz w:val="24"/>
          <w:lang w:eastAsia="zh-CN"/>
        </w:rPr>
        <w:t>约定三次以上，且仍不改正，采购人有资格终止合同</w:t>
      </w:r>
      <w:r>
        <w:rPr>
          <w:rFonts w:hint="eastAsia" w:ascii="宋体" w:hAnsi="宋体" w:eastAsia="宋体" w:cs="宋体"/>
          <w:color w:val="auto"/>
          <w:sz w:val="24"/>
          <w:szCs w:val="24"/>
          <w:lang w:eastAsia="zh-CN"/>
        </w:rPr>
        <w:t>。</w:t>
      </w:r>
    </w:p>
    <w:p w14:paraId="35621370">
      <w:pPr>
        <w:pStyle w:val="2"/>
        <w:adjustRightInd w:val="0"/>
        <w:snapToGrid w:val="0"/>
        <w:spacing w:line="360" w:lineRule="auto"/>
        <w:ind w:firstLine="480" w:firstLineChars="200"/>
        <w:jc w:val="left"/>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（3）报告方式：供应商应按照采购人要求由专职人员按时送达电子版报告和纸版报告(各检测结果报告出具约定时间见交付周期)。</w:t>
      </w:r>
    </w:p>
    <w:p w14:paraId="2B4068E9">
      <w:pPr>
        <w:pStyle w:val="2"/>
        <w:adjustRightInd w:val="0"/>
        <w:snapToGrid w:val="0"/>
        <w:spacing w:line="360" w:lineRule="auto"/>
        <w:ind w:firstLine="480" w:firstLineChars="200"/>
        <w:jc w:val="left"/>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（4）受委托检验项目的检测操作、报告审核签字人应具备</w:t>
      </w:r>
      <w:r>
        <w:rPr>
          <w:rFonts w:hint="eastAsia" w:ascii="宋体" w:hAnsi="宋体" w:eastAsia="宋体" w:cs="宋体"/>
          <w:color w:val="auto"/>
          <w:sz w:val="24"/>
          <w:lang w:eastAsia="zh-CN"/>
        </w:rPr>
        <w:t>医学检验相关专业中级及以上职称</w:t>
      </w:r>
      <w:r>
        <w:rPr>
          <w:rFonts w:hint="eastAsia" w:ascii="宋体" w:hAnsi="宋体" w:eastAsia="宋体" w:cs="宋体"/>
          <w:color w:val="auto"/>
          <w:sz w:val="24"/>
          <w:szCs w:val="24"/>
          <w:lang w:eastAsia="zh-CN"/>
        </w:rPr>
        <w:t>。</w:t>
      </w:r>
    </w:p>
    <w:p w14:paraId="0F5CE21F">
      <w:pPr>
        <w:pStyle w:val="2"/>
        <w:adjustRightInd w:val="0"/>
        <w:snapToGrid w:val="0"/>
        <w:spacing w:line="360" w:lineRule="auto"/>
        <w:ind w:firstLine="480" w:firstLineChars="200"/>
        <w:jc w:val="left"/>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（5）供应商应专门有专业的遗传咨询相关专业人员对检验结果进行解释，以解答采购人的疑问；如须进行解释，专业咨询人员应即时响应，且解释准确无误。</w:t>
      </w:r>
    </w:p>
    <w:p w14:paraId="43D0504E">
      <w:pPr>
        <w:pStyle w:val="2"/>
        <w:adjustRightInd w:val="0"/>
        <w:snapToGrid w:val="0"/>
        <w:spacing w:line="360" w:lineRule="auto"/>
        <w:ind w:firstLine="482" w:firstLineChars="200"/>
        <w:jc w:val="left"/>
        <w:rPr>
          <w:rFonts w:hint="eastAsia" w:ascii="宋体" w:hAnsi="宋体" w:eastAsia="宋体" w:cs="宋体"/>
          <w:b/>
          <w:color w:val="auto"/>
          <w:sz w:val="24"/>
          <w:szCs w:val="24"/>
          <w:lang w:eastAsia="zh-CN"/>
        </w:rPr>
      </w:pPr>
      <w:r>
        <w:rPr>
          <w:rFonts w:hint="eastAsia" w:ascii="宋体" w:hAnsi="宋体" w:eastAsia="宋体" w:cs="宋体"/>
          <w:b/>
          <w:color w:val="auto"/>
          <w:sz w:val="24"/>
          <w:szCs w:val="24"/>
          <w:lang w:eastAsia="zh-CN"/>
        </w:rPr>
        <w:t>（七）实验室生物安全及资质要求：</w:t>
      </w:r>
    </w:p>
    <w:p w14:paraId="0F46621D">
      <w:pPr>
        <w:pStyle w:val="2"/>
        <w:adjustRightInd w:val="0"/>
        <w:snapToGrid w:val="0"/>
        <w:spacing w:line="360" w:lineRule="auto"/>
        <w:ind w:firstLine="480" w:firstLineChars="200"/>
        <w:jc w:val="left"/>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1、实验室具备BSL-2级以上生物安全水平，并配备完成生物安全培训考试的专业人员。</w:t>
      </w:r>
    </w:p>
    <w:p w14:paraId="0BEDDDE8">
      <w:pPr>
        <w:pStyle w:val="2"/>
        <w:adjustRightInd w:val="0"/>
        <w:snapToGrid w:val="0"/>
        <w:spacing w:line="360" w:lineRule="auto"/>
        <w:ind w:firstLine="480" w:firstLineChars="200"/>
        <w:jc w:val="left"/>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2、供应商在项目实施过程中未经安全审查，不得将国家人类遗传资源信息向境外组织、个人及其设立或实际控制的机构提供或者开放使用。</w:t>
      </w:r>
    </w:p>
    <w:p w14:paraId="2B24C721">
      <w:pPr>
        <w:pStyle w:val="2"/>
        <w:adjustRightInd w:val="0"/>
        <w:snapToGrid w:val="0"/>
        <w:spacing w:line="360" w:lineRule="auto"/>
        <w:ind w:firstLine="482" w:firstLineChars="200"/>
        <w:jc w:val="left"/>
        <w:rPr>
          <w:rFonts w:hint="eastAsia" w:ascii="宋体" w:hAnsi="宋体" w:eastAsia="宋体" w:cs="宋体"/>
          <w:b/>
          <w:color w:val="auto"/>
          <w:sz w:val="24"/>
          <w:szCs w:val="24"/>
          <w:lang w:eastAsia="zh-CN"/>
        </w:rPr>
      </w:pPr>
      <w:r>
        <w:rPr>
          <w:rFonts w:hint="eastAsia" w:ascii="宋体" w:hAnsi="宋体" w:eastAsia="宋体" w:cs="宋体"/>
          <w:b/>
          <w:color w:val="auto"/>
          <w:sz w:val="24"/>
          <w:szCs w:val="24"/>
          <w:lang w:eastAsia="zh-CN"/>
        </w:rPr>
        <w:t>（八）售后服务及其他（质保期或技术指导等）：</w:t>
      </w:r>
    </w:p>
    <w:p w14:paraId="6DFF2F88">
      <w:pPr>
        <w:pStyle w:val="2"/>
        <w:adjustRightInd w:val="0"/>
        <w:snapToGrid w:val="0"/>
        <w:spacing w:line="360" w:lineRule="auto"/>
        <w:ind w:firstLine="480" w:firstLineChars="200"/>
        <w:jc w:val="left"/>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1、能够积极配合医院需求，可提供医院本地分析平台；且有本地化平台合作医院。</w:t>
      </w:r>
    </w:p>
    <w:p w14:paraId="0BE2E853">
      <w:pPr>
        <w:pStyle w:val="2"/>
        <w:adjustRightInd w:val="0"/>
        <w:snapToGrid w:val="0"/>
        <w:spacing w:line="360" w:lineRule="auto"/>
        <w:ind w:firstLine="480" w:firstLineChars="200"/>
        <w:jc w:val="left"/>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2、提供配套的人员培训体系，可以协助进行人员专业技能的培训和遗传咨询服务。</w:t>
      </w:r>
    </w:p>
    <w:p w14:paraId="3A91DA93">
      <w:pPr>
        <w:pStyle w:val="2"/>
        <w:adjustRightInd w:val="0"/>
        <w:snapToGrid w:val="0"/>
        <w:spacing w:line="360" w:lineRule="auto"/>
        <w:ind w:firstLine="480" w:firstLineChars="200"/>
        <w:jc w:val="left"/>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3、对于胚胎植入前遗传学检测各项目后期能完成对应产前诊断验证。</w:t>
      </w:r>
    </w:p>
    <w:p w14:paraId="6B517B14">
      <w:pPr>
        <w:pStyle w:val="2"/>
        <w:adjustRightInd w:val="0"/>
        <w:snapToGrid w:val="0"/>
        <w:spacing w:line="360" w:lineRule="auto"/>
        <w:ind w:firstLine="480" w:firstLineChars="200"/>
        <w:jc w:val="left"/>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4、可以协助申报市级/省级/国家级项目，具备申报成功经验。</w:t>
      </w:r>
    </w:p>
    <w:p w14:paraId="0941E189">
      <w:pPr>
        <w:pStyle w:val="2"/>
        <w:adjustRightInd w:val="0"/>
        <w:snapToGrid w:val="0"/>
        <w:spacing w:line="360" w:lineRule="auto"/>
        <w:ind w:firstLine="480" w:firstLineChars="200"/>
        <w:jc w:val="left"/>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5、供应商如使用采购人提供的受检者标本发表科研成果，需经采购人同意，且采购人有署名权，署名排序按照文章发表时各方的贡献另行协商确定；</w:t>
      </w:r>
    </w:p>
    <w:p w14:paraId="3D82E865">
      <w:pPr>
        <w:pStyle w:val="2"/>
        <w:adjustRightInd w:val="0"/>
        <w:snapToGrid w:val="0"/>
        <w:spacing w:line="360" w:lineRule="auto"/>
        <w:ind w:firstLine="480" w:firstLineChars="200"/>
        <w:jc w:val="left"/>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6、供应商应向采购人提供检测项目所用检测方法的具体操作流程。</w:t>
      </w:r>
    </w:p>
    <w:p w14:paraId="0EFC5676">
      <w:pPr>
        <w:pStyle w:val="12"/>
        <w:ind w:firstLine="480"/>
        <w:rPr>
          <w:rFonts w:hint="eastAsia" w:ascii="宋体" w:hAnsi="宋体" w:eastAsia="宋体" w:cs="宋体"/>
          <w:color w:val="auto"/>
          <w:sz w:val="24"/>
        </w:rPr>
      </w:pPr>
      <w:r>
        <w:rPr>
          <w:rFonts w:hint="eastAsia" w:ascii="宋体" w:hAnsi="宋体" w:eastAsia="宋体" w:cs="宋体"/>
          <w:color w:val="auto"/>
          <w:sz w:val="24"/>
        </w:rPr>
        <w:t>7、纠纷处理：如因检测服务发生质量问题，造成医院向患者承担赔偿责任的，有供应商承担相应责任，最大限度的降低医院的风险承担。</w:t>
      </w:r>
    </w:p>
    <w:p w14:paraId="7F0C24DA">
      <w:pPr>
        <w:pStyle w:val="2"/>
        <w:adjustRightInd w:val="0"/>
        <w:snapToGrid w:val="0"/>
        <w:spacing w:line="360" w:lineRule="auto"/>
        <w:ind w:firstLine="482" w:firstLineChars="200"/>
        <w:jc w:val="left"/>
        <w:rPr>
          <w:rFonts w:hint="eastAsia" w:ascii="宋体" w:hAnsi="宋体" w:eastAsia="宋体" w:cs="宋体"/>
          <w:b/>
          <w:color w:val="auto"/>
          <w:sz w:val="24"/>
          <w:szCs w:val="24"/>
        </w:rPr>
      </w:pPr>
      <w:r>
        <w:rPr>
          <w:rFonts w:hint="eastAsia" w:ascii="宋体" w:hAnsi="宋体" w:eastAsia="宋体" w:cs="宋体"/>
          <w:b/>
          <w:color w:val="auto"/>
          <w:sz w:val="24"/>
          <w:szCs w:val="24"/>
          <w:lang w:eastAsia="zh-CN"/>
        </w:rPr>
        <w:t>（九）</w:t>
      </w:r>
      <w:r>
        <w:rPr>
          <w:rFonts w:hint="eastAsia" w:ascii="宋体" w:hAnsi="宋体" w:eastAsia="宋体" w:cs="宋体"/>
          <w:b/>
          <w:color w:val="auto"/>
          <w:sz w:val="24"/>
          <w:szCs w:val="24"/>
        </w:rPr>
        <w:t>检验项目清单</w:t>
      </w:r>
    </w:p>
    <w:tbl>
      <w:tblPr>
        <w:tblStyle w:val="7"/>
        <w:tblW w:w="499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331"/>
        <w:gridCol w:w="6189"/>
      </w:tblGrid>
      <w:tr w14:paraId="016B7D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69" w:hRule="atLeast"/>
          <w:tblHeader/>
          <w:jc w:val="center"/>
        </w:trPr>
        <w:tc>
          <w:tcPr>
            <w:tcW w:w="1368" w:type="pct"/>
            <w:vAlign w:val="center"/>
          </w:tcPr>
          <w:p w14:paraId="1444DA0B">
            <w:pPr>
              <w:widowControl/>
              <w:adjustRightInd w:val="0"/>
              <w:snapToGrid w:val="0"/>
              <w:jc w:val="center"/>
              <w:rPr>
                <w:rFonts w:hint="eastAsia" w:ascii="宋体" w:hAnsi="宋体" w:eastAsia="宋体" w:cs="宋体"/>
                <w:b/>
                <w:bCs/>
                <w:color w:val="auto"/>
                <w:kern w:val="0"/>
                <w:sz w:val="24"/>
              </w:rPr>
            </w:pPr>
            <w:r>
              <w:rPr>
                <w:rFonts w:hint="eastAsia" w:ascii="宋体" w:hAnsi="宋体" w:eastAsia="宋体" w:cs="宋体"/>
                <w:b/>
                <w:bCs/>
                <w:color w:val="auto"/>
                <w:kern w:val="0"/>
                <w:sz w:val="24"/>
              </w:rPr>
              <w:t>项目编号</w:t>
            </w:r>
          </w:p>
        </w:tc>
        <w:tc>
          <w:tcPr>
            <w:tcW w:w="3631" w:type="pct"/>
            <w:vAlign w:val="center"/>
          </w:tcPr>
          <w:p w14:paraId="47DB53FB">
            <w:pPr>
              <w:widowControl/>
              <w:adjustRightInd w:val="0"/>
              <w:snapToGrid w:val="0"/>
              <w:jc w:val="center"/>
              <w:rPr>
                <w:rFonts w:hint="eastAsia" w:ascii="宋体" w:hAnsi="宋体" w:eastAsia="宋体" w:cs="宋体"/>
                <w:b/>
                <w:bCs/>
                <w:color w:val="auto"/>
                <w:kern w:val="0"/>
                <w:sz w:val="24"/>
              </w:rPr>
            </w:pPr>
            <w:r>
              <w:rPr>
                <w:rFonts w:hint="eastAsia" w:ascii="宋体" w:hAnsi="宋体" w:eastAsia="宋体" w:cs="宋体"/>
                <w:b/>
                <w:bCs/>
                <w:color w:val="auto"/>
                <w:kern w:val="0"/>
                <w:sz w:val="24"/>
              </w:rPr>
              <w:t>项目名称</w:t>
            </w:r>
          </w:p>
        </w:tc>
      </w:tr>
      <w:tr w14:paraId="0F5717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1368" w:type="pct"/>
            <w:vAlign w:val="center"/>
          </w:tcPr>
          <w:p w14:paraId="0773EFBD">
            <w:pPr>
              <w:widowControl/>
              <w:adjustRightInd w:val="0"/>
              <w:snapToGrid w:val="0"/>
              <w:jc w:val="center"/>
              <w:rPr>
                <w:rFonts w:hint="eastAsia" w:ascii="宋体" w:hAnsi="宋体" w:eastAsia="宋体" w:cs="宋体"/>
                <w:color w:val="auto"/>
                <w:kern w:val="0"/>
                <w:sz w:val="24"/>
              </w:rPr>
            </w:pPr>
            <w:r>
              <w:rPr>
                <w:rFonts w:hint="eastAsia" w:ascii="宋体" w:hAnsi="宋体" w:eastAsia="宋体" w:cs="宋体"/>
                <w:color w:val="auto"/>
                <w:kern w:val="0"/>
                <w:sz w:val="24"/>
              </w:rPr>
              <w:t>1</w:t>
            </w:r>
          </w:p>
        </w:tc>
        <w:tc>
          <w:tcPr>
            <w:tcW w:w="3631" w:type="pct"/>
            <w:vAlign w:val="center"/>
          </w:tcPr>
          <w:p w14:paraId="7B76B757">
            <w:pPr>
              <w:widowControl/>
              <w:adjustRightInd w:val="0"/>
              <w:snapToGrid w:val="0"/>
              <w:jc w:val="center"/>
              <w:rPr>
                <w:rFonts w:hint="eastAsia" w:ascii="宋体" w:hAnsi="宋体" w:eastAsia="宋体" w:cs="宋体"/>
                <w:color w:val="auto"/>
                <w:kern w:val="0"/>
                <w:sz w:val="24"/>
              </w:rPr>
            </w:pPr>
            <w:r>
              <w:rPr>
                <w:rFonts w:hint="eastAsia" w:ascii="宋体" w:hAnsi="宋体" w:eastAsia="宋体" w:cs="宋体"/>
                <w:color w:val="auto"/>
                <w:sz w:val="24"/>
              </w:rPr>
              <w:t>PGT-M胚胎</w:t>
            </w:r>
            <w:r>
              <w:rPr>
                <w:rFonts w:hint="eastAsia" w:ascii="宋体" w:hAnsi="宋体" w:eastAsia="宋体" w:cs="宋体"/>
                <w:color w:val="auto"/>
                <w:kern w:val="0"/>
                <w:sz w:val="24"/>
              </w:rPr>
              <w:t>分子遗传学检测</w:t>
            </w:r>
          </w:p>
        </w:tc>
      </w:tr>
      <w:tr w14:paraId="11703E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1368" w:type="pct"/>
            <w:vAlign w:val="center"/>
          </w:tcPr>
          <w:p w14:paraId="32EBB3C8">
            <w:pPr>
              <w:widowControl/>
              <w:adjustRightInd w:val="0"/>
              <w:snapToGrid w:val="0"/>
              <w:jc w:val="center"/>
              <w:rPr>
                <w:rFonts w:hint="eastAsia" w:ascii="宋体" w:hAnsi="宋体" w:eastAsia="宋体" w:cs="宋体"/>
                <w:color w:val="auto"/>
                <w:kern w:val="0"/>
                <w:sz w:val="24"/>
              </w:rPr>
            </w:pPr>
            <w:r>
              <w:rPr>
                <w:rFonts w:hint="eastAsia" w:ascii="宋体" w:hAnsi="宋体" w:eastAsia="宋体" w:cs="宋体"/>
                <w:color w:val="auto"/>
                <w:kern w:val="0"/>
                <w:sz w:val="24"/>
              </w:rPr>
              <w:t>2</w:t>
            </w:r>
          </w:p>
        </w:tc>
        <w:tc>
          <w:tcPr>
            <w:tcW w:w="3631" w:type="pct"/>
            <w:vAlign w:val="center"/>
          </w:tcPr>
          <w:p w14:paraId="175CBCBA">
            <w:pPr>
              <w:widowControl/>
              <w:adjustRightInd w:val="0"/>
              <w:snapToGrid w:val="0"/>
              <w:jc w:val="center"/>
              <w:rPr>
                <w:rFonts w:hint="eastAsia" w:ascii="宋体" w:hAnsi="宋体" w:eastAsia="宋体" w:cs="宋体"/>
                <w:color w:val="auto"/>
                <w:sz w:val="24"/>
              </w:rPr>
            </w:pPr>
            <w:r>
              <w:rPr>
                <w:rFonts w:hint="eastAsia" w:ascii="宋体" w:hAnsi="宋体" w:eastAsia="宋体" w:cs="宋体"/>
                <w:color w:val="auto"/>
                <w:sz w:val="24"/>
              </w:rPr>
              <w:t>PGT-M家系预实验</w:t>
            </w:r>
          </w:p>
        </w:tc>
      </w:tr>
      <w:tr w14:paraId="4157FA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1368" w:type="pct"/>
            <w:vAlign w:val="center"/>
          </w:tcPr>
          <w:p w14:paraId="749455AD">
            <w:pPr>
              <w:widowControl/>
              <w:adjustRightInd w:val="0"/>
              <w:snapToGrid w:val="0"/>
              <w:jc w:val="center"/>
              <w:rPr>
                <w:rFonts w:hint="eastAsia" w:ascii="宋体" w:hAnsi="宋体" w:eastAsia="宋体" w:cs="宋体"/>
                <w:color w:val="auto"/>
                <w:kern w:val="0"/>
                <w:sz w:val="24"/>
              </w:rPr>
            </w:pPr>
            <w:r>
              <w:rPr>
                <w:rFonts w:hint="eastAsia" w:ascii="宋体" w:hAnsi="宋体" w:eastAsia="宋体" w:cs="宋体"/>
                <w:color w:val="auto"/>
                <w:kern w:val="0"/>
                <w:sz w:val="24"/>
              </w:rPr>
              <w:t>3</w:t>
            </w:r>
          </w:p>
        </w:tc>
        <w:tc>
          <w:tcPr>
            <w:tcW w:w="3631" w:type="pct"/>
            <w:vAlign w:val="center"/>
          </w:tcPr>
          <w:p w14:paraId="2BBC5C48">
            <w:pPr>
              <w:widowControl/>
              <w:adjustRightInd w:val="0"/>
              <w:snapToGrid w:val="0"/>
              <w:jc w:val="center"/>
              <w:rPr>
                <w:rFonts w:hint="eastAsia" w:ascii="宋体" w:hAnsi="宋体" w:eastAsia="宋体" w:cs="宋体"/>
                <w:color w:val="auto"/>
                <w:kern w:val="0"/>
                <w:sz w:val="24"/>
              </w:rPr>
            </w:pPr>
            <w:r>
              <w:rPr>
                <w:rFonts w:hint="eastAsia" w:ascii="宋体" w:hAnsi="宋体" w:eastAsia="宋体" w:cs="宋体"/>
                <w:color w:val="auto"/>
                <w:kern w:val="0"/>
                <w:sz w:val="24"/>
              </w:rPr>
              <w:t>PGT-A+PGT-M胚胎分子遗传学检测</w:t>
            </w:r>
          </w:p>
        </w:tc>
      </w:tr>
    </w:tbl>
    <w:p w14:paraId="4330226B">
      <w:pPr>
        <w:rPr>
          <w:color w:val="auto"/>
        </w:rPr>
      </w:pP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5B0"/>
    <w:rsid w:val="00113741"/>
    <w:rsid w:val="005745B0"/>
    <w:rsid w:val="00EF6AAA"/>
    <w:rsid w:val="00FA4931"/>
    <w:rsid w:val="029A2FAA"/>
    <w:rsid w:val="03B409DD"/>
    <w:rsid w:val="07764EA6"/>
    <w:rsid w:val="096520CA"/>
    <w:rsid w:val="138F74E4"/>
    <w:rsid w:val="14995399"/>
    <w:rsid w:val="16290FA6"/>
    <w:rsid w:val="177B1AE6"/>
    <w:rsid w:val="18F51A43"/>
    <w:rsid w:val="1977488A"/>
    <w:rsid w:val="23E22F88"/>
    <w:rsid w:val="267F1D03"/>
    <w:rsid w:val="2BC27A58"/>
    <w:rsid w:val="2D2B0F15"/>
    <w:rsid w:val="2E664BED"/>
    <w:rsid w:val="33F3564A"/>
    <w:rsid w:val="43F57DB1"/>
    <w:rsid w:val="43FB6F63"/>
    <w:rsid w:val="47A8380A"/>
    <w:rsid w:val="49BB5BEF"/>
    <w:rsid w:val="4A4649D1"/>
    <w:rsid w:val="4BD74C34"/>
    <w:rsid w:val="4C25012C"/>
    <w:rsid w:val="4DEC0B9B"/>
    <w:rsid w:val="4E773A04"/>
    <w:rsid w:val="4F0105AA"/>
    <w:rsid w:val="507D317F"/>
    <w:rsid w:val="58CF3FBA"/>
    <w:rsid w:val="59932A3C"/>
    <w:rsid w:val="5C9E5AFB"/>
    <w:rsid w:val="5F1A3441"/>
    <w:rsid w:val="60C77A44"/>
    <w:rsid w:val="69060AC5"/>
    <w:rsid w:val="72041AD9"/>
    <w:rsid w:val="77286A7D"/>
    <w:rsid w:val="7CF323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Cs w:val="21"/>
      <w:lang w:eastAsia="en-US"/>
    </w:rPr>
  </w:style>
  <w:style w:type="paragraph" w:styleId="4">
    <w:name w:val="annotation text"/>
    <w:basedOn w:val="1"/>
    <w:qFormat/>
    <w:uiPriority w:val="0"/>
    <w:pPr>
      <w:jc w:val="left"/>
    </w:pPr>
  </w:style>
  <w:style w:type="paragraph" w:styleId="5">
    <w:name w:val="footer"/>
    <w:basedOn w:val="1"/>
    <w:link w:val="16"/>
    <w:qFormat/>
    <w:uiPriority w:val="0"/>
    <w:pPr>
      <w:tabs>
        <w:tab w:val="center" w:pos="4153"/>
        <w:tab w:val="right" w:pos="8306"/>
      </w:tabs>
      <w:snapToGrid w:val="0"/>
      <w:jc w:val="left"/>
    </w:pPr>
    <w:rPr>
      <w:sz w:val="18"/>
      <w:szCs w:val="18"/>
    </w:rPr>
  </w:style>
  <w:style w:type="paragraph" w:styleId="6">
    <w:name w:val="header"/>
    <w:basedOn w:val="1"/>
    <w:link w:val="15"/>
    <w:qFormat/>
    <w:uiPriority w:val="0"/>
    <w:pPr>
      <w:tabs>
        <w:tab w:val="center" w:pos="4153"/>
        <w:tab w:val="right" w:pos="8306"/>
      </w:tabs>
      <w:snapToGrid w:val="0"/>
      <w:jc w:val="center"/>
    </w:pPr>
    <w:rPr>
      <w:sz w:val="18"/>
      <w:szCs w:val="18"/>
    </w:rPr>
  </w:style>
  <w:style w:type="character" w:styleId="9">
    <w:name w:val="annotation reference"/>
    <w:basedOn w:val="8"/>
    <w:qFormat/>
    <w:uiPriority w:val="0"/>
    <w:rPr>
      <w:sz w:val="21"/>
      <w:szCs w:val="21"/>
    </w:rPr>
  </w:style>
  <w:style w:type="paragraph" w:customStyle="1" w:styleId="10">
    <w:name w:val="样式29"/>
    <w:basedOn w:val="1"/>
    <w:qFormat/>
    <w:uiPriority w:val="99"/>
    <w:pPr>
      <w:widowControl/>
      <w:spacing w:line="440" w:lineRule="exact"/>
      <w:ind w:firstLine="200" w:firstLineChars="200"/>
      <w:jc w:val="left"/>
    </w:pPr>
    <w:rPr>
      <w:rFonts w:eastAsia="楷体_GB2312"/>
      <w:spacing w:val="6"/>
      <w:sz w:val="24"/>
      <w:szCs w:val="20"/>
    </w:rPr>
  </w:style>
  <w:style w:type="paragraph" w:customStyle="1" w:styleId="11">
    <w:name w:val="2"/>
    <w:basedOn w:val="1"/>
    <w:next w:val="12"/>
    <w:qFormat/>
    <w:uiPriority w:val="34"/>
    <w:pPr>
      <w:ind w:firstLine="420" w:firstLineChars="200"/>
    </w:pPr>
    <w:rPr>
      <w:rFonts w:ascii="Calibri" w:hAnsi="Calibri"/>
      <w:szCs w:val="22"/>
    </w:rPr>
  </w:style>
  <w:style w:type="paragraph" w:styleId="12">
    <w:name w:val="List Paragraph"/>
    <w:basedOn w:val="1"/>
    <w:qFormat/>
    <w:uiPriority w:val="0"/>
    <w:pPr>
      <w:ind w:firstLine="420" w:firstLineChars="200"/>
    </w:pPr>
  </w:style>
  <w:style w:type="paragraph" w:customStyle="1" w:styleId="13">
    <w:name w:val="1"/>
    <w:basedOn w:val="1"/>
    <w:next w:val="12"/>
    <w:qFormat/>
    <w:uiPriority w:val="99"/>
    <w:pPr>
      <w:ind w:firstLine="420" w:firstLineChars="200"/>
    </w:pPr>
  </w:style>
  <w:style w:type="paragraph" w:customStyle="1" w:styleId="14">
    <w:name w:val="Revision"/>
    <w:hidden/>
    <w:unhideWhenUsed/>
    <w:uiPriority w:val="99"/>
    <w:rPr>
      <w:rFonts w:asciiTheme="minorHAnsi" w:hAnsiTheme="minorHAnsi" w:eastAsiaTheme="minorEastAsia" w:cstheme="minorBidi"/>
      <w:kern w:val="2"/>
      <w:sz w:val="21"/>
      <w:szCs w:val="24"/>
      <w:lang w:val="en-US" w:eastAsia="zh-CN" w:bidi="ar-SA"/>
    </w:rPr>
  </w:style>
  <w:style w:type="character" w:customStyle="1" w:styleId="15">
    <w:name w:val="页眉 字符"/>
    <w:basedOn w:val="8"/>
    <w:link w:val="6"/>
    <w:qFormat/>
    <w:uiPriority w:val="0"/>
    <w:rPr>
      <w:kern w:val="2"/>
      <w:sz w:val="18"/>
      <w:szCs w:val="18"/>
    </w:rPr>
  </w:style>
  <w:style w:type="character" w:customStyle="1" w:styleId="16">
    <w:name w:val="页脚 字符"/>
    <w:basedOn w:val="8"/>
    <w:link w:val="5"/>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6601</Words>
  <Characters>6932</Characters>
  <Lines>59</Lines>
  <Paragraphs>16</Paragraphs>
  <TotalTime>0</TotalTime>
  <ScaleCrop>false</ScaleCrop>
  <LinksUpToDate>false</LinksUpToDate>
  <CharactersWithSpaces>6954</CharactersWithSpaces>
  <Application>WPS Office_12.1.0.24031_F1E327BC-269C-435d-A152-05C5408002CA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2026-08-25T02:31:00Z</dcterms:created>
  <dc:creator>Administrator</dc:creator>
  <cp:lastModifiedBy>广招国际招标-曹</cp:lastModifiedBy>
  <dcterms:modified xsi:type="dcterms:W3CDTF">2026-08-25T06:22:35Z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2052-12.1.0.24031</vt:lpwstr>
  </property>
  <property fmtid="{D5CDD505-2E9C-101B-9397-08002B2CF9AE}" pid="3" name="KSOTemplateDocerSaveRecord">
    <vt:lpwstr>eyJoZGlkIjoiYjQwODgzY2VkZDEwZTBhNGUyNGQzZWU1MDcxOGRjM2YiLCJ1c2VySWQiOiIzOTQzMzQ3ODcifQ==</vt:lpwstr>
  </property>
  <property fmtid="{D5CDD505-2E9C-101B-9397-08002B2CF9AE}" pid="4" name="ICV">
    <vt:lpwstr>077C6222B1254B8BAEC0B875BEC3D418_12</vt:lpwstr>
  </property>
</Properties>
</file>