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440001-2026-33715</w:t>
      </w:r>
    </w:p>
    <w:p>
      <w:pPr>
        <w:pStyle w:val="null3"/>
        <w:jc w:val="center"/>
        <w:outlineLvl w:val="3"/>
      </w:pPr>
      <w:r>
        <w:rPr>
          <w:sz w:val="24"/>
          <w:b/>
        </w:rPr>
        <w:t>采购项目编号：</w:t>
      </w:r>
      <w:r>
        <w:rPr>
          <w:sz w:val="24"/>
          <w:b/>
        </w:rPr>
        <w:t>0877-26GZTP1ZC0625</w:t>
      </w:r>
    </w:p>
    <w:p>
      <w:pPr>
        <w:pStyle w:val="null3"/>
        <w:jc w:val="center"/>
        <w:outlineLvl w:val="3"/>
      </w:pPr>
      <w:r>
        <w:rPr>
          <w:sz w:val="24"/>
          <w:b/>
        </w:rPr>
        <w:t>项目名称：</w:t>
      </w:r>
      <w:r>
        <w:rPr>
          <w:sz w:val="24"/>
          <w:b/>
        </w:rPr>
        <w:t>广东省第二人民医院新媒体运营服务采购项目</w:t>
      </w:r>
    </w:p>
    <w:p>
      <w:pPr>
        <w:pStyle w:val="null3"/>
        <w:jc w:val="center"/>
        <w:outlineLvl w:val="3"/>
      </w:pPr>
      <w:r>
        <w:rPr>
          <w:sz w:val="24"/>
          <w:b/>
        </w:rPr>
        <w:t>采购人：</w:t>
      </w:r>
      <w:r>
        <w:rPr>
          <w:sz w:val="24"/>
          <w:b/>
        </w:rPr>
        <w:t>广东省第二人民医院</w:t>
      </w:r>
    </w:p>
    <w:p>
      <w:pPr>
        <w:pStyle w:val="null3"/>
        <w:jc w:val="center"/>
        <w:outlineLvl w:val="3"/>
      </w:pPr>
      <w:r>
        <w:rPr>
          <w:sz w:val="24"/>
          <w:b/>
        </w:rPr>
        <w:t>采购代理机构：</w:t>
      </w:r>
      <w:r>
        <w:rPr>
          <w:sz w:val="24"/>
          <w:b/>
        </w:rPr>
        <w:t>广东广招国际招标有限公司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广东广招国际招标有限公司</w:t>
      </w:r>
      <w:r>
        <w:rPr/>
        <w:t>受</w:t>
      </w:r>
      <w:r>
        <w:rPr/>
        <w:t>广东省第二人民医院</w:t>
      </w:r>
      <w:r>
        <w:rPr/>
        <w:t>的委托，采用</w:t>
      </w:r>
      <w:r>
        <w:rPr/>
        <w:t>公开招标</w:t>
      </w:r>
      <w:r>
        <w:rPr/>
        <w:t>方式组织采购</w:t>
      </w:r>
      <w:r>
        <w:rPr/>
        <w:t>广东省第二人民医院新媒体运营服务采购项目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广东省第二人民医院新媒体运营服务采购项目</w:t>
      </w:r>
    </w:p>
    <w:p>
      <w:pPr>
        <w:pStyle w:val="null3"/>
        <w:ind w:firstLine="480"/>
      </w:pPr>
      <w:r>
        <w:rPr/>
        <w:t>采购计划编号：</w:t>
      </w:r>
      <w:r>
        <w:rPr/>
        <w:t>440001-2026-33715</w:t>
      </w:r>
    </w:p>
    <w:p>
      <w:pPr>
        <w:pStyle w:val="null3"/>
        <w:ind w:firstLine="480"/>
      </w:pPr>
      <w:r>
        <w:rPr/>
        <w:t>采购项目编号：</w:t>
      </w:r>
      <w:r>
        <w:rPr/>
        <w:t>0877-26GZTP1ZC0625</w:t>
      </w:r>
    </w:p>
    <w:p>
      <w:pPr>
        <w:pStyle w:val="null3"/>
        <w:ind w:firstLine="480"/>
      </w:pPr>
      <w:r>
        <w:rPr/>
        <w:t>采购方式：</w:t>
      </w:r>
      <w:r>
        <w:rPr/>
        <w:t>公开招标</w:t>
      </w:r>
    </w:p>
    <w:p>
      <w:pPr>
        <w:pStyle w:val="null3"/>
        <w:ind w:firstLine="480"/>
      </w:pPr>
      <w:r>
        <w:rPr/>
        <w:t>预算金额：</w:t>
      </w:r>
      <w:r>
        <w:rPr/>
        <w:t>3,000,000.00</w:t>
      </w:r>
      <w:r>
        <w:rPr/>
        <w:t>元</w:t>
      </w:r>
    </w:p>
    <w:p>
      <w:pPr>
        <w:pStyle w:val="null3"/>
        <w:outlineLvl w:val="3"/>
      </w:pPr>
      <w:r>
        <w:rPr>
          <w:sz w:val="24"/>
          <w:b/>
        </w:rPr>
        <w:t>2.项目内容及需求情况（采购项目技术规格、参数及要求）</w:t>
      </w:r>
    </w:p>
    <w:p>
      <w:pPr>
        <w:pStyle w:val="null3"/>
      </w:pPr>
      <w:r>
        <w:rPr/>
        <w:t>采购包1(广东省第二人民医院新媒体运营服务采购项目):</w:t>
      </w:r>
    </w:p>
    <w:p>
      <w:pPr>
        <w:pStyle w:val="null3"/>
      </w:pPr>
      <w:r>
        <w:rPr/>
        <w:t>采购包预算金额：3,000,000.00元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其他运营服务</w:t>
            </w:r>
          </w:p>
        </w:tc>
        <w:tc>
          <w:tcPr>
            <w:tcW w:type="dxa" w:w="2136"/>
          </w:tcPr>
          <w:p>
            <w:pPr>
              <w:pStyle w:val="null3"/>
            </w:pPr>
            <w:r>
              <w:rPr/>
              <w:t>广东省第二人民医院新媒体运营服务采购项目</w:t>
            </w:r>
          </w:p>
        </w:tc>
        <w:tc>
          <w:tcPr>
            <w:tcW w:type="dxa" w:w="1187"/>
          </w:tcPr>
          <w:p>
            <w:pPr>
              <w:pStyle w:val="null3"/>
            </w:pPr>
            <w:r>
              <w:rPr/>
              <w:t>1.00(项)</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本采购包不接受联合体投标</w:t>
      </w:r>
    </w:p>
    <w:p>
      <w:pPr>
        <w:pStyle w:val="null3"/>
      </w:pPr>
      <w:r>
        <w:rPr/>
        <w:t>合同分包：不允许合同分包</w:t>
      </w:r>
    </w:p>
    <w:p>
      <w:pPr>
        <w:pStyle w:val="null3"/>
      </w:pPr>
      <w:r>
        <w:rPr/>
        <w:t>合同履行期限：自签订合同之日起一年。</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中华人民共和国境内注册的法人或其他组织或自然人，投标（响应）时提交有效的营业执照（或事业法人登记证或身份证等相关证明）证明文件。分支机构投标的，须同时提供：总公司和分支机构的营业执照证明文件，总公司出具给分支机构的授权书。</w:t>
      </w:r>
    </w:p>
    <w:p>
      <w:pPr>
        <w:pStyle w:val="null3"/>
      </w:pPr>
      <w:r>
        <w:rPr/>
        <w:t>2）有依法缴纳税收和社会保障资金的良好记录：提供投标截止日前6个月内任意1个月依法缴纳税收的相关材料；提供投标截止日前6个月内任意1个月依法缴纳社会保障资金的相关材料。如依法免税或不需要缴纳社会保障资金的，提供相应证明材料。</w:t>
      </w:r>
    </w:p>
    <w:p>
      <w:pPr>
        <w:pStyle w:val="null3"/>
      </w:pPr>
      <w:r>
        <w:rPr/>
        <w:t>3）具有良好的商业信誉和健全的财务会计制度：提供2025年度财务状况报告；或银行出具的资信证明材料复印件。</w:t>
      </w:r>
    </w:p>
    <w:p>
      <w:pPr>
        <w:pStyle w:val="null3"/>
      </w:pPr>
      <w:r>
        <w:rPr/>
        <w:t>4）履行合同所必需的设备和专业技术能力：按投标（响应）文件格式填报设备及专业技术能力情况。</w:t>
      </w:r>
    </w:p>
    <w:p>
      <w:pPr>
        <w:pStyle w:val="null3"/>
      </w:pPr>
      <w:r>
        <w:rPr/>
        <w:t>5）参加采购活动前3年内，在经营活动中没有重大违法记录：参照投标（报价）函相关承诺格式内容。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采购包1（广东省第二人民医院新媒体运营服务采购项目）：</w:t>
      </w:r>
      <w:r>
        <w:rPr/>
        <w:t>本项目属于专门面向中小企业采购的项目，全部服务的承接方应为中小企业（监狱企业、残疾人福利单位视同小型、微型企业）【依据《中小企业声明函》或由省级以上监狱管理局、戒毒管理局(含新疆生产建设兵团)出具的承接方属于监狱企业的证明文件或承接方的《残疾人福利性单位声明函》】。</w:t>
      </w:r>
    </w:p>
    <w:p>
      <w:pPr>
        <w:pStyle w:val="null3"/>
        <w:outlineLvl w:val="3"/>
      </w:pPr>
      <w:r>
        <w:rPr>
          <w:sz w:val="24"/>
          <w:b/>
        </w:rPr>
        <w:t>3.本项目特定的资格要求：</w:t>
      </w:r>
    </w:p>
    <w:p>
      <w:pPr>
        <w:pStyle w:val="null3"/>
      </w:pPr>
      <w:r>
        <w:rPr/>
        <w:t>采购包1（广东省第二人民医院新媒体运营服务采购项目）：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 （以资格审查人员于投标（响应）截止时间当天在“信用中国”网站（www.creditchina.gov.cn）及中国政府采购网（http://www.ccgp.gov.cn/）查询结果为准，如相关失信记录已失效，供应商需提供相关证明资料。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r>
        <w:rPr/>
        <w:t>广东广招国际招标有限公司网（http://www.gztpc.com）</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广东省第二人民医院</w:t>
      </w:r>
    </w:p>
    <w:p>
      <w:pPr>
        <w:pStyle w:val="null3"/>
        <w:ind w:firstLine="480"/>
      </w:pPr>
      <w:r>
        <w:rPr/>
        <w:t xml:space="preserve"> 地址：</w:t>
      </w:r>
      <w:r>
        <w:rPr/>
        <w:t>广州市海珠区新港中路466号</w:t>
      </w:r>
    </w:p>
    <w:p>
      <w:pPr>
        <w:pStyle w:val="null3"/>
        <w:ind w:firstLine="480"/>
      </w:pPr>
      <w:r>
        <w:rPr/>
        <w:t xml:space="preserve"> 联系方式：</w:t>
      </w:r>
      <w:r>
        <w:rPr/>
        <w:t>020-89169101</w:t>
      </w:r>
    </w:p>
    <w:p>
      <w:pPr>
        <w:pStyle w:val="null3"/>
        <w:outlineLvl w:val="3"/>
      </w:pPr>
      <w:r>
        <w:rPr>
          <w:sz w:val="24"/>
          <w:b/>
        </w:rPr>
        <w:t xml:space="preserve"> 2.采购代理机构信息</w:t>
      </w:r>
    </w:p>
    <w:p>
      <w:pPr>
        <w:pStyle w:val="null3"/>
        <w:ind w:firstLine="480"/>
      </w:pPr>
      <w:r>
        <w:rPr/>
        <w:t xml:space="preserve"> 名称：</w:t>
      </w:r>
      <w:r>
        <w:rPr/>
        <w:t>广东广招国际招标有限公司</w:t>
      </w:r>
    </w:p>
    <w:p>
      <w:pPr>
        <w:pStyle w:val="null3"/>
        <w:ind w:firstLine="480"/>
      </w:pPr>
      <w:r>
        <w:rPr/>
        <w:t xml:space="preserve"> 地址：</w:t>
      </w:r>
      <w:r>
        <w:rPr/>
        <w:t>广州市越秀区东风东路745号紫园商务大厦2003单元</w:t>
      </w:r>
    </w:p>
    <w:p>
      <w:pPr>
        <w:pStyle w:val="null3"/>
        <w:ind w:firstLine="480"/>
      </w:pPr>
      <w:r>
        <w:rPr/>
        <w:t xml:space="preserve"> 联系方式：</w:t>
      </w:r>
      <w:r>
        <w:rPr/>
        <w:t>020-38931901、38931902、38931903转809或833</w:t>
      </w:r>
    </w:p>
    <w:p>
      <w:pPr>
        <w:pStyle w:val="null3"/>
        <w:outlineLvl w:val="3"/>
      </w:pPr>
      <w:r>
        <w:rPr>
          <w:sz w:val="24"/>
          <w:b/>
        </w:rPr>
        <w:t xml:space="preserve"> 3.项目联系方式</w:t>
      </w:r>
    </w:p>
    <w:p>
      <w:pPr>
        <w:pStyle w:val="null3"/>
        <w:ind w:firstLine="480"/>
      </w:pPr>
      <w:r>
        <w:rPr/>
        <w:t xml:space="preserve"> 项目联系人：</w:t>
      </w:r>
      <w:r>
        <w:rPr/>
        <w:t>黎工，林工（电话无人接听请发邮件lifengyi@gztpc.com咨询，我司会及时回复）</w:t>
      </w:r>
    </w:p>
    <w:p>
      <w:pPr>
        <w:pStyle w:val="null3"/>
        <w:ind w:firstLine="480"/>
      </w:pPr>
      <w:r>
        <w:rPr/>
        <w:t xml:space="preserve"> 电话：</w:t>
      </w:r>
      <w:r>
        <w:rPr/>
        <w:t>020-38931901、38931902、38931903转809或833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广东广招国际招标有限公司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0"/>
        </w:rPr>
        <w:t>项目属性：服务类</w:t>
      </w:r>
    </w:p>
    <w:p>
      <w:pPr>
        <w:pStyle w:val="null3"/>
        <w:jc w:val="left"/>
      </w:pPr>
      <w:r>
        <w:rPr>
          <w:sz w:val="20"/>
        </w:rPr>
        <w:t>品目分类：其他运营服务</w:t>
      </w:r>
    </w:p>
    <w:p>
      <w:pPr>
        <w:pStyle w:val="null3"/>
        <w:jc w:val="left"/>
      </w:pPr>
      <w:r>
        <w:rPr>
          <w:sz w:val="20"/>
        </w:rPr>
        <w:t>本项目对应的中小企业划分标准所属行业为：</w:t>
      </w:r>
      <w:r>
        <w:rPr/>
        <w:t xml:space="preserve"> </w:t>
      </w:r>
      <w:r>
        <w:rPr>
          <w:sz w:val="20"/>
        </w:rPr>
        <w:t>其他未列明行业。</w:t>
      </w:r>
    </w:p>
    <w:p>
      <w:pPr>
        <w:pStyle w:val="null3"/>
        <w:jc w:val="left"/>
      </w:pPr>
      <w:r>
        <w:rPr>
          <w:sz w:val="20"/>
        </w:rPr>
        <w:t>本项目通过公开招标的采购方式选取一家服务商，负责广东省第二人民医院新媒体运营服务工作。</w:t>
      </w:r>
    </w:p>
    <w:p>
      <w:pPr>
        <w:pStyle w:val="null3"/>
        <w:jc w:val="left"/>
      </w:pPr>
      <w:r>
        <w:rPr>
          <w:sz w:val="20"/>
        </w:rPr>
        <w:t>三、项目服务要求</w:t>
      </w:r>
    </w:p>
    <w:p>
      <w:pPr>
        <w:pStyle w:val="null3"/>
      </w:pPr>
      <w:r>
        <w:rPr/>
        <w:t>投标人须根据以下要求在投标文件中提供详细的方案，具体要求如下：</w:t>
      </w:r>
    </w:p>
    <w:p>
      <w:pPr>
        <w:pStyle w:val="null3"/>
      </w:pPr>
      <w:r>
        <w:rPr/>
        <w:t>（一）整体服务要求</w:t>
      </w:r>
    </w:p>
    <w:p>
      <w:pPr>
        <w:pStyle w:val="null3"/>
      </w:pPr>
      <w:r>
        <w:rPr/>
        <w:t>1</w:t>
      </w:r>
      <w:r>
        <w:rPr/>
        <w:t>．规范全链条标准化工作流程，覆盖前期筹备、日常内容产出、月度季度复盘、舆-情处置、项目归档全环节。</w:t>
      </w:r>
    </w:p>
    <w:p>
      <w:pPr>
        <w:pStyle w:val="null3"/>
      </w:pPr>
      <w:r>
        <w:rPr/>
        <w:t>2</w:t>
      </w:r>
      <w:r>
        <w:rPr/>
        <w:t>．细化各项服务时效标准，明确需求对接、视频制作、内容审核、舆-情上报处置等各类时限要求。</w:t>
      </w:r>
    </w:p>
    <w:p>
      <w:pPr>
        <w:pStyle w:val="null3"/>
      </w:pPr>
      <w:r>
        <w:rPr/>
        <w:t>3</w:t>
      </w:r>
      <w:r>
        <w:rPr/>
        <w:t>．落实人员、内容合规、拍摄设备、素材备份、知识产权保密多维度配套保障措施。</w:t>
      </w:r>
    </w:p>
    <w:p>
      <w:pPr>
        <w:pStyle w:val="null3"/>
      </w:pPr>
      <w:r>
        <w:rPr/>
        <w:t>4</w:t>
      </w:r>
      <w:r>
        <w:rPr/>
        <w:t>．建立完善内部管理制度，涵盖岗位职责、月度沟通、内容审核、舆-情分级管控、档案分类管理。</w:t>
      </w:r>
    </w:p>
    <w:p>
      <w:pPr>
        <w:pStyle w:val="null3"/>
      </w:pPr>
      <w:r>
        <w:rPr/>
        <w:t>5</w:t>
      </w:r>
      <w:r>
        <w:rPr/>
        <w:t>．实行月度自查、院方考核机制，对服务问题限期整改，形成完整闭环管理。</w:t>
      </w:r>
    </w:p>
    <w:p>
      <w:pPr>
        <w:pStyle w:val="null3"/>
      </w:pPr>
      <w:r>
        <w:rPr/>
        <w:t>（二）媒体宣传运作能力</w:t>
      </w:r>
    </w:p>
    <w:p>
      <w:pPr>
        <w:pStyle w:val="null3"/>
      </w:pPr>
      <w:r>
        <w:rPr/>
        <w:t>1</w:t>
      </w:r>
      <w:r>
        <w:rPr/>
        <w:t>．定制适配医院科普宣传专项宣传策略，结合科室特色、群众健康需求制定长短期传播规划，区分大众科普、专科专项、公益活动差异化推广思路。</w:t>
      </w:r>
    </w:p>
    <w:p>
      <w:pPr>
        <w:pStyle w:val="null3"/>
      </w:pPr>
      <w:r>
        <w:rPr/>
        <w:t>2</w:t>
      </w:r>
      <w:r>
        <w:rPr/>
        <w:t>．搭建标准化内容创作体系，规范选题策划、脚本撰写、实景拍摄、后期制作、内容审核全链条工作标准，产出图文、短视频、科普直播等多类型宣传素材。</w:t>
      </w:r>
    </w:p>
    <w:p>
      <w:pPr>
        <w:pStyle w:val="null3"/>
      </w:pPr>
      <w:r>
        <w:rPr/>
        <w:t>3</w:t>
      </w:r>
      <w:r>
        <w:rPr/>
        <w:t>．整合短视频平台、本地媒体、健康类自媒体、院内自有传播渠道资源，建立常态化联动宣发机制，拓宽科普曝光渠道。</w:t>
      </w:r>
    </w:p>
    <w:p>
      <w:pPr>
        <w:pStyle w:val="null3"/>
      </w:pPr>
      <w:r>
        <w:rPr/>
        <w:t>4</w:t>
      </w:r>
      <w:r>
        <w:rPr/>
        <w:t>．建立常态化数据采集、分类整理、深度分析机制，拆解播放、粉丝、转化等数据，形成月度分析总结，优化宣传方向。</w:t>
      </w:r>
    </w:p>
    <w:p>
      <w:pPr>
        <w:pStyle w:val="null3"/>
      </w:pPr>
      <w:r>
        <w:rPr/>
        <w:t>5</w:t>
      </w:r>
      <w:r>
        <w:rPr/>
        <w:t>．统筹抖音、视频号新媒体矩阵运营，统一账号视觉形象、内容调性，实现多平台差异化同步更新、协同宣发。</w:t>
      </w:r>
    </w:p>
    <w:p>
      <w:pPr>
        <w:pStyle w:val="null3"/>
      </w:pPr>
      <w:r>
        <w:rPr/>
        <w:t>6</w:t>
      </w:r>
      <w:r>
        <w:rPr/>
        <w:t>．建立内容创新迭代机制，结合热点健康话题、院内新技术、公益义诊策划特色宣传内容，提升受众关注度。</w:t>
      </w:r>
    </w:p>
    <w:p>
      <w:pPr>
        <w:pStyle w:val="null3"/>
      </w:pPr>
      <w:r>
        <w:rPr/>
        <w:t>7</w:t>
      </w:r>
      <w:r>
        <w:rPr/>
        <w:t>．搭建渠道联动宣发流程，重大健康专题统一矩阵同步推送，扩大传播覆盖面。</w:t>
      </w:r>
    </w:p>
    <w:p>
      <w:pPr>
        <w:pStyle w:val="null3"/>
      </w:pPr>
      <w:r>
        <w:rPr/>
        <w:t>8</w:t>
      </w:r>
      <w:r>
        <w:rPr/>
        <w:t>．依托数据复盘迭代宣传策略，针对低传播内容优化创作形式与选题方向，持续提升宣传实效。</w:t>
      </w:r>
    </w:p>
    <w:p>
      <w:pPr>
        <w:pStyle w:val="null3"/>
      </w:pPr>
      <w:r>
        <w:rPr/>
        <w:t>（三）质量服务保障措施</w:t>
      </w:r>
    </w:p>
    <w:p>
      <w:pPr>
        <w:pStyle w:val="null3"/>
      </w:pPr>
      <w:r>
        <w:rPr/>
        <w:t>1</w:t>
      </w:r>
      <w:r>
        <w:rPr/>
        <w:t>．明确全套服务质量承诺内容，涵盖产出标准、响应时效、合规要求、数据真实、售后兜底等承诺条款。</w:t>
      </w:r>
    </w:p>
    <w:p>
      <w:pPr>
        <w:pStyle w:val="null3"/>
      </w:pPr>
      <w:r>
        <w:rPr/>
        <w:t>2</w:t>
      </w:r>
      <w:r>
        <w:rPr/>
        <w:t>．制定服务质量承诺落地执行方式，建立月度核查、季度核验、年度总检三层核查机制，逐项对照承诺核对履约情况。</w:t>
      </w:r>
    </w:p>
    <w:p>
      <w:pPr>
        <w:pStyle w:val="null3"/>
      </w:pPr>
      <w:r>
        <w:rPr/>
        <w:t>3</w:t>
      </w:r>
      <w:r>
        <w:rPr/>
        <w:t>．确立项目服务核心质量原则，坚守医疗合规、科普真实、时效达标、全程可控、闭环整改五大服务准则。</w:t>
      </w:r>
    </w:p>
    <w:p>
      <w:pPr>
        <w:pStyle w:val="null3"/>
      </w:pPr>
      <w:r>
        <w:rPr/>
        <w:t>4</w:t>
      </w:r>
      <w:r>
        <w:rPr/>
        <w:t>．配套质量承诺专项保障措施，从人员、内容、审核、舆-情、档案多维度管控，出现不达标事项限时整改、复核销号。</w:t>
      </w:r>
    </w:p>
    <w:p>
      <w:pPr>
        <w:pStyle w:val="null3"/>
      </w:pPr>
      <w:r>
        <w:rPr/>
        <w:t>5</w:t>
      </w:r>
      <w:r>
        <w:rPr/>
        <w:t>．建立全周期成本控制措施，合理调配人力设备资源，优化拍摄制作排期，杜绝无效重复作业，严控额外支出。</w:t>
      </w:r>
    </w:p>
    <w:p>
      <w:pPr>
        <w:pStyle w:val="null3"/>
      </w:pPr>
      <w:r>
        <w:rPr/>
        <w:t>6</w:t>
      </w:r>
      <w:r>
        <w:rPr/>
        <w:t>．设置服务质量奖惩与违约处置机制，未履行承诺按约定落实整改及相应约束条款。</w:t>
      </w:r>
    </w:p>
    <w:p>
      <w:pPr>
        <w:pStyle w:val="null3"/>
      </w:pPr>
      <w:r>
        <w:rPr/>
        <w:t>7</w:t>
      </w:r>
      <w:r>
        <w:rPr/>
        <w:t>．搭建质量问题快速反馈通道，科室可随时反馈服务缺陷，及时响应处置并回访确认整改效果。</w:t>
      </w:r>
    </w:p>
    <w:p>
      <w:pPr>
        <w:pStyle w:val="null3"/>
      </w:pPr>
      <w:r>
        <w:rPr/>
        <w:t>（四）项目突发预案</w:t>
      </w:r>
    </w:p>
    <w:p>
      <w:pPr>
        <w:pStyle w:val="null3"/>
      </w:pPr>
      <w:r>
        <w:rPr/>
        <w:t>1</w:t>
      </w:r>
      <w:r>
        <w:rPr/>
        <w:t>．全面预判项目各类突发风险，涵盖舆-情危机、人员缺位、拍摄受阻、素材损坏、账号异常、数据造假、科室需求冲突等各类突发情形。</w:t>
      </w:r>
    </w:p>
    <w:p>
      <w:pPr>
        <w:pStyle w:val="null3"/>
      </w:pPr>
      <w:r>
        <w:rPr/>
        <w:t>2</w:t>
      </w:r>
      <w:r>
        <w:rPr/>
        <w:t>．针对不同突发事件制定分级应急处置措施，明确上报时限、现场处置步骤、临时替代方案，保障运营工作不中断。</w:t>
      </w:r>
    </w:p>
    <w:p>
      <w:pPr>
        <w:pStyle w:val="null3"/>
      </w:pPr>
      <w:r>
        <w:rPr/>
        <w:t>3</w:t>
      </w:r>
      <w:r>
        <w:rPr/>
        <w:t>．建立全周期风险管理机制，划分事前预防、事中处置、事后复盘三大管控环节，形成风险台账动态更新。</w:t>
      </w:r>
    </w:p>
    <w:p>
      <w:pPr>
        <w:pStyle w:val="null3"/>
      </w:pPr>
      <w:r>
        <w:rPr/>
        <w:t>4</w:t>
      </w:r>
      <w:r>
        <w:rPr/>
        <w:t>．落实事前风险防控手段，常态化开展合规、舆-情、岗位培训，提前储备替补人员、备用拍摄设备、备用内容脚本。</w:t>
      </w:r>
    </w:p>
    <w:p>
      <w:pPr>
        <w:pStyle w:val="null3"/>
      </w:pPr>
      <w:r>
        <w:rPr/>
        <w:t>5</w:t>
      </w:r>
      <w:r>
        <w:rPr/>
        <w:t>．突发事项处置完成后及时开展复盘，梳理风险成因，优化运营流程，规避同类问题重复发生。</w:t>
      </w:r>
    </w:p>
    <w:p>
      <w:pPr>
        <w:pStyle w:val="null3"/>
      </w:pPr>
      <w:r>
        <w:rPr/>
        <w:t>6</w:t>
      </w:r>
      <w:r>
        <w:rPr/>
        <w:t>．建立风险考核机制，将突发问题处置成效纳入月度服务质量核查，落实整改闭环管理。</w:t>
      </w:r>
    </w:p>
    <w:p>
      <w:pPr>
        <w:pStyle w:val="null3"/>
      </w:pPr>
      <w:r>
        <w:rPr/>
        <w:t xml:space="preserve"> </w:t>
      </w:r>
    </w:p>
    <w:p>
      <w:pPr>
        <w:pStyle w:val="null3"/>
      </w:pPr>
      <w:r>
        <w:rPr/>
        <w:t xml:space="preserve"> </w:t>
      </w:r>
    </w:p>
    <w:p>
      <w:pPr>
        <w:pStyle w:val="null3"/>
      </w:pPr>
      <w:r>
        <w:rPr/>
        <w:t>采购包1（广东省第二人民医院新媒体运营服务采购项目）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自签订合同之日起一年。</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1期：支付比例30%,采购人于合同生效之日起 15 个工作日内，向中标人支付合同总价的 30%。</w:t>
            </w:r>
          </w:p>
          <w:p>
            <w:pPr>
              <w:pStyle w:val="null3"/>
            </w:pPr>
            <w:r>
              <w:rPr/>
              <w:t>2期：支付比例20%,服务期满第 1 个季度，中标人完成本合同约定全部季度考核指标并经采购人考核合格后，采购人于 15 个工作日内支付合同总价的 20%。</w:t>
            </w:r>
          </w:p>
          <w:p>
            <w:pPr>
              <w:pStyle w:val="null3"/>
            </w:pPr>
            <w:r>
              <w:rPr/>
              <w:t>3期：支付比例20%,服务期满第 2 个季度，中标人完成本合同约定全部季度考核指标并经采购人考核合格后，采购人于 15 个工作日内支付合同总价的 20%。</w:t>
            </w:r>
          </w:p>
          <w:p>
            <w:pPr>
              <w:pStyle w:val="null3"/>
            </w:pPr>
            <w:r>
              <w:rPr/>
              <w:t>4期：支付比例30%,服务期满，中标人完成合同约定全部考核内容，经采购人整体验收合格后，采购人于 15 个工作日内支付合同总价剩余 30%。 各期款项支付前，中标人须向采购人提供与当期支付金额等额、合法有效的发票；收款单位、发票开具单位、合同乙方必须与中标人名称完全一致。除第一期预付款外，其余各期款项均须以对应周期考核合格为付款前置条件，考核未达标的，采购人有权顺延支付或按合同约定予以扣减。</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1期：1、验收时间：中标人完成全部服务内容后，中标人向采购人提出书面验收申请，采购人收到申请且对申请资料无异议的，7日内组织验收，验收应在采购人与中标人双方共同参加下进行。 2、验收标准：中标人已完成本项目、采购文件以及中标人投标文件的全部服务事项，且能满足采购人的采购需求，配合采购人完成归档。 3、采购人按照合同、采购文件及中标人投标文件的约定和有关法律法规的规定对中标人服务进行验收，符合验收标准，验收通过的，采购人出具验收通过文件。 4、验收时如发现服务内容不符合合同约定、项目需求、采购人要求或法律规定之情形，采购人应做出详尽的现场记录，中标人确认后此现场记录或相关备忘录可用作补充、缺失的有效证据。由此产生的有关费用由中标人承担。</w:t>
            </w:r>
          </w:p>
        </w:tc>
      </w:tr>
      <w:tr>
        <w:tc>
          <w:tcPr>
            <w:tcW w:type="dxa" w:w="4153"/>
          </w:tcPr>
          <w:p>
            <w:pPr>
              <w:pStyle w:val="null3"/>
            </w:pPr>
            <w:r>
              <w:rPr/>
              <w:t>履约保证金</w:t>
            </w:r>
          </w:p>
        </w:tc>
        <w:tc>
          <w:tcPr>
            <w:tcW w:type="dxa" w:w="4153"/>
          </w:tcPr>
          <w:p>
            <w:pPr>
              <w:pStyle w:val="null3"/>
            </w:pPr>
            <w:r>
              <w:rPr/>
              <w:t>交纳比例：5%</w:t>
            </w:r>
          </w:p>
          <w:p>
            <w:pPr>
              <w:pStyle w:val="null3"/>
            </w:pPr>
            <w:r>
              <w:rPr/>
              <w:t>缴费渠道：</w:t>
            </w:r>
            <w:r>
              <w:rPr/>
              <w:t>电子保函（保险）</w:t>
            </w:r>
            <w:r>
              <w:rPr/>
              <w:t>、支票（本票、汇票）</w:t>
            </w:r>
            <w:r>
              <w:rPr/>
              <w:t>、其他</w:t>
            </w:r>
          </w:p>
          <w:p>
            <w:pPr>
              <w:pStyle w:val="null3"/>
            </w:pPr>
            <w:r>
              <w:rPr/>
              <w:t>账号：44050301040002090</w:t>
            </w:r>
          </w:p>
          <w:p>
            <w:pPr>
              <w:pStyle w:val="null3"/>
            </w:pPr>
            <w:r>
              <w:rPr/>
              <w:t>户名：广东省第二人民医院</w:t>
            </w:r>
          </w:p>
          <w:p>
            <w:pPr>
              <w:pStyle w:val="null3"/>
            </w:pPr>
            <w:r>
              <w:rPr/>
              <w:t>开户行：农行广州赤岗支行</w:t>
            </w:r>
          </w:p>
          <w:p>
            <w:pPr>
              <w:pStyle w:val="null3"/>
            </w:pPr>
            <w:r>
              <w:rPr/>
              <w:t>支票提交方式：非现金形式；按采购人要求提交</w:t>
            </w:r>
          </w:p>
          <w:p>
            <w:pPr>
              <w:pStyle w:val="null3"/>
            </w:pPr>
            <w:r>
              <w:rPr/>
              <w:t>汇票、本票提交方式：非现金形式；按采购人要求提交</w:t>
            </w:r>
          </w:p>
          <w:p>
            <w:pPr>
              <w:pStyle w:val="null3"/>
            </w:pPr>
            <w:r>
              <w:rPr/>
              <w:t>说明：1、提交说明： (1)时间：中标人在合同签订后10日内向采购人提交履约保证金（金额为合同总金额的5%）； (2)方式：银行出具的不可撤销、见索即付、有效期限至少覆盖本项目服务期限的履约保函等非现金保证金形式。 2、退还说明： (1)时间、方式和条件：待项目所约定服务内容完成后，采购人无息退还履约保证金。 (2)中标人违反合同及其附件约定的任何义务，采购人有权在履约保证金中直接扣除中标人应向采购人支付的违约金或损失赔偿额，如有不足的，中标人应对超过的部分予以补足。 （3）中标人不按合同规定提交履约保证金，视为中标人违约，采购人有权单方面解除合同且不须承担任何违约责任</w:t>
            </w:r>
          </w:p>
          <w:p>
            <w:pPr>
              <w:pStyle w:val="null3"/>
            </w:pPr>
            <w:r>
              <w:rPr/>
              <w:t xml:space="preserve"> 履约保证金可以以履约保函（保险）形式提供，目前"广东政府采购智慧云平台金融服务中心(https://gdgpo.czt.gd.gov.cn/zcdservice/zcd/guangdong/)已实现电子履约保函（保险）在线办理功能，有意愿供应商可自行办理提供。</w:t>
            </w:r>
          </w:p>
        </w:tc>
      </w:tr>
      <w:tr>
        <w:tc>
          <w:tcPr>
            <w:tcW w:type="dxa" w:w="4153"/>
          </w:tcPr>
          <w:p>
            <w:pPr>
              <w:pStyle w:val="null3"/>
            </w:pPr>
            <w:r>
              <w:rPr/>
              <w:t>其他</w:t>
            </w:r>
          </w:p>
        </w:tc>
        <w:tc>
          <w:tcPr>
            <w:tcW w:type="dxa" w:w="4153"/>
          </w:tcPr>
          <w:p>
            <w:pPr>
              <w:pStyle w:val="null3"/>
            </w:pPr>
            <w:r>
              <w:rPr/>
              <w:t>报价说明：，★1．本项目按可承接合作科室数量进行报价，投标人须在投标文件中明确填报本项目可提供新媒体运营服务的合作科室数量，投标人承诺可承接服务的合作科室数量：26个≤合作科室数量≤55个，否则作无效投标处理。 2．评标基准价确定规则：满足招标文件全部实质性要求、且填报可承接合作科室数量最多的投标人对应的投标报价为本项目评标基准价。 3．投标人填报的可承接合作科室数量在中标后作为合同考核内容，采购人可根据医院实际业务需要，在投标人中标承接数量范围内动态调整实际开展运营的科室清单。 4．采购人可根据医院实际业务需要，在投标人中标承接数量范围内动态调整实际开展运营的科室清单。 ★5．本项目如线上编制投标文件必须报价可按照招标文件要求报固定总价：3,000,000.00元。 ★6.本项目采购预算包括但不限于为实施并完成本项目的人力成本、设备成本、管理费、利润、税金等。供应商参与本项目调研报价即视为已考虑到为完成本项目可能产生的一切费用及风险，采购人不再支付额外费用。</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其他运营服务</w:t>
            </w:r>
          </w:p>
        </w:tc>
        <w:tc>
          <w:tcPr>
            <w:tcW w:type="dxa" w:w="933"/>
          </w:tcPr>
          <w:p>
            <w:pPr>
              <w:pStyle w:val="null3"/>
              <w:jc w:val="left"/>
            </w:pPr>
            <w:r>
              <w:rPr/>
              <w:t>广东省第二人民医院新媒体运营服务采购项目</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3,000,000.00</w:t>
            </w:r>
          </w:p>
        </w:tc>
        <w:tc>
          <w:tcPr>
            <w:tcW w:type="dxa" w:w="933"/>
          </w:tcPr>
          <w:p>
            <w:pPr>
              <w:pStyle w:val="null3"/>
              <w:jc w:val="right"/>
            </w:pPr>
            <w:r>
              <w:rPr/>
              <w:t>3,000,000.00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广东省第二人民医院新媒体运营服务采购项目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hd w:fill="FFFFFF" w:val="clear"/>
              </w:rPr>
              <w:t>一、服务内容及要求</w:t>
            </w:r>
          </w:p>
          <w:p>
            <w:pPr>
              <w:pStyle w:val="null3"/>
              <w:jc w:val="both"/>
            </w:pPr>
            <w:r>
              <w:rPr>
                <w:shd w:fill="FFFFFF" w:val="clear"/>
              </w:rPr>
              <w:t>（一）账号搭建规划</w:t>
            </w:r>
          </w:p>
          <w:p>
            <w:pPr>
              <w:pStyle w:val="null3"/>
              <w:jc w:val="both"/>
            </w:pPr>
            <w:r>
              <w:rPr>
                <w:shd w:fill="FFFFFF" w:val="clear"/>
              </w:rPr>
              <w:t>广东省第二人民医院属于三级甲等公立医院，结合抖音和视频号认证规则，医院和科室意向搭建平台如下：</w:t>
            </w:r>
          </w:p>
          <w:p>
            <w:pPr>
              <w:pStyle w:val="null3"/>
              <w:jc w:val="both"/>
            </w:pPr>
            <w:r>
              <w:rPr>
                <w:shd w:fill="FFFFFF" w:val="clear"/>
              </w:rPr>
              <w:t>1</w:t>
            </w:r>
            <w:r>
              <w:rPr>
                <w:shd w:fill="FFFFFF" w:val="clear"/>
              </w:rPr>
              <w:t>、宣传平台：抖音、视频号新媒体平台；</w:t>
            </w:r>
          </w:p>
          <w:p>
            <w:pPr>
              <w:pStyle w:val="null3"/>
              <w:jc w:val="both"/>
            </w:pPr>
            <w:r>
              <w:rPr>
                <w:shd w:fill="FFFFFF" w:val="clear"/>
              </w:rPr>
              <w:t>2</w:t>
            </w:r>
            <w:r>
              <w:rPr>
                <w:shd w:fill="FFFFFF" w:val="clear"/>
              </w:rPr>
              <w:t>、账号：</w:t>
            </w:r>
            <w:r>
              <w:rPr>
                <w:shd w:fill="FFFFFF" w:val="clear"/>
              </w:rPr>
              <w:t>针对科室自媒体开展全案</w:t>
            </w:r>
            <w:r>
              <w:rPr>
                <w:shd w:fill="FFFFFF" w:val="clear"/>
              </w:rPr>
              <w:t>IP</w:t>
            </w:r>
            <w:r>
              <w:rPr>
                <w:shd w:fill="FFFFFF" w:val="clear"/>
              </w:rPr>
              <w:t>运营服务，结合医院战略部署及各专病中心建设情况，动态拓展运营覆盖范围，持续新增运营科室及医生</w:t>
            </w:r>
            <w:r>
              <w:rPr>
                <w:shd w:fill="FFFFFF" w:val="clear"/>
              </w:rPr>
              <w:t>IP</w:t>
            </w:r>
            <w:r>
              <w:rPr>
                <w:shd w:fill="FFFFFF" w:val="clear"/>
              </w:rPr>
              <w:t>。现阶段运营的科室及对应医生</w:t>
            </w:r>
            <w:r>
              <w:rPr>
                <w:shd w:fill="FFFFFF" w:val="clear"/>
              </w:rPr>
              <w:t>IP</w:t>
            </w:r>
            <w:r>
              <w:rPr>
                <w:shd w:fill="FFFFFF" w:val="clear"/>
              </w:rPr>
              <w:t>清单详见如下</w:t>
            </w:r>
            <w:r>
              <w:rPr>
                <w:shd w:fill="FFFFFF" w:val="clear"/>
              </w:rPr>
              <w:t>，</w:t>
            </w:r>
            <w:r>
              <w:rPr>
                <w:shd w:fill="FFFFFF" w:val="clear"/>
              </w:rPr>
              <w:t>未在清单中列出的科室，采购人根据医院运营需要</w:t>
            </w:r>
            <w:r>
              <w:rPr/>
              <w:t>动态调整</w:t>
            </w:r>
            <w:r>
              <w:rPr>
                <w:shd w:fill="FFFFFF" w:val="clear"/>
              </w:rPr>
              <w:t>：</w:t>
            </w:r>
          </w:p>
          <w:tbl>
            <w:tblPr>
              <w:tblBorders>
                <w:top w:val="none" w:color="000000" w:sz="4"/>
                <w:left w:val="none" w:color="000000" w:sz="4"/>
                <w:bottom w:val="none" w:color="000000" w:sz="4"/>
                <w:right w:val="none" w:color="000000" w:sz="4"/>
                <w:insideH w:val="none"/>
                <w:insideV w:val="none"/>
              </w:tblBorders>
            </w:tblPr>
            <w:tblGrid>
              <w:gridCol w:w="856"/>
              <w:gridCol w:w="2089"/>
              <w:gridCol w:w="1558"/>
              <w:gridCol w:w="1096"/>
            </w:tblGrid>
            <w:tr>
              <w:tc>
                <w:tcPr>
                  <w:tcW w:type="dxa" w:w="85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序号</w:t>
                  </w:r>
                </w:p>
              </w:tc>
              <w:tc>
                <w:tcPr>
                  <w:tcW w:type="dxa" w:w="208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科室</w:t>
                  </w:r>
                </w:p>
              </w:tc>
              <w:tc>
                <w:tcPr>
                  <w:tcW w:type="dxa" w:w="155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医生主</w:t>
                  </w:r>
                  <w:r>
                    <w:rPr>
                      <w:sz w:val="18"/>
                      <w:color w:val="000000"/>
                    </w:rPr>
                    <w:t>IP</w:t>
                  </w:r>
                </w:p>
              </w:tc>
              <w:tc>
                <w:tcPr>
                  <w:tcW w:type="dxa" w:w="109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辅助</w:t>
                  </w:r>
                  <w:r>
                    <w:rPr>
                      <w:sz w:val="18"/>
                      <w:color w:val="000000"/>
                    </w:rPr>
                    <w:t>IP</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显微修复骨科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牟勇</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2</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超声科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马力</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3</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介入血管科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肖承江</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刘昊</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4</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疼痛科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黄乔东</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5</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神经医学中心</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何旭英</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王墨</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6</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脊柱骨科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周治来</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7</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关节骨一科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许长鹏</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8</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肿瘤科二病区</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张绪慧</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9</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泌尿外科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邱晓拂</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10</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生殖医学中心</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欧湘红</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陈雷宁</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11</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创伤骨科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孙大炜</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12</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血液科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余国攀</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13</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关节骨二科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林周胜</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14</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小儿外科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苏诚</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15</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淋巴外科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祝李霖</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16</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妇科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付霞霏</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17</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风湿免疫科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郑少玲</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17</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阿尔茨海默症中心</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栾萍教授</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19</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产科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孟丽丽</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20</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多汗症微创治疗中心</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刘瑞健</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r>
              <w:tc>
                <w:tcPr>
                  <w:tcW w:type="dxa" w:w="8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21</w:t>
                  </w:r>
                </w:p>
              </w:tc>
              <w:tc>
                <w:tcPr>
                  <w:tcW w:type="dxa" w:w="20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color w:val="000000"/>
                    </w:rPr>
                    <w:t>眼科</w:t>
                  </w:r>
                </w:p>
              </w:tc>
              <w:tc>
                <w:tcPr>
                  <w:tcW w:type="dxa" w:w="1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颜志超</w:t>
                  </w:r>
                </w:p>
              </w:tc>
              <w:tc>
                <w:tcPr>
                  <w:tcW w:type="dxa" w:w="1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8"/>
                    </w:rPr>
                    <w:t>待定</w:t>
                  </w:r>
                </w:p>
              </w:tc>
            </w:tr>
          </w:tbl>
          <w:p>
            <w:pPr>
              <w:pStyle w:val="null3"/>
              <w:jc w:val="both"/>
            </w:pPr>
            <w:r>
              <w:rPr>
                <w:shd w:fill="FFFFFF" w:val="clear"/>
              </w:rPr>
              <w:t>（二）账号运营与管理</w:t>
            </w:r>
          </w:p>
          <w:p>
            <w:pPr>
              <w:pStyle w:val="null3"/>
              <w:jc w:val="both"/>
            </w:pPr>
            <w:r>
              <w:rPr>
                <w:shd w:fill="FFFFFF" w:val="clear"/>
              </w:rPr>
              <w:t>围绕医院、科室、医生</w:t>
            </w:r>
            <w:r>
              <w:rPr>
                <w:shd w:fill="FFFFFF" w:val="clear"/>
              </w:rPr>
              <w:t>IP</w:t>
            </w:r>
            <w:r>
              <w:rPr>
                <w:shd w:fill="FFFFFF" w:val="clear"/>
              </w:rPr>
              <w:t>的业务增长目标，提供全案运营服务，涵盖账号从</w:t>
            </w:r>
            <w:r>
              <w:rPr>
                <w:shd w:fill="FFFFFF" w:val="clear"/>
              </w:rPr>
              <w:t>基础</w:t>
            </w:r>
            <w:r>
              <w:rPr>
                <w:shd w:fill="FFFFFF" w:val="clear"/>
              </w:rPr>
              <w:t>搭建、内容生产、日常运维及数据分析全流程。</w:t>
            </w:r>
          </w:p>
          <w:p>
            <w:pPr>
              <w:pStyle w:val="null3"/>
              <w:jc w:val="both"/>
            </w:pPr>
            <w:r>
              <w:rPr>
                <w:shd w:fill="FFFFFF" w:val="clear"/>
              </w:rPr>
              <w:t>1</w:t>
            </w:r>
            <w:r>
              <w:rPr>
                <w:shd w:fill="FFFFFF" w:val="clear"/>
              </w:rPr>
              <w:t>、</w:t>
            </w:r>
            <w:r>
              <w:rPr>
                <w:shd w:fill="FFFFFF" w:val="clear"/>
              </w:rPr>
              <w:t>前期策划与搭建</w:t>
            </w:r>
          </w:p>
          <w:p>
            <w:pPr>
              <w:pStyle w:val="null3"/>
              <w:jc w:val="both"/>
            </w:pPr>
            <w:r>
              <w:rPr>
                <w:shd w:fill="FFFFFF" w:val="clear"/>
              </w:rPr>
              <w:t>（</w:t>
            </w:r>
            <w:r>
              <w:rPr>
                <w:shd w:fill="FFFFFF" w:val="clear"/>
              </w:rPr>
              <w:t>1</w:t>
            </w:r>
            <w:r>
              <w:rPr>
                <w:shd w:fill="FFFFFF" w:val="clear"/>
              </w:rPr>
              <w:t>）</w:t>
            </w:r>
            <w:r>
              <w:rPr>
                <w:shd w:fill="FFFFFF" w:val="clear"/>
              </w:rPr>
              <w:t>市场分析与策略制定：开展市场调研与竞品分析，明确账号定位与发展方向，制定运营方案，完成形象照拍摄等基础物料准备。</w:t>
            </w:r>
          </w:p>
          <w:p>
            <w:pPr>
              <w:pStyle w:val="null3"/>
              <w:jc w:val="both"/>
            </w:pPr>
            <w:r>
              <w:rPr>
                <w:shd w:fill="FFFFFF" w:val="clear"/>
              </w:rPr>
              <w:t>（</w:t>
            </w:r>
            <w:r>
              <w:rPr>
                <w:shd w:fill="FFFFFF" w:val="clear"/>
              </w:rPr>
              <w:t>2</w:t>
            </w:r>
            <w:r>
              <w:rPr>
                <w:shd w:fill="FFFFFF" w:val="clear"/>
              </w:rPr>
              <w:t>）</w:t>
            </w:r>
            <w:r>
              <w:rPr>
                <w:shd w:fill="FFFFFF" w:val="clear"/>
              </w:rPr>
              <w:t>账号策划：确定账号整体定位、人设定位及内容方向。</w:t>
            </w:r>
          </w:p>
          <w:p>
            <w:pPr>
              <w:pStyle w:val="null3"/>
              <w:jc w:val="both"/>
            </w:pPr>
            <w:r>
              <w:rPr>
                <w:shd w:fill="FFFFFF" w:val="clear"/>
              </w:rPr>
              <w:t>（</w:t>
            </w:r>
            <w:r>
              <w:rPr>
                <w:shd w:fill="FFFFFF" w:val="clear"/>
              </w:rPr>
              <w:t>3</w:t>
            </w:r>
            <w:r>
              <w:rPr>
                <w:shd w:fill="FFFFFF" w:val="clear"/>
              </w:rPr>
              <w:t>）</w:t>
            </w:r>
            <w:r>
              <w:rPr>
                <w:shd w:fill="FFFFFF" w:val="clear"/>
              </w:rPr>
              <w:t>账号注册与认证：协助完成账号的注册及平台认证流程。</w:t>
            </w:r>
          </w:p>
          <w:p>
            <w:pPr>
              <w:pStyle w:val="null3"/>
              <w:jc w:val="both"/>
            </w:pPr>
            <w:r>
              <w:rPr>
                <w:shd w:fill="FFFFFF" w:val="clear"/>
              </w:rPr>
              <w:t>（</w:t>
            </w:r>
            <w:r>
              <w:rPr>
                <w:shd w:fill="FFFFFF" w:val="clear"/>
              </w:rPr>
              <w:t>4</w:t>
            </w:r>
            <w:r>
              <w:rPr>
                <w:shd w:fill="FFFFFF" w:val="clear"/>
              </w:rPr>
              <w:t>）</w:t>
            </w:r>
            <w:r>
              <w:rPr>
                <w:shd w:fill="FFFFFF" w:val="clear"/>
              </w:rPr>
              <w:t>账号基础搭建：完成头像、头图、昵称、简介等视觉及信息配置，剪辑并发布置顶三条视频，确保账号形象统一、专业。</w:t>
            </w:r>
          </w:p>
          <w:p>
            <w:pPr>
              <w:pStyle w:val="null3"/>
              <w:jc w:val="both"/>
            </w:pPr>
            <w:r>
              <w:rPr>
                <w:shd w:fill="FFFFFF" w:val="clear"/>
              </w:rPr>
              <w:t>2</w:t>
            </w:r>
            <w:r>
              <w:rPr>
                <w:shd w:fill="FFFFFF" w:val="clear"/>
              </w:rPr>
              <w:t>、</w:t>
            </w:r>
            <w:r>
              <w:rPr>
                <w:shd w:fill="FFFFFF" w:val="clear"/>
              </w:rPr>
              <w:t>内容生产与制作</w:t>
            </w:r>
          </w:p>
          <w:p>
            <w:pPr>
              <w:pStyle w:val="null3"/>
              <w:jc w:val="both"/>
            </w:pPr>
            <w:r>
              <w:rPr>
                <w:shd w:fill="FFFFFF" w:val="clear"/>
              </w:rPr>
              <w:t>（</w:t>
            </w:r>
            <w:r>
              <w:rPr>
                <w:shd w:fill="FFFFFF" w:val="clear"/>
              </w:rPr>
              <w:t>1</w:t>
            </w:r>
            <w:r>
              <w:rPr>
                <w:shd w:fill="FFFFFF" w:val="clear"/>
              </w:rPr>
              <w:t>）</w:t>
            </w:r>
            <w:r>
              <w:rPr>
                <w:shd w:fill="FFFFFF" w:val="clear"/>
              </w:rPr>
              <w:t>内容策划：围绕账号定位，策划视频主题、文案脚本及互动活动。</w:t>
            </w:r>
          </w:p>
          <w:p>
            <w:pPr>
              <w:pStyle w:val="null3"/>
              <w:jc w:val="both"/>
            </w:pPr>
            <w:r>
              <w:rPr>
                <w:shd w:fill="FFFFFF" w:val="clear"/>
              </w:rPr>
              <w:t>（</w:t>
            </w:r>
            <w:r>
              <w:rPr>
                <w:shd w:fill="FFFFFF" w:val="clear"/>
              </w:rPr>
              <w:t>2</w:t>
            </w:r>
            <w:r>
              <w:rPr>
                <w:shd w:fill="FFFFFF" w:val="clear"/>
              </w:rPr>
              <w:t>）</w:t>
            </w:r>
            <w:r>
              <w:rPr>
                <w:shd w:fill="FFFFFF" w:val="clear"/>
              </w:rPr>
              <w:t>视频拍摄：根据策划方案进行实景拍摄，场景涵盖门诊、查房、手术等临床一线。</w:t>
            </w:r>
          </w:p>
          <w:p>
            <w:pPr>
              <w:pStyle w:val="null3"/>
              <w:jc w:val="both"/>
            </w:pPr>
            <w:r>
              <w:rPr>
                <w:shd w:fill="FFFFFF" w:val="clear"/>
              </w:rPr>
              <w:t>（</w:t>
            </w:r>
            <w:r>
              <w:rPr>
                <w:shd w:fill="FFFFFF" w:val="clear"/>
              </w:rPr>
              <w:t>3</w:t>
            </w:r>
            <w:r>
              <w:rPr>
                <w:shd w:fill="FFFFFF" w:val="clear"/>
              </w:rPr>
              <w:t>）</w:t>
            </w:r>
            <w:r>
              <w:rPr>
                <w:shd w:fill="FFFFFF" w:val="clear"/>
              </w:rPr>
              <w:t>内容剪辑与发布管理：对拍摄素材进行剪辑制作，并按计划发布管理。</w:t>
            </w:r>
          </w:p>
          <w:p>
            <w:pPr>
              <w:pStyle w:val="null3"/>
              <w:jc w:val="both"/>
            </w:pPr>
            <w:r>
              <w:rPr>
                <w:shd w:fill="FFFFFF" w:val="clear"/>
              </w:rPr>
              <w:t>▲（</w:t>
            </w:r>
            <w:r>
              <w:rPr>
                <w:shd w:fill="FFFFFF" w:val="clear"/>
              </w:rPr>
              <w:t>4</w:t>
            </w:r>
            <w:r>
              <w:rPr>
                <w:shd w:fill="FFFFFF" w:val="clear"/>
              </w:rPr>
              <w:t>）</w:t>
            </w:r>
            <w:r>
              <w:rPr>
                <w:shd w:fill="FFFFFF" w:val="clear"/>
              </w:rPr>
              <w:t>拍摄频次要求：每周到医院为每个科室拍摄</w:t>
            </w:r>
            <w:r>
              <w:rPr>
                <w:shd w:fill="FFFFFF" w:val="clear"/>
              </w:rPr>
              <w:t>1</w:t>
            </w:r>
            <w:r>
              <w:rPr>
                <w:shd w:fill="FFFFFF" w:val="clear"/>
              </w:rPr>
              <w:t>次</w:t>
            </w:r>
            <w:r>
              <w:rPr>
                <w:shd w:fill="FFFFFF" w:val="clear"/>
              </w:rPr>
              <w:t>及</w:t>
            </w:r>
            <w:r>
              <w:rPr/>
              <w:t>以上</w:t>
            </w:r>
            <w:r>
              <w:rPr>
                <w:shd w:fill="FFFFFF" w:val="clear"/>
              </w:rPr>
              <w:t>；每个医生</w:t>
            </w:r>
            <w:r>
              <w:rPr>
                <w:shd w:fill="FFFFFF" w:val="clear"/>
              </w:rPr>
              <w:t>IP</w:t>
            </w:r>
            <w:r>
              <w:rPr>
                <w:shd w:fill="FFFFFF" w:val="clear"/>
              </w:rPr>
              <w:t>账号每月发布</w:t>
            </w:r>
            <w:r>
              <w:rPr>
                <w:shd w:fill="FFFFFF" w:val="clear"/>
              </w:rPr>
              <w:t>20</w:t>
            </w:r>
            <w:r>
              <w:rPr>
                <w:shd w:fill="FFFFFF" w:val="clear"/>
              </w:rPr>
              <w:t>条</w:t>
            </w:r>
            <w:r>
              <w:rPr>
                <w:shd w:fill="FFFFFF" w:val="clear"/>
              </w:rPr>
              <w:t>及以上</w:t>
            </w:r>
            <w:r>
              <w:rPr>
                <w:shd w:fill="FFFFFF" w:val="clear"/>
              </w:rPr>
              <w:t>作品；医院官方账号根据融媒体中心</w:t>
            </w:r>
            <w:r>
              <w:rPr>
                <w:shd w:fill="FFFFFF" w:val="clear"/>
              </w:rPr>
              <w:t>需求协助发布</w:t>
            </w:r>
            <w:r>
              <w:rPr>
                <w:shd w:fill="FFFFFF" w:val="clear"/>
              </w:rPr>
              <w:t>。</w:t>
            </w:r>
          </w:p>
          <w:p>
            <w:pPr>
              <w:pStyle w:val="null3"/>
              <w:jc w:val="both"/>
            </w:pPr>
            <w:r>
              <w:rPr>
                <w:shd w:fill="FFFFFF" w:val="clear"/>
              </w:rPr>
              <w:t>3</w:t>
            </w:r>
            <w:r>
              <w:rPr>
                <w:shd w:fill="FFFFFF" w:val="clear"/>
              </w:rPr>
              <w:t>、</w:t>
            </w:r>
            <w:r>
              <w:rPr>
                <w:shd w:fill="FFFFFF" w:val="clear"/>
              </w:rPr>
              <w:t>日常运维与粉丝互动</w:t>
            </w:r>
          </w:p>
          <w:p>
            <w:pPr>
              <w:pStyle w:val="null3"/>
              <w:jc w:val="both"/>
            </w:pPr>
            <w:r>
              <w:rPr>
                <w:shd w:fill="FFFFFF" w:val="clear"/>
              </w:rPr>
              <w:t>（</w:t>
            </w:r>
            <w:r>
              <w:rPr>
                <w:shd w:fill="FFFFFF" w:val="clear"/>
              </w:rPr>
              <w:t>1</w:t>
            </w:r>
            <w:r>
              <w:rPr>
                <w:shd w:fill="FFFFFF" w:val="clear"/>
              </w:rPr>
              <w:t>）</w:t>
            </w:r>
            <w:r>
              <w:rPr>
                <w:shd w:fill="FFFFFF" w:val="clear"/>
              </w:rPr>
              <w:t>内容与合辑管理：对已发布视频进行分类管理和合辑整理。</w:t>
            </w:r>
          </w:p>
          <w:p>
            <w:pPr>
              <w:pStyle w:val="null3"/>
              <w:jc w:val="both"/>
            </w:pPr>
            <w:r>
              <w:rPr>
                <w:shd w:fill="FFFFFF" w:val="clear"/>
              </w:rPr>
              <w:t>（</w:t>
            </w:r>
            <w:r>
              <w:rPr>
                <w:shd w:fill="FFFFFF" w:val="clear"/>
              </w:rPr>
              <w:t>2</w:t>
            </w:r>
            <w:r>
              <w:rPr>
                <w:shd w:fill="FFFFFF" w:val="clear"/>
              </w:rPr>
              <w:t>）</w:t>
            </w:r>
            <w:r>
              <w:rPr>
                <w:shd w:fill="FFFFFF" w:val="clear"/>
              </w:rPr>
              <w:t>互动管理：负责粉丝、评论、私信的日常回复与维护，提升用户粘性。</w:t>
            </w:r>
          </w:p>
          <w:p>
            <w:pPr>
              <w:pStyle w:val="null3"/>
              <w:jc w:val="both"/>
            </w:pPr>
            <w:r>
              <w:rPr>
                <w:shd w:fill="FFFFFF" w:val="clear"/>
              </w:rPr>
              <w:t>4</w:t>
            </w:r>
            <w:r>
              <w:rPr>
                <w:shd w:fill="FFFFFF" w:val="clear"/>
              </w:rPr>
              <w:t>、</w:t>
            </w:r>
            <w:r>
              <w:rPr>
                <w:shd w:fill="FFFFFF" w:val="clear"/>
              </w:rPr>
              <w:t>数据</w:t>
            </w:r>
            <w:r>
              <w:rPr>
                <w:shd w:fill="FFFFFF" w:val="clear"/>
              </w:rPr>
              <w:t>分析与量化评估</w:t>
            </w:r>
          </w:p>
          <w:p>
            <w:pPr>
              <w:pStyle w:val="null3"/>
              <w:jc w:val="both"/>
            </w:pPr>
            <w:r>
              <w:rPr>
                <w:shd w:fill="FFFFFF" w:val="clear"/>
              </w:rPr>
              <w:t>（</w:t>
            </w:r>
            <w:r>
              <w:rPr>
                <w:shd w:fill="FFFFFF" w:val="clear"/>
              </w:rPr>
              <w:t>1</w:t>
            </w:r>
            <w:r>
              <w:rPr>
                <w:shd w:fill="FFFFFF" w:val="clear"/>
              </w:rPr>
              <w:t>）</w:t>
            </w:r>
            <w:r>
              <w:rPr>
                <w:shd w:fill="FFFFFF" w:val="clear"/>
              </w:rPr>
              <w:t>数据管理：建立系统化的数据记录与管理制度，对账号核心运营数据进行每日记录、每周汇总、每月归档。基础数据指标包括：播放量</w:t>
            </w:r>
            <w:r>
              <w:rPr>
                <w:shd w:fill="FFFFFF" w:val="clear"/>
              </w:rPr>
              <w:t>/</w:t>
            </w:r>
            <w:r>
              <w:rPr>
                <w:shd w:fill="FFFFFF" w:val="clear"/>
              </w:rPr>
              <w:t>阅读量、完播率、点赞量、评论量、转发量、收藏量、粉丝增长量、粉丝活跃时段、粉丝画像（年龄</w:t>
            </w:r>
            <w:r>
              <w:rPr>
                <w:shd w:fill="FFFFFF" w:val="clear"/>
              </w:rPr>
              <w:t>/</w:t>
            </w:r>
            <w:r>
              <w:rPr>
                <w:shd w:fill="FFFFFF" w:val="clear"/>
              </w:rPr>
              <w:t>性别</w:t>
            </w:r>
            <w:r>
              <w:rPr>
                <w:shd w:fill="FFFFFF" w:val="clear"/>
              </w:rPr>
              <w:t>/</w:t>
            </w:r>
            <w:r>
              <w:rPr>
                <w:shd w:fill="FFFFFF" w:val="clear"/>
              </w:rPr>
              <w:t>地域分布）等。</w:t>
            </w:r>
          </w:p>
          <w:p>
            <w:pPr>
              <w:pStyle w:val="null3"/>
              <w:jc w:val="both"/>
            </w:pPr>
            <w:r>
              <w:rPr>
                <w:shd w:fill="FFFFFF" w:val="clear"/>
              </w:rPr>
              <w:t>（</w:t>
            </w:r>
            <w:r>
              <w:rPr>
                <w:shd w:fill="FFFFFF" w:val="clear"/>
              </w:rPr>
              <w:t>2</w:t>
            </w:r>
            <w:r>
              <w:rPr>
                <w:shd w:fill="FFFFFF" w:val="clear"/>
              </w:rPr>
              <w:t>）</w:t>
            </w:r>
            <w:r>
              <w:rPr>
                <w:shd w:fill="FFFFFF" w:val="clear"/>
              </w:rPr>
              <w:t>运营</w:t>
            </w:r>
            <w:r>
              <w:rPr>
                <w:shd w:fill="FFFFFF" w:val="clear"/>
              </w:rPr>
              <w:t>分析</w:t>
            </w:r>
            <w:r>
              <w:rPr>
                <w:shd w:fill="FFFFFF" w:val="clear"/>
              </w:rPr>
              <w:t>：</w:t>
            </w:r>
          </w:p>
          <w:p>
            <w:pPr>
              <w:pStyle w:val="null3"/>
              <w:jc w:val="both"/>
            </w:pPr>
            <w:r>
              <w:rPr>
                <w:shd w:fill="FFFFFF" w:val="clear"/>
              </w:rPr>
              <w:t>①</w:t>
            </w:r>
            <w:r>
              <w:rPr>
                <w:shd w:fill="FFFFFF" w:val="clear"/>
              </w:rPr>
              <w:t>每周对上述基础数据进行同比、环比分析，评估内容表现趋势，识别高流量与低流量内容特征；</w:t>
            </w:r>
          </w:p>
          <w:p>
            <w:pPr>
              <w:pStyle w:val="null3"/>
              <w:jc w:val="both"/>
            </w:pPr>
            <w:r>
              <w:rPr>
                <w:shd w:fill="FFFFFF" w:val="clear"/>
              </w:rPr>
              <w:t>②</w:t>
            </w:r>
            <w:r>
              <w:rPr>
                <w:shd w:fill="FFFFFF" w:val="clear"/>
              </w:rPr>
              <w:t>每月开展一次全面复盘，将数据表现与账号定位、内容策略进行对照分析，输出《账号月度运营报告》（含数据报表、问题诊断、优化建议和下阶段内容规划），提交院方审核确认后执行；</w:t>
            </w:r>
          </w:p>
          <w:p>
            <w:pPr>
              <w:pStyle w:val="null3"/>
              <w:jc w:val="both"/>
            </w:pPr>
            <w:r>
              <w:rPr>
                <w:shd w:fill="FFFFFF" w:val="clear"/>
              </w:rPr>
              <w:t>③</w:t>
            </w:r>
            <w:r>
              <w:rPr>
                <w:shd w:fill="FFFFFF" w:val="clear"/>
              </w:rPr>
              <w:t>每季度进行一次行业竞品对标分析，与同级别医院</w:t>
            </w:r>
            <w:r>
              <w:rPr>
                <w:shd w:fill="FFFFFF" w:val="clear"/>
              </w:rPr>
              <w:t>/</w:t>
            </w:r>
            <w:r>
              <w:rPr>
                <w:shd w:fill="FFFFFF" w:val="clear"/>
              </w:rPr>
              <w:t>科室</w:t>
            </w:r>
            <w:r>
              <w:rPr>
                <w:shd w:fill="FFFFFF" w:val="clear"/>
              </w:rPr>
              <w:t>/</w:t>
            </w:r>
            <w:r>
              <w:rPr>
                <w:shd w:fill="FFFFFF" w:val="clear"/>
              </w:rPr>
              <w:t>医生账号的核心数据（粉丝量、互动率</w:t>
            </w:r>
            <w:r>
              <w:rPr>
                <w:shd w:fill="FFFFFF" w:val="clear"/>
              </w:rPr>
              <w:t>等</w:t>
            </w:r>
            <w:r>
              <w:rPr>
                <w:shd w:fill="FFFFFF" w:val="clear"/>
              </w:rPr>
              <w:t>）进行横向-对比，明确改进方向。</w:t>
            </w:r>
          </w:p>
          <w:p>
            <w:pPr>
              <w:pStyle w:val="null3"/>
              <w:jc w:val="both"/>
            </w:pPr>
            <w:r>
              <w:rPr>
                <w:shd w:fill="FFFFFF" w:val="clear"/>
              </w:rPr>
              <w:t>5</w:t>
            </w:r>
            <w:r>
              <w:rPr>
                <w:shd w:fill="FFFFFF" w:val="clear"/>
              </w:rPr>
              <w:t>、</w:t>
            </w:r>
            <w:r>
              <w:rPr>
                <w:shd w:fill="FFFFFF" w:val="clear"/>
              </w:rPr>
              <w:t>主要考核指标</w:t>
            </w:r>
          </w:p>
          <w:p>
            <w:pPr>
              <w:pStyle w:val="null3"/>
              <w:jc w:val="both"/>
            </w:pPr>
            <w:r>
              <w:rPr>
                <w:shd w:fill="FFFFFF" w:val="clear"/>
              </w:rPr>
              <w:t>▲</w:t>
            </w:r>
            <w:r>
              <w:rPr>
                <w:shd w:fill="FFFFFF" w:val="clear"/>
              </w:rPr>
              <w:t>当前</w:t>
            </w:r>
            <w:r>
              <w:rPr>
                <w:shd w:fill="FFFFFF" w:val="clear"/>
              </w:rPr>
              <w:t>21</w:t>
            </w:r>
            <w:r>
              <w:rPr>
                <w:shd w:fill="FFFFFF" w:val="clear"/>
              </w:rPr>
              <w:t>个</w:t>
            </w:r>
            <w:r>
              <w:rPr>
                <w:shd w:fill="FFFFFF" w:val="clear"/>
              </w:rPr>
              <w:t>运营</w:t>
            </w:r>
            <w:r>
              <w:rPr>
                <w:shd w:fill="FFFFFF" w:val="clear"/>
              </w:rPr>
              <w:t>科室所有</w:t>
            </w:r>
            <w:r>
              <w:rPr>
                <w:shd w:fill="FFFFFF" w:val="clear"/>
              </w:rPr>
              <w:t>IP</w:t>
            </w:r>
            <w:r>
              <w:rPr>
                <w:shd w:fill="FFFFFF" w:val="clear"/>
              </w:rPr>
              <w:t>全平台</w:t>
            </w:r>
            <w:r>
              <w:rPr>
                <w:shd w:fill="FFFFFF" w:val="clear"/>
              </w:rPr>
              <w:t>全年</w:t>
            </w:r>
            <w:r>
              <w:rPr>
                <w:shd w:fill="FFFFFF" w:val="clear"/>
              </w:rPr>
              <w:t>累计播放量不少于</w:t>
            </w:r>
            <w:r>
              <w:rPr>
                <w:shd w:fill="FFFFFF" w:val="clear"/>
              </w:rPr>
              <w:t>5.228</w:t>
            </w:r>
            <w:r>
              <w:rPr>
                <w:shd w:fill="FFFFFF" w:val="clear"/>
              </w:rPr>
              <w:t>亿（包括但不限于</w:t>
            </w:r>
            <w:r>
              <w:rPr>
                <w:shd w:fill="FFFFFF" w:val="clear"/>
              </w:rPr>
              <w:t>“</w:t>
            </w:r>
            <w:r>
              <w:rPr>
                <w:shd w:fill="FFFFFF" w:val="clear"/>
              </w:rPr>
              <w:t>抖音、视频号</w:t>
            </w:r>
            <w:r>
              <w:rPr>
                <w:shd w:fill="FFFFFF" w:val="clear"/>
              </w:rPr>
              <w:t>”</w:t>
            </w:r>
            <w:r>
              <w:rPr>
                <w:shd w:fill="FFFFFF" w:val="clear"/>
              </w:rPr>
              <w:t>等相关平台），合作科室全年门诊转化量合计不少于</w:t>
            </w:r>
            <w:r>
              <w:rPr>
                <w:shd w:fill="FFFFFF" w:val="clear"/>
              </w:rPr>
              <w:t>22150</w:t>
            </w:r>
            <w:r>
              <w:rPr>
                <w:shd w:fill="FFFFFF" w:val="clear"/>
              </w:rPr>
              <w:t>人次</w:t>
            </w:r>
            <w:r>
              <w:rPr>
                <w:shd w:fill="FFFFFF" w:val="clear"/>
              </w:rPr>
              <w:t>。</w:t>
            </w:r>
          </w:p>
          <w:p>
            <w:pPr>
              <w:pStyle w:val="null3"/>
              <w:jc w:val="both"/>
            </w:pPr>
            <w:r>
              <w:rPr>
                <w:shd w:fill="FFFFFF" w:val="clear"/>
              </w:rPr>
              <w:t>▲</w:t>
            </w:r>
            <w:r>
              <w:rPr>
                <w:shd w:fill="FFFFFF" w:val="clear"/>
              </w:rPr>
              <w:t>新增的每个合作科室所有医生</w:t>
            </w:r>
            <w:r>
              <w:rPr>
                <w:shd w:fill="FFFFFF" w:val="clear"/>
              </w:rPr>
              <w:t>IP</w:t>
            </w:r>
            <w:r>
              <w:rPr>
                <w:shd w:fill="FFFFFF" w:val="clear"/>
              </w:rPr>
              <w:t>账号的全平台</w:t>
            </w:r>
            <w:r>
              <w:rPr>
                <w:shd w:fill="FFFFFF" w:val="clear"/>
              </w:rPr>
              <w:t>全年</w:t>
            </w:r>
            <w:r>
              <w:rPr>
                <w:shd w:fill="FFFFFF" w:val="clear"/>
              </w:rPr>
              <w:t>累计播放量不少于</w:t>
            </w:r>
            <w:r>
              <w:rPr>
                <w:shd w:fill="FFFFFF" w:val="clear"/>
              </w:rPr>
              <w:t>600</w:t>
            </w:r>
            <w:r>
              <w:rPr>
                <w:shd w:fill="FFFFFF" w:val="clear"/>
              </w:rPr>
              <w:t>万</w:t>
            </w:r>
            <w:r>
              <w:rPr>
                <w:shd w:fill="FFFFFF" w:val="clear"/>
              </w:rPr>
              <w:t>（包括但不限于</w:t>
            </w:r>
            <w:r>
              <w:rPr>
                <w:shd w:fill="FFFFFF" w:val="clear"/>
              </w:rPr>
              <w:t>“</w:t>
            </w:r>
            <w:r>
              <w:rPr>
                <w:shd w:fill="FFFFFF" w:val="clear"/>
              </w:rPr>
              <w:t>抖音、视频号</w:t>
            </w:r>
            <w:r>
              <w:rPr>
                <w:shd w:fill="FFFFFF" w:val="clear"/>
              </w:rPr>
              <w:t>”</w:t>
            </w:r>
            <w:r>
              <w:rPr>
                <w:shd w:fill="FFFFFF" w:val="clear"/>
              </w:rPr>
              <w:t>等相关平台）</w:t>
            </w:r>
            <w:r>
              <w:rPr>
                <w:shd w:fill="FFFFFF" w:val="clear"/>
              </w:rPr>
              <w:t>,</w:t>
            </w:r>
            <w:r>
              <w:rPr>
                <w:shd w:fill="FFFFFF" w:val="clear"/>
              </w:rPr>
              <w:t>每个合作科室</w:t>
            </w:r>
            <w:r>
              <w:rPr>
                <w:shd w:fill="FFFFFF" w:val="clear"/>
              </w:rPr>
              <w:t>全年门诊转化量合计不少于</w:t>
            </w:r>
            <w:r>
              <w:rPr>
                <w:shd w:fill="FFFFFF" w:val="clear"/>
              </w:rPr>
              <w:t>500</w:t>
            </w:r>
            <w:r>
              <w:rPr>
                <w:shd w:fill="FFFFFF" w:val="clear"/>
              </w:rPr>
              <w:t>人次</w:t>
            </w:r>
            <w:r>
              <w:rPr>
                <w:shd w:fill="FFFFFF" w:val="clear"/>
              </w:rPr>
              <w:t>。</w:t>
            </w:r>
          </w:p>
          <w:p>
            <w:pPr>
              <w:pStyle w:val="null3"/>
              <w:jc w:val="both"/>
            </w:pPr>
            <w:r>
              <w:rPr>
                <w:shd w:fill="FFFFFF" w:val="clear"/>
              </w:rPr>
              <w:t>▲</w:t>
            </w:r>
            <w:r>
              <w:rPr>
                <w:shd w:fill="FFFFFF" w:val="clear"/>
              </w:rPr>
              <w:t>（</w:t>
            </w:r>
            <w:r>
              <w:rPr>
                <w:shd w:fill="FFFFFF" w:val="clear"/>
              </w:rPr>
              <w:t>1</w:t>
            </w:r>
            <w:r>
              <w:rPr>
                <w:shd w:fill="FFFFFF" w:val="clear"/>
              </w:rPr>
              <w:t>）整体指标：合作科室医生</w:t>
            </w:r>
            <w:r>
              <w:rPr>
                <w:shd w:fill="FFFFFF" w:val="clear"/>
              </w:rPr>
              <w:t>IP</w:t>
            </w:r>
            <w:r>
              <w:rPr>
                <w:shd w:fill="FFFFFF" w:val="clear"/>
              </w:rPr>
              <w:t>账号运营每季度工作目标及</w:t>
            </w:r>
            <w:r>
              <w:rPr>
                <w:shd w:fill="FFFFFF" w:val="clear"/>
              </w:rPr>
              <w:t>1</w:t>
            </w:r>
            <w:r>
              <w:rPr>
                <w:shd w:fill="FFFFFF" w:val="clear"/>
              </w:rPr>
              <w:t>年后应达到的效果如下</w:t>
            </w:r>
            <w:r>
              <w:rPr>
                <w:shd w:fill="FFFFFF" w:val="clear"/>
              </w:rPr>
              <w:t>（</w:t>
            </w:r>
            <w:r>
              <w:rPr>
                <w:shd w:fill="FFFFFF" w:val="clear"/>
              </w:rPr>
              <w:t>包含新增合作科室医生</w:t>
            </w:r>
            <w:r>
              <w:rPr>
                <w:shd w:fill="FFFFFF" w:val="clear"/>
              </w:rPr>
              <w:t>IP</w:t>
            </w:r>
            <w:r>
              <w:rPr>
                <w:shd w:fill="FFFFFF" w:val="clear"/>
              </w:rPr>
              <w:t>账号</w:t>
            </w:r>
            <w:r>
              <w:rPr/>
              <w:t>）</w:t>
            </w:r>
            <w:r>
              <w:rPr>
                <w:shd w:fill="FFFFFF" w:val="clear"/>
              </w:rPr>
              <w:t>：</w:t>
            </w:r>
          </w:p>
          <w:tbl>
            <w:tblPr>
              <w:tblInd w:type="dxa" w:w="120"/>
              <w:tblBorders>
                <w:top w:val="none" w:color="000000" w:sz="4"/>
                <w:left w:val="none" w:color="000000" w:sz="4"/>
                <w:bottom w:val="none" w:color="000000" w:sz="4"/>
                <w:right w:val="none" w:color="000000" w:sz="4"/>
                <w:insideH w:val="none"/>
                <w:insideV w:val="none"/>
              </w:tblBorders>
            </w:tblPr>
            <w:tblGrid>
              <w:gridCol w:w="1095"/>
              <w:gridCol w:w="780"/>
              <w:gridCol w:w="705"/>
              <w:gridCol w:w="750"/>
              <w:gridCol w:w="750"/>
              <w:gridCol w:w="810"/>
              <w:gridCol w:w="675"/>
            </w:tblGrid>
            <w:tr>
              <w:tc>
                <w:tcPr>
                  <w:tcW w:type="dxa" w:w="1875"/>
                  <w:gridSpan w:val="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指标</w:t>
                  </w:r>
                </w:p>
              </w:tc>
              <w:tc>
                <w:tcPr>
                  <w:tcW w:type="dxa" w:w="70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1</w:t>
                  </w:r>
                  <w:r>
                    <w:rPr>
                      <w:sz w:val="19"/>
                      <w:shd w:fill="FFFFFF" w:val="clear"/>
                    </w:rPr>
                    <w:t>季度</w:t>
                  </w:r>
                </w:p>
              </w:tc>
              <w:tc>
                <w:tcPr>
                  <w:tcW w:type="dxa" w:w="75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2</w:t>
                  </w:r>
                  <w:r>
                    <w:rPr>
                      <w:sz w:val="19"/>
                      <w:shd w:fill="FFFFFF" w:val="clear"/>
                    </w:rPr>
                    <w:t>季度</w:t>
                  </w:r>
                </w:p>
              </w:tc>
              <w:tc>
                <w:tcPr>
                  <w:tcW w:type="dxa" w:w="75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3</w:t>
                  </w:r>
                  <w:r>
                    <w:rPr>
                      <w:sz w:val="19"/>
                      <w:shd w:fill="FFFFFF" w:val="clear"/>
                    </w:rPr>
                    <w:t>季度</w:t>
                  </w:r>
                </w:p>
              </w:tc>
              <w:tc>
                <w:tcPr>
                  <w:tcW w:type="dxa" w:w="81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4</w:t>
                  </w:r>
                  <w:r>
                    <w:rPr>
                      <w:sz w:val="19"/>
                      <w:shd w:fill="FFFFFF" w:val="clear"/>
                    </w:rPr>
                    <w:t>季度</w:t>
                  </w:r>
                </w:p>
              </w:tc>
              <w:tc>
                <w:tcPr>
                  <w:tcW w:type="dxa" w:w="6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全年汇总</w:t>
                  </w:r>
                </w:p>
              </w:tc>
            </w:tr>
            <w:tr>
              <w:tc>
                <w:tcPr>
                  <w:tcW w:type="dxa" w:w="109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视频发布</w:t>
                  </w:r>
                  <w:r>
                    <w:rPr>
                      <w:sz w:val="19"/>
                      <w:shd w:fill="FFFFFF" w:val="clear"/>
                    </w:rPr>
                    <w:t>（条）</w:t>
                  </w:r>
                </w:p>
              </w:tc>
              <w:tc>
                <w:tcPr>
                  <w:tcW w:type="dxa" w:w="7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每个主</w:t>
                  </w:r>
                  <w:r>
                    <w:rPr>
                      <w:sz w:val="19"/>
                      <w:shd w:fill="FFFFFF" w:val="clear"/>
                    </w:rPr>
                    <w:t>IP</w:t>
                  </w:r>
                </w:p>
              </w:tc>
              <w:tc>
                <w:tcPr>
                  <w:tcW w:type="dxa" w:w="7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6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240</w:t>
                  </w:r>
                </w:p>
              </w:tc>
            </w:tr>
            <w:tr>
              <w:tc>
                <w:tcPr>
                  <w:tcW w:type="dxa" w:w="1095"/>
                  <w:vMerge/>
                  <w:tcBorders>
                    <w:top w:val="none" w:color="000000" w:sz="4"/>
                    <w:left w:val="single" w:color="000000" w:sz="4"/>
                    <w:bottom w:val="single" w:color="000000" w:sz="4"/>
                    <w:right w:val="single" w:color="000000" w:sz="4"/>
                  </w:tcBorders>
                </w:tcPr>
                <w:p/>
              </w:tc>
              <w:tc>
                <w:tcPr>
                  <w:tcW w:type="dxa" w:w="7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每个辅助</w:t>
                  </w:r>
                  <w:r>
                    <w:rPr>
                      <w:sz w:val="19"/>
                      <w:shd w:fill="FFFFFF" w:val="clear"/>
                    </w:rPr>
                    <w:t>IP</w:t>
                  </w:r>
                </w:p>
              </w:tc>
              <w:tc>
                <w:tcPr>
                  <w:tcW w:type="dxa" w:w="7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45</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45</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45</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45</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180</w:t>
                  </w:r>
                </w:p>
              </w:tc>
            </w:tr>
            <w:tr>
              <w:tc>
                <w:tcPr>
                  <w:tcW w:type="dxa" w:w="109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累计粉丝增量（万）</w:t>
                  </w:r>
                </w:p>
              </w:tc>
              <w:tc>
                <w:tcPr>
                  <w:tcW w:type="dxa" w:w="7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每个主</w:t>
                  </w:r>
                  <w:r>
                    <w:rPr>
                      <w:sz w:val="19"/>
                      <w:shd w:fill="FFFFFF" w:val="clear"/>
                    </w:rPr>
                    <w:t>IP</w:t>
                  </w:r>
                </w:p>
              </w:tc>
              <w:tc>
                <w:tcPr>
                  <w:tcW w:type="dxa" w:w="7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w:t>
                  </w:r>
                </w:p>
              </w:tc>
            </w:tr>
            <w:tr>
              <w:tc>
                <w:tcPr>
                  <w:tcW w:type="dxa" w:w="1095"/>
                  <w:vMerge/>
                  <w:tcBorders>
                    <w:top w:val="none" w:color="000000" w:sz="4"/>
                    <w:left w:val="single" w:color="000000" w:sz="4"/>
                    <w:bottom w:val="single" w:color="000000" w:sz="4"/>
                    <w:right w:val="single" w:color="000000" w:sz="4"/>
                  </w:tcBorders>
                </w:tcPr>
                <w:p/>
              </w:tc>
              <w:tc>
                <w:tcPr>
                  <w:tcW w:type="dxa" w:w="7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每个辅助</w:t>
                  </w:r>
                  <w:r>
                    <w:rPr>
                      <w:sz w:val="19"/>
                      <w:shd w:fill="FFFFFF" w:val="clear"/>
                    </w:rPr>
                    <w:t>IP</w:t>
                  </w:r>
                </w:p>
              </w:tc>
              <w:tc>
                <w:tcPr>
                  <w:tcW w:type="dxa" w:w="7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0.5</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w:t>
                  </w:r>
                </w:p>
              </w:tc>
              <w:tc>
                <w:tcPr>
                  <w:tcW w:type="dxa" w:w="8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w:t>
                  </w:r>
                </w:p>
              </w:tc>
            </w:tr>
          </w:tbl>
          <w:p>
            <w:pPr>
              <w:pStyle w:val="null3"/>
              <w:jc w:val="both"/>
            </w:pPr>
            <w:r>
              <w:rPr>
                <w:shd w:fill="FFFFFF" w:val="clear"/>
              </w:rPr>
              <w:t>▲</w:t>
            </w:r>
            <w:r>
              <w:rPr>
                <w:shd w:fill="FFFFFF" w:val="clear"/>
              </w:rPr>
              <w:t>（</w:t>
            </w:r>
            <w:r>
              <w:rPr>
                <w:shd w:fill="FFFFFF" w:val="clear"/>
              </w:rPr>
              <w:t>2</w:t>
            </w:r>
            <w:r>
              <w:rPr>
                <w:shd w:fill="FFFFFF" w:val="clear"/>
              </w:rPr>
              <w:t>）合作科室医生</w:t>
            </w:r>
            <w:r>
              <w:rPr>
                <w:shd w:fill="FFFFFF" w:val="clear"/>
              </w:rPr>
              <w:t>IP</w:t>
            </w:r>
            <w:r>
              <w:rPr>
                <w:shd w:fill="FFFFFF" w:val="clear"/>
              </w:rPr>
              <w:t>账号运营每季度</w:t>
            </w:r>
            <w:r>
              <w:rPr>
                <w:shd w:fill="FFFFFF" w:val="clear"/>
              </w:rPr>
              <w:t>全平台累计播放量指标如下，单位：万</w:t>
            </w:r>
            <w:r>
              <w:rPr>
                <w:shd w:fill="FFFFFF" w:val="clear"/>
              </w:rPr>
              <w:t>:</w:t>
            </w:r>
          </w:p>
          <w:tbl>
            <w:tblPr>
              <w:tblInd w:type="dxa" w:w="120"/>
              <w:tblBorders>
                <w:top w:val="none" w:color="000000" w:sz="4"/>
                <w:left w:val="none" w:color="000000" w:sz="4"/>
                <w:bottom w:val="none" w:color="000000" w:sz="4"/>
                <w:right w:val="none" w:color="000000" w:sz="4"/>
                <w:insideH w:val="none"/>
                <w:insideV w:val="none"/>
              </w:tblBorders>
            </w:tblPr>
            <w:tblGrid>
              <w:gridCol w:w="1860"/>
              <w:gridCol w:w="675"/>
              <w:gridCol w:w="675"/>
              <w:gridCol w:w="735"/>
              <w:gridCol w:w="750"/>
              <w:gridCol w:w="870"/>
            </w:tblGrid>
            <w:tr>
              <w:tc>
                <w:tcPr>
                  <w:tcW w:type="dxa" w:w="186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科室</w:t>
                  </w:r>
                </w:p>
              </w:tc>
              <w:tc>
                <w:tcPr>
                  <w:tcW w:type="dxa" w:w="6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1</w:t>
                  </w:r>
                  <w:r>
                    <w:rPr>
                      <w:sz w:val="19"/>
                      <w:shd w:fill="FFFFFF" w:val="clear"/>
                    </w:rPr>
                    <w:t>季度</w:t>
                  </w:r>
                </w:p>
              </w:tc>
              <w:tc>
                <w:tcPr>
                  <w:tcW w:type="dxa" w:w="6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2</w:t>
                  </w:r>
                  <w:r>
                    <w:rPr>
                      <w:sz w:val="19"/>
                      <w:shd w:fill="FFFFFF" w:val="clear"/>
                    </w:rPr>
                    <w:t>季度</w:t>
                  </w:r>
                </w:p>
              </w:tc>
              <w:tc>
                <w:tcPr>
                  <w:tcW w:type="dxa" w:w="73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3</w:t>
                  </w:r>
                  <w:r>
                    <w:rPr>
                      <w:sz w:val="19"/>
                      <w:shd w:fill="FFFFFF" w:val="clear"/>
                    </w:rPr>
                    <w:t>季度</w:t>
                  </w:r>
                </w:p>
              </w:tc>
              <w:tc>
                <w:tcPr>
                  <w:tcW w:type="dxa" w:w="75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4</w:t>
                  </w:r>
                  <w:r>
                    <w:rPr>
                      <w:sz w:val="19"/>
                      <w:shd w:fill="FFFFFF" w:val="clear"/>
                    </w:rPr>
                    <w:t>季度</w:t>
                  </w:r>
                </w:p>
              </w:tc>
              <w:tc>
                <w:tcPr>
                  <w:tcW w:type="dxa" w:w="87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汇总</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显微修复骨科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2200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9700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超声科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800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1200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4500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介入血管科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800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2100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疼痛科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神经医学中心</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1200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1800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6500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脊柱骨科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关节骨一科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1800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7800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肿瘤科二病区</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800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800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3200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泌尿外科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生殖医学中心</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350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450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创伤骨科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800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2200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血液科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关节骨二科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800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2900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小儿外科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淋巴外科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800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1200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3500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妇科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900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风湿免疫科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120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730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阿尔茨海默症中心</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120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730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产科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多汗症微创治疗中心</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眼科</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120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500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1120</w:t>
                  </w:r>
                </w:p>
              </w:tc>
            </w:tr>
            <w:tr>
              <w:tc>
                <w:tcPr>
                  <w:tcW w:type="dxa" w:w="1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播放量合计</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9140</w:t>
                  </w:r>
                </w:p>
              </w:tc>
              <w:tc>
                <w:tcPr>
                  <w:tcW w:type="dxa" w:w="6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11640</w:t>
                  </w:r>
                </w:p>
              </w:tc>
              <w:tc>
                <w:tcPr>
                  <w:tcW w:type="dxa" w:w="7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14150</w:t>
                  </w:r>
                </w:p>
              </w:tc>
              <w:tc>
                <w:tcPr>
                  <w:tcW w:type="dxa" w:w="75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17350</w:t>
                  </w:r>
                </w:p>
              </w:tc>
              <w:tc>
                <w:tcPr>
                  <w:tcW w:type="dxa" w:w="8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52280</w:t>
                  </w:r>
                </w:p>
              </w:tc>
            </w:tr>
          </w:tbl>
          <w:p>
            <w:pPr>
              <w:pStyle w:val="null3"/>
              <w:jc w:val="both"/>
            </w:pPr>
            <w:r>
              <w:rPr>
                <w:shd w:fill="FFFFFF" w:val="clear"/>
              </w:rPr>
              <w:t>新增合作运营科室，每个科室的</w:t>
            </w:r>
            <w:r>
              <w:rPr>
                <w:shd w:fill="FFFFFF" w:val="clear"/>
              </w:rPr>
              <w:t>运营每季度</w:t>
            </w:r>
            <w:r>
              <w:rPr>
                <w:shd w:fill="FFFFFF" w:val="clear"/>
              </w:rPr>
              <w:t>全平台累计播放量指标</w:t>
            </w:r>
            <w:r>
              <w:rPr>
                <w:shd w:fill="FFFFFF" w:val="clear"/>
              </w:rPr>
              <w:t>要求</w:t>
            </w:r>
            <w:r>
              <w:rPr>
                <w:shd w:fill="FFFFFF" w:val="clear"/>
              </w:rPr>
              <w:t>如下，单位：万</w:t>
            </w:r>
            <w:r>
              <w:rPr/>
              <w:t>：</w:t>
            </w:r>
          </w:p>
          <w:tbl>
            <w:tblPr>
              <w:tblInd w:type="dxa" w:w="105"/>
              <w:tblBorders>
                <w:top w:val="none" w:color="000000" w:sz="4"/>
                <w:left w:val="none" w:color="000000" w:sz="4"/>
                <w:bottom w:val="none" w:color="000000" w:sz="4"/>
                <w:right w:val="none" w:color="000000" w:sz="4"/>
                <w:insideH w:val="none"/>
                <w:insideV w:val="none"/>
              </w:tblBorders>
            </w:tblPr>
            <w:tblGrid>
              <w:gridCol w:w="1425"/>
              <w:gridCol w:w="720"/>
              <w:gridCol w:w="645"/>
              <w:gridCol w:w="735"/>
              <w:gridCol w:w="750"/>
              <w:gridCol w:w="1290"/>
            </w:tblGrid>
            <w:tr>
              <w:tc>
                <w:tcPr>
                  <w:tcW w:type="dxa" w:w="1425"/>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shd w:fill="FFFFFF" w:val="clear"/>
                    </w:rPr>
                    <w:t>科室</w:t>
                  </w:r>
                </w:p>
              </w:tc>
              <w:tc>
                <w:tcPr>
                  <w:tcW w:type="dxa" w:w="720"/>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第</w:t>
                  </w:r>
                  <w:r>
                    <w:rPr>
                      <w:sz w:val="19"/>
                      <w:shd w:fill="FFFFFF" w:val="clear"/>
                    </w:rPr>
                    <w:t>1</w:t>
                  </w:r>
                  <w:r>
                    <w:rPr>
                      <w:sz w:val="19"/>
                      <w:shd w:fill="FFFFFF" w:val="clear"/>
                    </w:rPr>
                    <w:t>季度</w:t>
                  </w:r>
                </w:p>
              </w:tc>
              <w:tc>
                <w:tcPr>
                  <w:tcW w:type="dxa" w:w="645"/>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第</w:t>
                  </w:r>
                  <w:r>
                    <w:rPr>
                      <w:sz w:val="19"/>
                      <w:shd w:fill="FFFFFF" w:val="clear"/>
                    </w:rPr>
                    <w:t>2</w:t>
                  </w:r>
                  <w:r>
                    <w:rPr>
                      <w:sz w:val="19"/>
                      <w:shd w:fill="FFFFFF" w:val="clear"/>
                    </w:rPr>
                    <w:t>季度</w:t>
                  </w:r>
                </w:p>
              </w:tc>
              <w:tc>
                <w:tcPr>
                  <w:tcW w:type="dxa" w:w="735"/>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第</w:t>
                  </w:r>
                  <w:r>
                    <w:rPr>
                      <w:sz w:val="19"/>
                      <w:shd w:fill="FFFFFF" w:val="clear"/>
                    </w:rPr>
                    <w:t>3</w:t>
                  </w:r>
                  <w:r>
                    <w:rPr>
                      <w:sz w:val="19"/>
                      <w:shd w:fill="FFFFFF" w:val="clear"/>
                    </w:rPr>
                    <w:t>季度</w:t>
                  </w:r>
                </w:p>
              </w:tc>
              <w:tc>
                <w:tcPr>
                  <w:tcW w:type="dxa" w:w="750"/>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第</w:t>
                  </w:r>
                  <w:r>
                    <w:rPr>
                      <w:sz w:val="19"/>
                      <w:shd w:fill="FFFFFF" w:val="clear"/>
                    </w:rPr>
                    <w:t>4</w:t>
                  </w:r>
                  <w:r>
                    <w:rPr>
                      <w:sz w:val="19"/>
                      <w:shd w:fill="FFFFFF" w:val="clear"/>
                    </w:rPr>
                    <w:t>季度</w:t>
                  </w:r>
                </w:p>
              </w:tc>
              <w:tc>
                <w:tcPr>
                  <w:tcW w:type="dxa" w:w="1290"/>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shd w:fill="FFFFFF" w:val="clear"/>
                    </w:rPr>
                    <w:t>汇总</w:t>
                  </w:r>
                </w:p>
              </w:tc>
            </w:tr>
            <w:tr>
              <w:tc>
                <w:tcPr>
                  <w:tcW w:type="dxa" w:w="142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根据医院运营需要动态调整</w:t>
                  </w:r>
                </w:p>
              </w:tc>
              <w:tc>
                <w:tcPr>
                  <w:tcW w:type="dxa" w:w="72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shd w:fill="FFFFFF" w:val="clear"/>
                    </w:rPr>
                    <w:t>100</w:t>
                  </w:r>
                </w:p>
              </w:tc>
              <w:tc>
                <w:tcPr>
                  <w:tcW w:type="dxa" w:w="64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shd w:fill="FFFFFF" w:val="clear"/>
                    </w:rPr>
                    <w:t>150</w:t>
                  </w:r>
                </w:p>
              </w:tc>
              <w:tc>
                <w:tcPr>
                  <w:tcW w:type="dxa" w:w="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shd w:fill="FFFFFF" w:val="clear"/>
                    </w:rPr>
                    <w:t>150</w:t>
                  </w:r>
                </w:p>
              </w:tc>
              <w:tc>
                <w:tcPr>
                  <w:tcW w:type="dxa" w:w="75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shd w:fill="FFFFFF" w:val="clear"/>
                    </w:rPr>
                    <w:t>200</w:t>
                  </w:r>
                </w:p>
              </w:tc>
              <w:tc>
                <w:tcPr>
                  <w:tcW w:type="dxa" w:w="129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shd w:fill="FFFFFF" w:val="clear"/>
                    </w:rPr>
                    <w:t>600</w:t>
                  </w:r>
                </w:p>
              </w:tc>
            </w:tr>
          </w:tbl>
          <w:p>
            <w:pPr>
              <w:pStyle w:val="null3"/>
              <w:jc w:val="both"/>
            </w:pPr>
            <w:r>
              <w:rPr>
                <w:shd w:fill="FFFFFF" w:val="clear"/>
              </w:rPr>
              <w:t>▲</w:t>
            </w:r>
            <w:r>
              <w:rPr>
                <w:shd w:fill="FFFFFF" w:val="clear"/>
              </w:rPr>
              <w:t>（</w:t>
            </w:r>
            <w:r>
              <w:rPr>
                <w:shd w:fill="FFFFFF" w:val="clear"/>
              </w:rPr>
              <w:t>3</w:t>
            </w:r>
            <w:r>
              <w:rPr>
                <w:shd w:fill="FFFFFF" w:val="clear"/>
              </w:rPr>
              <w:t>）合作科室医生</w:t>
            </w:r>
            <w:r>
              <w:rPr>
                <w:shd w:fill="FFFFFF" w:val="clear"/>
              </w:rPr>
              <w:t>IP</w:t>
            </w:r>
            <w:r>
              <w:rPr>
                <w:shd w:fill="FFFFFF" w:val="clear"/>
              </w:rPr>
              <w:t>账号运营每季度</w:t>
            </w:r>
            <w:r>
              <w:rPr>
                <w:shd w:fill="FFFFFF" w:val="clear"/>
              </w:rPr>
              <w:t>到诊量指标如下，单位</w:t>
            </w:r>
            <w:r>
              <w:rPr>
                <w:shd w:fill="FFFFFF" w:val="clear"/>
              </w:rPr>
              <w:t>:</w:t>
            </w:r>
            <w:r>
              <w:rPr>
                <w:shd w:fill="FFFFFF" w:val="clear"/>
              </w:rPr>
              <w:t>人次</w:t>
            </w:r>
          </w:p>
          <w:tbl>
            <w:tblPr>
              <w:tblInd w:type="dxa" w:w="120"/>
              <w:tblBorders>
                <w:top w:val="none" w:color="000000" w:sz="4"/>
                <w:left w:val="none" w:color="000000" w:sz="4"/>
                <w:bottom w:val="none" w:color="000000" w:sz="4"/>
                <w:right w:val="none" w:color="000000" w:sz="4"/>
                <w:insideH w:val="none"/>
                <w:insideV w:val="none"/>
              </w:tblBorders>
            </w:tblPr>
            <w:tblGrid>
              <w:gridCol w:w="1787"/>
              <w:gridCol w:w="715"/>
              <w:gridCol w:w="759"/>
              <w:gridCol w:w="804"/>
              <w:gridCol w:w="804"/>
              <w:gridCol w:w="730"/>
            </w:tblGrid>
            <w:tr>
              <w:tc>
                <w:tcPr>
                  <w:tcW w:type="dxa" w:w="178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科室</w:t>
                  </w:r>
                </w:p>
              </w:tc>
              <w:tc>
                <w:tcPr>
                  <w:tcW w:type="dxa" w:w="71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1</w:t>
                  </w:r>
                  <w:r>
                    <w:rPr>
                      <w:sz w:val="19"/>
                      <w:shd w:fill="FFFFFF" w:val="clear"/>
                    </w:rPr>
                    <w:t>季度</w:t>
                  </w:r>
                </w:p>
              </w:tc>
              <w:tc>
                <w:tcPr>
                  <w:tcW w:type="dxa" w:w="7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2</w:t>
                  </w:r>
                  <w:r>
                    <w:rPr>
                      <w:sz w:val="19"/>
                      <w:shd w:fill="FFFFFF" w:val="clear"/>
                    </w:rPr>
                    <w:t>季度</w:t>
                  </w:r>
                </w:p>
              </w:tc>
              <w:tc>
                <w:tcPr>
                  <w:tcW w:type="dxa" w:w="80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3</w:t>
                  </w:r>
                  <w:r>
                    <w:rPr>
                      <w:sz w:val="19"/>
                      <w:shd w:fill="FFFFFF" w:val="clear"/>
                    </w:rPr>
                    <w:t>季度</w:t>
                  </w:r>
                </w:p>
              </w:tc>
              <w:tc>
                <w:tcPr>
                  <w:tcW w:type="dxa" w:w="80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第</w:t>
                  </w:r>
                  <w:r>
                    <w:rPr>
                      <w:sz w:val="19"/>
                      <w:shd w:fill="FFFFFF" w:val="clear"/>
                    </w:rPr>
                    <w:t>4</w:t>
                  </w:r>
                  <w:r>
                    <w:rPr>
                      <w:sz w:val="19"/>
                      <w:shd w:fill="FFFFFF" w:val="clear"/>
                    </w:rPr>
                    <w:t>季度</w:t>
                  </w:r>
                </w:p>
              </w:tc>
              <w:tc>
                <w:tcPr>
                  <w:tcW w:type="dxa" w:w="73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汇总</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显微修复骨科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800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2900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超声科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1400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介入血管科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疼痛科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120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480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神经医学中心</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脊柱骨科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关节骨一科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800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1400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4400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肿瘤科二病区</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510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泌尿外科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560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生殖医学中心</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900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创伤骨科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750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血液科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关节骨二科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900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小儿外科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250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淋巴外科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1400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妇科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960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风湿免疫科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960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阿尔茨海默症中心</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510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产科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510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多汗症微创治疗中心</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860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眼科</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100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150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650</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到诊量合计</w:t>
                  </w:r>
                </w:p>
              </w:tc>
              <w:tc>
                <w:tcPr>
                  <w:tcW w:type="dxa" w:w="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3230</w:t>
                  </w:r>
                </w:p>
              </w:tc>
              <w:tc>
                <w:tcPr>
                  <w:tcW w:type="dxa" w:w="7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4850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6270</w:t>
                  </w:r>
                </w:p>
              </w:tc>
              <w:tc>
                <w:tcPr>
                  <w:tcW w:type="dxa" w:w="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7800</w:t>
                  </w:r>
                </w:p>
              </w:tc>
              <w:tc>
                <w:tcPr>
                  <w:tcW w:type="dxa" w:w="73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shd w:fill="FFFFFF" w:val="clear"/>
                    </w:rPr>
                    <w:t>22150</w:t>
                  </w:r>
                </w:p>
              </w:tc>
            </w:tr>
          </w:tbl>
          <w:p>
            <w:pPr>
              <w:pStyle w:val="null3"/>
              <w:jc w:val="both"/>
            </w:pPr>
            <w:r>
              <w:rPr>
                <w:shd w:fill="FFFFFF" w:val="clear"/>
              </w:rPr>
              <w:t>▲</w:t>
            </w:r>
            <w:r>
              <w:rPr>
                <w:shd w:fill="FFFFFF" w:val="clear"/>
              </w:rPr>
              <w:t>新增运营科室，每个科室</w:t>
            </w:r>
            <w:r>
              <w:rPr>
                <w:shd w:fill="FFFFFF" w:val="clear"/>
              </w:rPr>
              <w:t>运营每季度</w:t>
            </w:r>
            <w:r>
              <w:rPr>
                <w:shd w:fill="FFFFFF" w:val="clear"/>
              </w:rPr>
              <w:t>到诊量指标</w:t>
            </w:r>
            <w:r>
              <w:rPr>
                <w:shd w:fill="FFFFFF" w:val="clear"/>
              </w:rPr>
              <w:t>最低要求如下，单位：人次：</w:t>
            </w:r>
          </w:p>
          <w:tbl>
            <w:tblPr>
              <w:tblInd w:type="dxa" w:w="120"/>
              <w:tblBorders>
                <w:top w:val="none" w:color="000000" w:sz="4"/>
                <w:left w:val="none" w:color="000000" w:sz="4"/>
                <w:bottom w:val="none" w:color="000000" w:sz="4"/>
                <w:right w:val="none" w:color="000000" w:sz="4"/>
                <w:insideH w:val="none"/>
                <w:insideV w:val="none"/>
              </w:tblBorders>
            </w:tblPr>
            <w:tblGrid>
              <w:gridCol w:w="1425"/>
              <w:gridCol w:w="720"/>
              <w:gridCol w:w="645"/>
              <w:gridCol w:w="735"/>
              <w:gridCol w:w="750"/>
              <w:gridCol w:w="1290"/>
            </w:tblGrid>
            <w:tr>
              <w:tc>
                <w:tcPr>
                  <w:tcW w:type="dxa" w:w="1425"/>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科室</w:t>
                  </w:r>
                </w:p>
              </w:tc>
              <w:tc>
                <w:tcPr>
                  <w:tcW w:type="dxa" w:w="720"/>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第</w:t>
                  </w:r>
                  <w:r>
                    <w:rPr>
                      <w:sz w:val="19"/>
                      <w:shd w:fill="FFFFFF" w:val="clear"/>
                    </w:rPr>
                    <w:t>1</w:t>
                  </w:r>
                  <w:r>
                    <w:rPr>
                      <w:sz w:val="19"/>
                      <w:shd w:fill="FFFFFF" w:val="clear"/>
                    </w:rPr>
                    <w:t>季度</w:t>
                  </w:r>
                </w:p>
              </w:tc>
              <w:tc>
                <w:tcPr>
                  <w:tcW w:type="dxa" w:w="645"/>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第</w:t>
                  </w:r>
                  <w:r>
                    <w:rPr>
                      <w:sz w:val="19"/>
                      <w:shd w:fill="FFFFFF" w:val="clear"/>
                    </w:rPr>
                    <w:t>2</w:t>
                  </w:r>
                  <w:r>
                    <w:rPr>
                      <w:sz w:val="19"/>
                      <w:shd w:fill="FFFFFF" w:val="clear"/>
                    </w:rPr>
                    <w:t>季度</w:t>
                  </w:r>
                </w:p>
              </w:tc>
              <w:tc>
                <w:tcPr>
                  <w:tcW w:type="dxa" w:w="735"/>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第</w:t>
                  </w:r>
                  <w:r>
                    <w:rPr>
                      <w:sz w:val="19"/>
                      <w:shd w:fill="FFFFFF" w:val="clear"/>
                    </w:rPr>
                    <w:t>3</w:t>
                  </w:r>
                  <w:r>
                    <w:rPr>
                      <w:sz w:val="19"/>
                      <w:shd w:fill="FFFFFF" w:val="clear"/>
                    </w:rPr>
                    <w:t>季度</w:t>
                  </w:r>
                </w:p>
              </w:tc>
              <w:tc>
                <w:tcPr>
                  <w:tcW w:type="dxa" w:w="750"/>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第</w:t>
                  </w:r>
                  <w:r>
                    <w:rPr>
                      <w:sz w:val="19"/>
                      <w:shd w:fill="FFFFFF" w:val="clear"/>
                    </w:rPr>
                    <w:t>4</w:t>
                  </w:r>
                  <w:r>
                    <w:rPr>
                      <w:sz w:val="19"/>
                      <w:shd w:fill="FFFFFF" w:val="clear"/>
                    </w:rPr>
                    <w:t>季度</w:t>
                  </w:r>
                </w:p>
              </w:tc>
              <w:tc>
                <w:tcPr>
                  <w:tcW w:type="dxa" w:w="1290"/>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汇总</w:t>
                  </w:r>
                </w:p>
              </w:tc>
            </w:tr>
            <w:tr>
              <w:tc>
                <w:tcPr>
                  <w:tcW w:type="dxa" w:w="142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根据医院运营需要动态调整</w:t>
                  </w:r>
                </w:p>
              </w:tc>
              <w:tc>
                <w:tcPr>
                  <w:tcW w:type="dxa" w:w="72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50</w:t>
                  </w:r>
                </w:p>
              </w:tc>
              <w:tc>
                <w:tcPr>
                  <w:tcW w:type="dxa" w:w="64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100</w:t>
                  </w:r>
                </w:p>
              </w:tc>
              <w:tc>
                <w:tcPr>
                  <w:tcW w:type="dxa" w:w="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150</w:t>
                  </w:r>
                </w:p>
              </w:tc>
              <w:tc>
                <w:tcPr>
                  <w:tcW w:type="dxa" w:w="75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200</w:t>
                  </w:r>
                </w:p>
              </w:tc>
              <w:tc>
                <w:tcPr>
                  <w:tcW w:type="dxa" w:w="129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9"/>
                      <w:shd w:fill="FFFFFF" w:val="clear"/>
                    </w:rPr>
                    <w:t>500</w:t>
                  </w:r>
                </w:p>
              </w:tc>
            </w:tr>
          </w:tbl>
          <w:p>
            <w:pPr>
              <w:pStyle w:val="null3"/>
              <w:jc w:val="both"/>
            </w:pPr>
            <w:r>
              <w:rPr/>
              <w:t>★</w:t>
            </w:r>
            <w:r>
              <w:rPr>
                <w:shd w:fill="FFFFFF" w:val="clear"/>
              </w:rPr>
              <w:t>（</w:t>
            </w:r>
            <w:r>
              <w:rPr>
                <w:shd w:fill="FFFFFF" w:val="clear"/>
              </w:rPr>
              <w:t>4</w:t>
            </w:r>
            <w:r>
              <w:rPr>
                <w:shd w:fill="FFFFFF" w:val="clear"/>
              </w:rPr>
              <w:t>）如果对应阶段未完成既定目标，须在下一阶段补齐指标缺口，如服务期满未完成预定指标，则验收不通过，将不予支付剩余</w:t>
            </w:r>
            <w:r>
              <w:rPr>
                <w:shd w:fill="FFFFFF" w:val="clear"/>
              </w:rPr>
              <w:t>3</w:t>
            </w:r>
            <w:r>
              <w:rPr>
                <w:shd w:fill="FFFFFF" w:val="clear"/>
              </w:rPr>
              <w:t>0%</w:t>
            </w:r>
            <w:r>
              <w:rPr>
                <w:shd w:fill="FFFFFF" w:val="clear"/>
              </w:rPr>
              <w:t>服务费，或无条件延长服务期直至完成预定指标后，予以支付剩余</w:t>
            </w:r>
            <w:r>
              <w:rPr>
                <w:shd w:fill="FFFFFF" w:val="clear"/>
              </w:rPr>
              <w:t>3</w:t>
            </w:r>
            <w:r>
              <w:rPr>
                <w:shd w:fill="FFFFFF" w:val="clear"/>
              </w:rPr>
              <w:t>0%</w:t>
            </w:r>
            <w:r>
              <w:rPr>
                <w:shd w:fill="FFFFFF" w:val="clear"/>
              </w:rPr>
              <w:t>服务费</w:t>
            </w:r>
            <w:r>
              <w:rPr>
                <w:shd w:fill="FFFFFF" w:val="clear"/>
              </w:rPr>
              <w:t>。</w:t>
            </w:r>
          </w:p>
          <w:p>
            <w:pPr>
              <w:pStyle w:val="null3"/>
              <w:jc w:val="both"/>
            </w:pPr>
            <w:r>
              <w:rPr/>
              <w:t>▲</w:t>
            </w:r>
            <w:r>
              <w:rPr/>
              <w:t>（</w:t>
            </w:r>
            <w:r>
              <w:rPr>
                <w:shd w:fill="FFFFFF" w:val="clear"/>
              </w:rPr>
              <w:t>5</w:t>
            </w:r>
            <w:r>
              <w:rPr>
                <w:shd w:fill="FFFFFF" w:val="clear"/>
              </w:rPr>
              <w:t>）服务承诺与效果保障</w:t>
            </w:r>
            <w:r>
              <w:rPr>
                <w:shd w:fill="FFFFFF" w:val="clear"/>
              </w:rPr>
              <w:t>，</w:t>
            </w:r>
            <w:r>
              <w:rPr>
                <w:shd w:fill="FFFFFF" w:val="clear"/>
              </w:rPr>
              <w:t>供应商应在服务期内作出以下承诺</w:t>
            </w:r>
            <w:r>
              <w:rPr>
                <w:shd w:fill="FFFFFF" w:val="clear"/>
              </w:rPr>
              <w:t>（</w:t>
            </w:r>
            <w:r>
              <w:rPr>
                <w:shd w:fill="FFFFFF" w:val="clear"/>
              </w:rPr>
              <w:t>提供承诺函，格式自拟</w:t>
            </w:r>
            <w:r>
              <w:rPr>
                <w:shd w:fill="FFFFFF" w:val="clear"/>
              </w:rPr>
              <w:t>）</w:t>
            </w:r>
            <w:r>
              <w:rPr>
                <w:shd w:fill="FFFFFF" w:val="clear"/>
              </w:rPr>
              <w:t>：</w:t>
            </w:r>
          </w:p>
          <w:p>
            <w:pPr>
              <w:pStyle w:val="null3"/>
              <w:jc w:val="both"/>
            </w:pPr>
            <w:r>
              <w:rPr>
                <w:shd w:fill="FFFFFF" w:val="clear"/>
              </w:rPr>
              <w:t>①每月提供一份《账号月度运营报告》，次月</w:t>
            </w:r>
            <w:r>
              <w:rPr>
                <w:shd w:fill="FFFFFF" w:val="clear"/>
              </w:rPr>
              <w:t>5</w:t>
            </w:r>
            <w:r>
              <w:rPr>
                <w:shd w:fill="FFFFFF" w:val="clear"/>
              </w:rPr>
              <w:t>日前提交；</w:t>
            </w:r>
          </w:p>
          <w:p>
            <w:pPr>
              <w:pStyle w:val="null3"/>
              <w:jc w:val="both"/>
            </w:pPr>
            <w:r>
              <w:rPr>
                <w:shd w:fill="FFFFFF" w:val="clear"/>
              </w:rPr>
              <w:t>②用户平均互动率（点赞</w:t>
            </w:r>
            <w:r>
              <w:rPr>
                <w:shd w:fill="FFFFFF" w:val="clear"/>
              </w:rPr>
              <w:t>+</w:t>
            </w:r>
            <w:r>
              <w:rPr>
                <w:shd w:fill="FFFFFF" w:val="clear"/>
              </w:rPr>
              <w:t>评论</w:t>
            </w:r>
            <w:r>
              <w:rPr>
                <w:shd w:fill="FFFFFF" w:val="clear"/>
              </w:rPr>
              <w:t>+</w:t>
            </w:r>
            <w:r>
              <w:rPr>
                <w:shd w:fill="FFFFFF" w:val="clear"/>
              </w:rPr>
              <w:t>转发</w:t>
            </w:r>
            <w:r>
              <w:rPr>
                <w:shd w:fill="FFFFFF" w:val="clear"/>
              </w:rPr>
              <w:t>+</w:t>
            </w:r>
            <w:r>
              <w:rPr>
                <w:shd w:fill="FFFFFF" w:val="clear"/>
              </w:rPr>
              <w:t>收藏）</w:t>
            </w:r>
            <w:r>
              <w:rPr>
                <w:shd w:fill="FFFFFF" w:val="clear"/>
              </w:rPr>
              <w:t>/</w:t>
            </w:r>
            <w:r>
              <w:rPr>
                <w:shd w:fill="FFFFFF" w:val="clear"/>
              </w:rPr>
              <w:t>播放量）≥</w:t>
            </w:r>
            <w:r>
              <w:rPr>
                <w:shd w:fill="FFFFFF" w:val="clear"/>
              </w:rPr>
              <w:t>5</w:t>
            </w:r>
            <w:r>
              <w:rPr>
                <w:shd w:fill="FFFFFF" w:val="clear"/>
              </w:rPr>
              <w:t>%</w:t>
            </w:r>
            <w:r>
              <w:rPr>
                <w:shd w:fill="FFFFFF" w:val="clear"/>
              </w:rPr>
              <w:t>；</w:t>
            </w:r>
          </w:p>
          <w:p>
            <w:pPr>
              <w:pStyle w:val="null3"/>
              <w:jc w:val="both"/>
            </w:pPr>
            <w:r>
              <w:rPr>
                <w:shd w:fill="FFFFFF" w:val="clear"/>
              </w:rPr>
              <w:t>③评论有效回复率不低于</w:t>
            </w:r>
            <w:r>
              <w:rPr>
                <w:shd w:fill="FFFFFF" w:val="clear"/>
              </w:rPr>
              <w:t>90%</w:t>
            </w:r>
            <w:r>
              <w:rPr>
                <w:shd w:fill="FFFFFF" w:val="clear"/>
              </w:rPr>
              <w:t>；</w:t>
            </w:r>
          </w:p>
          <w:p>
            <w:pPr>
              <w:pStyle w:val="null3"/>
              <w:jc w:val="both"/>
            </w:pPr>
            <w:r>
              <w:rPr>
                <w:shd w:fill="FFFFFF" w:val="clear"/>
              </w:rPr>
              <w:t>④服务期内确保政治导向正确、零重大舆-情事故。</w:t>
            </w:r>
          </w:p>
          <w:p>
            <w:pPr>
              <w:pStyle w:val="null3"/>
              <w:jc w:val="both"/>
            </w:pPr>
            <w:r>
              <w:rPr>
                <w:b/>
                <w:shd w:fill="FFFFFF" w:val="clear"/>
              </w:rPr>
              <w:t>（三）服务质量要求</w:t>
            </w:r>
          </w:p>
          <w:p>
            <w:pPr>
              <w:pStyle w:val="null3"/>
              <w:jc w:val="both"/>
            </w:pPr>
            <w:r>
              <w:rPr>
                <w:shd w:fill="FFFFFF" w:val="clear"/>
              </w:rPr>
              <w:t>1</w:t>
            </w:r>
            <w:r>
              <w:rPr>
                <w:shd w:fill="FFFFFF" w:val="clear"/>
              </w:rPr>
              <w:t>、内容策划与创新</w:t>
            </w:r>
          </w:p>
          <w:p>
            <w:pPr>
              <w:pStyle w:val="null3"/>
              <w:jc w:val="both"/>
            </w:pPr>
            <w:r>
              <w:rPr>
                <w:shd w:fill="FFFFFF" w:val="clear"/>
              </w:rPr>
              <w:t>（</w:t>
            </w:r>
            <w:r>
              <w:rPr>
                <w:shd w:fill="FFFFFF" w:val="clear"/>
              </w:rPr>
              <w:t>1</w:t>
            </w:r>
            <w:r>
              <w:rPr>
                <w:shd w:fill="FFFFFF" w:val="clear"/>
              </w:rPr>
              <w:t>）新媒体运营需策划丰富内容，有效管理账号，增强用户互动；</w:t>
            </w:r>
          </w:p>
          <w:p>
            <w:pPr>
              <w:pStyle w:val="null3"/>
              <w:jc w:val="both"/>
            </w:pPr>
            <w:r>
              <w:rPr>
                <w:shd w:fill="FFFFFF" w:val="clear"/>
              </w:rPr>
              <w:t>（</w:t>
            </w:r>
            <w:r>
              <w:rPr>
                <w:shd w:fill="FFFFFF" w:val="clear"/>
              </w:rPr>
              <w:t>2</w:t>
            </w:r>
            <w:r>
              <w:rPr>
                <w:shd w:fill="FFFFFF" w:val="clear"/>
              </w:rPr>
              <w:t>）新媒体产品策划应兼顾视频、文字、设计等多媒体形式，注重创新性与用户体验，制定有效传播计划。</w:t>
            </w:r>
          </w:p>
          <w:p>
            <w:pPr>
              <w:pStyle w:val="null3"/>
              <w:jc w:val="both"/>
            </w:pPr>
            <w:r>
              <w:rPr>
                <w:shd w:fill="FFFFFF" w:val="clear"/>
              </w:rPr>
              <w:t>2</w:t>
            </w:r>
            <w:r>
              <w:rPr>
                <w:shd w:fill="FFFFFF" w:val="clear"/>
              </w:rPr>
              <w:t>、团队配置与专业能力</w:t>
            </w:r>
          </w:p>
          <w:p>
            <w:pPr>
              <w:pStyle w:val="null3"/>
              <w:jc w:val="both"/>
            </w:pPr>
            <w:r>
              <w:rPr>
                <w:shd w:fill="FFFFFF" w:val="clear"/>
              </w:rPr>
              <w:t>参加本项目的所有人员应满足如下基本条件：具有中华人民共和国国籍，拥护中华人民共和国宪法；遵纪守法，具有良好的品行。</w:t>
            </w:r>
          </w:p>
          <w:p>
            <w:pPr>
              <w:pStyle w:val="null3"/>
              <w:jc w:val="both"/>
            </w:pPr>
            <w:r>
              <w:rPr>
                <w:shd w:fill="FFFFFF" w:val="clear"/>
              </w:rPr>
              <w:t>具有良好的政治素质；有下列情形之一者，不得参加本项目：曾因犯罪受过刑事处罚的，受处分期间或正在接受审计、纪律审查、司法侦查的。</w:t>
            </w:r>
          </w:p>
          <w:p>
            <w:pPr>
              <w:pStyle w:val="null3"/>
              <w:jc w:val="both"/>
            </w:pPr>
            <w:r>
              <w:rPr>
                <w:shd w:fill="FFFFFF" w:val="clear"/>
              </w:rPr>
              <w:t>（</w:t>
            </w:r>
            <w:r>
              <w:rPr>
                <w:shd w:fill="FFFFFF" w:val="clear"/>
              </w:rPr>
              <w:t>1</w:t>
            </w:r>
            <w:r>
              <w:rPr>
                <w:shd w:fill="FFFFFF" w:val="clear"/>
              </w:rPr>
              <w:t>）服务团队需具备新媒体运营专业经验，配备策划、拍摄、剪辑、文案、设计等岗位人员，至少满足以下条件：</w:t>
            </w:r>
          </w:p>
          <w:p>
            <w:pPr>
              <w:pStyle w:val="null3"/>
              <w:jc w:val="both"/>
            </w:pPr>
            <w:r>
              <w:rPr>
                <w:shd w:fill="FFFFFF" w:val="clear"/>
              </w:rPr>
              <w:t>①</w:t>
            </w:r>
            <w:r>
              <w:rPr>
                <w:shd w:fill="FFFFFF" w:val="clear"/>
              </w:rPr>
              <w:t>项目负责人需具备</w:t>
            </w:r>
            <w:r>
              <w:rPr>
                <w:shd w:fill="FFFFFF" w:val="clear"/>
              </w:rPr>
              <w:t>3</w:t>
            </w:r>
            <w:r>
              <w:rPr>
                <w:shd w:fill="FFFFFF" w:val="clear"/>
              </w:rPr>
              <w:t>年及以上同类项目经验；</w:t>
            </w:r>
          </w:p>
          <w:p>
            <w:pPr>
              <w:pStyle w:val="null3"/>
              <w:jc w:val="both"/>
            </w:pPr>
            <w:r>
              <w:rPr>
                <w:shd w:fill="FFFFFF" w:val="clear"/>
              </w:rPr>
              <w:t>② 团队成员具有</w:t>
            </w:r>
            <w:r>
              <w:rPr>
                <w:shd w:fill="FFFFFF" w:val="clear"/>
              </w:rPr>
              <w:t>2</w:t>
            </w:r>
            <w:r>
              <w:rPr>
                <w:shd w:fill="FFFFFF" w:val="clear"/>
              </w:rPr>
              <w:t>年及以上同类项目经验</w:t>
            </w:r>
            <w:r>
              <w:rPr>
                <w:shd w:fill="FFFFFF" w:val="clear"/>
              </w:rPr>
              <w:t>的不少于</w:t>
            </w:r>
            <w:r>
              <w:rPr>
                <w:shd w:fill="FFFFFF" w:val="clear"/>
              </w:rPr>
              <w:t>8</w:t>
            </w:r>
            <w:r>
              <w:rPr>
                <w:shd w:fill="FFFFFF" w:val="clear"/>
              </w:rPr>
              <w:t>人</w:t>
            </w:r>
            <w:r>
              <w:rPr>
                <w:shd w:fill="FFFFFF" w:val="clear"/>
              </w:rPr>
              <w:t>。</w:t>
            </w:r>
          </w:p>
          <w:p>
            <w:pPr>
              <w:pStyle w:val="null3"/>
              <w:jc w:val="both"/>
            </w:pPr>
            <w:r>
              <w:rPr>
                <w:shd w:fill="FFFFFF" w:val="clear"/>
              </w:rPr>
              <w:t>（</w:t>
            </w:r>
            <w:r>
              <w:rPr>
                <w:shd w:fill="FFFFFF" w:val="clear"/>
              </w:rPr>
              <w:t>2</w:t>
            </w:r>
            <w:r>
              <w:rPr>
                <w:shd w:fill="FFFFFF" w:val="clear"/>
              </w:rPr>
              <w:t>）团队成员应熟悉医疗行业宣传规范，具备医学内容转化能力；</w:t>
            </w:r>
          </w:p>
          <w:p>
            <w:pPr>
              <w:pStyle w:val="null3"/>
              <w:jc w:val="both"/>
            </w:pPr>
            <w:r>
              <w:rPr>
                <w:shd w:fill="FFFFFF" w:val="clear"/>
              </w:rPr>
              <w:t>（</w:t>
            </w:r>
            <w:r>
              <w:rPr>
                <w:shd w:fill="FFFFFF" w:val="clear"/>
              </w:rPr>
              <w:t>3</w:t>
            </w:r>
            <w:r>
              <w:rPr>
                <w:shd w:fill="FFFFFF" w:val="clear"/>
              </w:rPr>
              <w:t>）供应商应根据项目应建立严格规范的项目管理制度，保证服务质量全流程持续跟踪服务情况，确保项目顺利实施，核心岗位人员变更须提前告知院方并征得同意。</w:t>
            </w:r>
          </w:p>
          <w:p>
            <w:pPr>
              <w:pStyle w:val="null3"/>
            </w:pPr>
            <w:r>
              <w:rPr>
                <w:shd w:fill="FFFFFF" w:val="clear"/>
              </w:rPr>
              <w:t>3</w:t>
            </w:r>
            <w:r>
              <w:rPr>
                <w:shd w:fill="FFFFFF" w:val="clear"/>
              </w:rPr>
              <w:t>、</w:t>
            </w:r>
            <w:r>
              <w:rPr>
                <w:b/>
                <w:shd w:fill="FFFFFF" w:val="clear"/>
              </w:rPr>
              <w:t>驻场服务与响应时效</w:t>
            </w:r>
          </w:p>
          <w:p>
            <w:pPr>
              <w:pStyle w:val="null3"/>
              <w:jc w:val="both"/>
            </w:pPr>
            <w:r>
              <w:rPr>
                <w:shd w:fill="FFFFFF" w:val="clear"/>
              </w:rPr>
              <w:t>有拍摄任务时对应拍摄</w:t>
            </w:r>
            <w:r>
              <w:rPr>
                <w:shd w:fill="FFFFFF" w:val="clear"/>
              </w:rPr>
              <w:t>科室派驻至少</w:t>
            </w:r>
            <w:r>
              <w:rPr>
                <w:shd w:fill="FFFFFF" w:val="clear"/>
              </w:rPr>
              <w:t>1</w:t>
            </w:r>
            <w:r>
              <w:rPr>
                <w:shd w:fill="FFFFFF" w:val="clear"/>
              </w:rPr>
              <w:t>名专职人员对接项目进度，负责统筹对接科室拍摄计划、短视频发布及数据反馈，服务响应要求如下：</w:t>
            </w:r>
          </w:p>
          <w:p>
            <w:pPr>
              <w:pStyle w:val="null3"/>
              <w:jc w:val="both"/>
            </w:pPr>
            <w:r>
              <w:rPr>
                <w:shd w:fill="FFFFFF" w:val="clear"/>
              </w:rPr>
              <w:t>①</w:t>
            </w:r>
            <w:r>
              <w:rPr>
                <w:shd w:fill="FFFFFF" w:val="clear"/>
              </w:rPr>
              <w:t>线上咨询</w:t>
            </w:r>
            <w:r>
              <w:rPr>
                <w:shd w:fill="FFFFFF" w:val="clear"/>
              </w:rPr>
              <w:t>：</w:t>
            </w:r>
            <w:r>
              <w:rPr>
                <w:shd w:fill="FFFFFF" w:val="clear"/>
              </w:rPr>
              <w:t>7</w:t>
            </w:r>
            <w:r>
              <w:rPr>
                <w:shd w:fill="FFFFFF" w:val="clear"/>
              </w:rPr>
              <w:t>×</w:t>
            </w:r>
            <w:r>
              <w:rPr>
                <w:shd w:fill="FFFFFF" w:val="clear"/>
              </w:rPr>
              <w:t>24</w:t>
            </w:r>
            <w:r>
              <w:rPr>
                <w:shd w:fill="FFFFFF" w:val="clear"/>
              </w:rPr>
              <w:t>小时响应，</w:t>
            </w:r>
            <w:r>
              <w:rPr>
                <w:shd w:fill="FFFFFF" w:val="clear"/>
              </w:rPr>
              <w:t>30</w:t>
            </w:r>
            <w:r>
              <w:rPr>
                <w:shd w:fill="FFFFFF" w:val="clear"/>
              </w:rPr>
              <w:t>分钟内回复；</w:t>
            </w:r>
          </w:p>
          <w:p>
            <w:pPr>
              <w:pStyle w:val="null3"/>
              <w:jc w:val="both"/>
            </w:pPr>
            <w:r>
              <w:rPr>
                <w:shd w:fill="FFFFFF" w:val="clear"/>
              </w:rPr>
              <w:t>②</w:t>
            </w:r>
            <w:r>
              <w:rPr>
                <w:shd w:fill="FFFFFF" w:val="clear"/>
              </w:rPr>
              <w:t>突发舆-情</w:t>
            </w:r>
            <w:r>
              <w:rPr>
                <w:shd w:fill="FFFFFF" w:val="clear"/>
              </w:rPr>
              <w:t>：</w:t>
            </w:r>
            <w:r>
              <w:rPr>
                <w:shd w:fill="FFFFFF" w:val="clear"/>
              </w:rPr>
              <w:t>2</w:t>
            </w:r>
            <w:r>
              <w:rPr>
                <w:shd w:fill="FFFFFF" w:val="clear"/>
              </w:rPr>
              <w:t>小时内到场处置；</w:t>
            </w:r>
          </w:p>
          <w:p>
            <w:pPr>
              <w:pStyle w:val="null3"/>
              <w:jc w:val="both"/>
            </w:pPr>
            <w:r>
              <w:rPr>
                <w:shd w:fill="FFFFFF" w:val="clear"/>
              </w:rPr>
              <w:t>③ 拍摄紧急需求</w:t>
            </w:r>
            <w:r>
              <w:rPr>
                <w:shd w:fill="FFFFFF" w:val="clear"/>
              </w:rPr>
              <w:t>：</w:t>
            </w:r>
            <w:r>
              <w:rPr>
                <w:shd w:fill="FFFFFF" w:val="clear"/>
              </w:rPr>
              <w:t>2</w:t>
            </w:r>
            <w:r>
              <w:rPr>
                <w:shd w:fill="FFFFFF" w:val="clear"/>
              </w:rPr>
              <w:t>小时内到场。</w:t>
            </w:r>
          </w:p>
          <w:p>
            <w:pPr>
              <w:pStyle w:val="null3"/>
              <w:jc w:val="both"/>
            </w:pPr>
            <w:r>
              <w:rPr>
                <w:b/>
                <w:shd w:fill="FFFFFF" w:val="clear"/>
              </w:rPr>
              <w:t>（四）知识产权与保密要求</w:t>
            </w:r>
          </w:p>
          <w:p>
            <w:pPr>
              <w:pStyle w:val="null3"/>
            </w:pPr>
            <w:r>
              <w:rPr>
                <w:shd w:fill="FFFFFF" w:val="clear"/>
              </w:rPr>
              <w:t>1.</w:t>
            </w:r>
            <w:r>
              <w:rPr>
                <w:shd w:fill="FFFFFF" w:val="clear"/>
              </w:rPr>
              <w:t>知识产权归属</w:t>
            </w:r>
          </w:p>
          <w:p>
            <w:pPr>
              <w:pStyle w:val="null3"/>
            </w:pPr>
            <w:r>
              <w:rPr>
                <w:shd w:fill="FFFFFF" w:val="clear"/>
              </w:rPr>
              <w:t>项目成果所有权及知识产权属于采购人所有，未经采购人书面同意，中标人不得将采购人提供的资料、规划方案等向第三方转让或用于本采购范围以外的其他项目；</w:t>
            </w:r>
          </w:p>
          <w:p>
            <w:pPr>
              <w:pStyle w:val="null3"/>
            </w:pPr>
            <w:r>
              <w:rPr>
                <w:shd w:fill="FFFFFF" w:val="clear"/>
              </w:rPr>
              <w:t>采购人与中标人签署合同后，采购人在该项目中拥有成交成果、项目成果的使用权，中标人应帮助采购人申请项目成果的专利和著作权；</w:t>
            </w:r>
          </w:p>
          <w:p>
            <w:pPr>
              <w:pStyle w:val="null3"/>
            </w:pPr>
            <w:r>
              <w:rPr>
                <w:shd w:fill="FFFFFF" w:val="clear"/>
              </w:rPr>
              <w:t>中标人保证本项目的技术、服务或其任何一部分不会产生因第三方提出侵犯其专利权、商标权或其他知识产权而引起的法律和经济纠纷，否则中标人应承担由此而产生的一切法律责任。</w:t>
            </w:r>
          </w:p>
          <w:p>
            <w:pPr>
              <w:pStyle w:val="null3"/>
            </w:pPr>
            <w:r>
              <w:rPr>
                <w:shd w:fill="FFFFFF" w:val="clear"/>
              </w:rPr>
              <w:t>2.</w:t>
            </w:r>
            <w:r>
              <w:rPr>
                <w:shd w:fill="FFFFFF" w:val="clear"/>
              </w:rPr>
              <w:t>保密要求</w:t>
            </w:r>
          </w:p>
          <w:p>
            <w:pPr>
              <w:pStyle w:val="null3"/>
            </w:pPr>
            <w:r>
              <w:rPr>
                <w:sz w:val="21"/>
                <w:shd w:fill="FFFFFF" w:val="clear"/>
              </w:rPr>
              <w:t>采购人的新媒体运营策略、市场分析报告、客户资料、用户数据、营销方案等商业信息以及在合作过程中产生的任何涉及商业秘密的文件、资料、数据、设计等内容，中标人均有保密义务，未经采购人书面同意不得向任何第三方泄露。</w:t>
            </w:r>
          </w:p>
          <w:p>
            <w:pPr>
              <w:pStyle w:val="null3"/>
            </w:pPr>
            <w:r>
              <w:rPr/>
              <w:t xml:space="preserve"> </w:t>
            </w:r>
          </w:p>
          <w:p>
            <w:pPr>
              <w:pStyle w:val="null3"/>
            </w:pPr>
            <w:r>
              <w:rPr/>
              <w:t xml:space="preserve"> </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1.采购代理机构：本项目是指广东广招国际招标有限公司，负责整个采购活动的组织，依法负责编制和发布招标文件，对招标文件拥有最终的解释权，不以任何身份出任评标委员会成员。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广东省第二人民医院</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1份，纸质投标文件副本1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采购机构代理服务收费标准：按委托协议相关约定执行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30分钟</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广东广招国际招标有限公司</w:t>
      </w:r>
      <w:r>
        <w:rPr/>
        <w:t>代收。具体操作要求详见</w:t>
      </w:r>
      <w:r>
        <w:rPr/>
        <w:t>广东广招国际招标有限公司</w:t>
      </w:r>
      <w:r>
        <w:rPr/>
        <w:t>有关指引，递交事宜请自行咨询</w:t>
      </w:r>
      <w:r>
        <w:rPr/>
        <w:t>广东广招国际招标有限公司</w:t>
      </w:r>
      <w:r>
        <w:rPr/>
        <w:t>；请各投标人在投标文件递交截止时间前按须知前附表规定的金额递交至</w:t>
      </w:r>
      <w:r>
        <w:rPr/>
        <w:t>广东广招国际招标有限公司</w:t>
      </w:r>
      <w:r>
        <w:rPr/>
        <w:t>，到账情况以开标时</w:t>
      </w:r>
      <w:r>
        <w:rPr/>
        <w:t>广东广招国际招标有限公司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w:t>
      </w:r>
      <w:r>
        <w:rPr/>
        <w:t>广东广招国际招标有限公司网（http://www.gztpc.com）</w:t>
      </w:r>
      <w:r>
        <w:rPr/>
        <w:t>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w:t>
      </w:r>
      <w:r>
        <w:rPr/>
        <w:t>广东广招国际招标有限公司网（http://www.gztpc.com）</w:t>
      </w:r>
      <w:r>
        <w:rPr/>
        <w:t>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张工</w:t>
      </w:r>
    </w:p>
    <w:p>
      <w:pPr>
        <w:pStyle w:val="null3"/>
        <w:ind w:firstLine="480"/>
      </w:pPr>
      <w:r>
        <w:rPr/>
        <w:t>电话：</w:t>
      </w:r>
      <w:r>
        <w:rPr/>
        <w:t>020-38931902-821</w:t>
      </w:r>
    </w:p>
    <w:p>
      <w:pPr>
        <w:pStyle w:val="null3"/>
        <w:ind w:firstLine="480"/>
      </w:pPr>
      <w:r>
        <w:rPr/>
        <w:t>传真：</w:t>
      </w:r>
      <w:r>
        <w:rPr/>
        <w:t>020-37816137</w:t>
      </w:r>
    </w:p>
    <w:p>
      <w:pPr>
        <w:pStyle w:val="null3"/>
        <w:ind w:firstLine="480"/>
      </w:pPr>
      <w:r>
        <w:rPr/>
        <w:t>邮箱：</w:t>
      </w:r>
      <w:r>
        <w:rPr/>
        <w:t>zhangwei@gztpc.com</w:t>
      </w:r>
    </w:p>
    <w:p>
      <w:pPr>
        <w:pStyle w:val="null3"/>
        <w:ind w:firstLine="480"/>
      </w:pPr>
      <w:r>
        <w:rPr/>
        <w:t>地址：</w:t>
      </w:r>
      <w:r>
        <w:rPr/>
        <w:t>广州市越秀区东风东路745号东山紫园商务大厦2003室</w:t>
      </w:r>
    </w:p>
    <w:p>
      <w:pPr>
        <w:pStyle w:val="null3"/>
        <w:ind w:firstLine="480"/>
      </w:pPr>
      <w:r>
        <w:rPr/>
        <w:t>邮编：</w:t>
      </w:r>
      <w:r>
        <w:rPr/>
        <w:t>510080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话：020-83340570</w:t>
      </w:r>
    </w:p>
    <w:p>
      <w:pPr>
        <w:pStyle w:val="null3"/>
      </w:pPr>
      <w:r>
        <w:rPr/>
        <w:t>邮 编：510030</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广东省第二人民医院新媒体运营服务采购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广东广招国际招标有限公司</w:t>
      </w:r>
      <w:r>
        <w:rPr/>
        <w:t>统一对外发布。</w:t>
      </w:r>
    </w:p>
    <w:p>
      <w:pPr>
        <w:pStyle w:val="null3"/>
        <w:ind w:firstLine="480"/>
      </w:pPr>
      <w:r>
        <w:rPr/>
        <w:t>（2）对</w:t>
      </w:r>
      <w:r>
        <w:rPr/>
        <w:t>广东广招国际招标有限公司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3"/>
      </w:pPr>
      <w:r>
        <w:rPr>
          <w:sz w:val="24"/>
          <w:b/>
        </w:rPr>
        <w:t>3.对小型、微型企业、监狱企业或残疾人福利性单位给予价格扣除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4.价格扣除相关要求</w:t>
      </w:r>
    </w:p>
    <w:p>
      <w:pPr>
        <w:pStyle w:val="null3"/>
      </w:pPr>
      <w:r>
        <w:rPr/>
        <w:t>采购包1（广东省第二人民医院新媒体运营服务采购项目）：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1.资格性审查、符合性审查和异常低价审查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异常低价审查。政府采购评审中出现采购文件明确的异常低价情形，评审委员会应当启动异常低价投标（响应）审查程序。</w:t>
      </w:r>
    </w:p>
    <w:p>
      <w:pPr>
        <w:pStyle w:val="null3"/>
        <w:ind w:firstLine="480"/>
      </w:pPr>
      <w:r>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pPr>
        <w:pStyle w:val="null3"/>
        <w:ind w:firstLine="480"/>
      </w:pPr>
      <w:r>
        <w:rPr/>
        <w:t>被启动异常低价审查的供应商，如果不提供书面说明、证明材料，或者提供的书面说明、证明材料不能证明其报价合理性的，应当将其作为无效投标（响应）处理。</w:t>
      </w:r>
    </w:p>
    <w:p>
      <w:pPr>
        <w:pStyle w:val="null3"/>
        <w:ind w:firstLine="480"/>
      </w:pPr>
      <w:r>
        <w:rPr/>
        <w:t>通过异常低价审查的不足3家，不得进入详细评审。</w:t>
      </w:r>
    </w:p>
    <w:p>
      <w:pPr>
        <w:pStyle w:val="null3"/>
        <w:ind w:firstLine="480"/>
      </w:pPr>
      <w:r>
        <w:rPr/>
        <w:t>资格性审查、符合性审查、异常低价审查中凡有其中任意一项未通过的，评审结果为未通过，未通过资格性审查、符合性审查、异常低价审查的投标人按无效投标处理。</w:t>
      </w:r>
    </w:p>
    <w:p>
      <w:pPr>
        <w:pStyle w:val="null3"/>
        <w:ind w:firstLine="480"/>
      </w:pPr>
      <w:r>
        <w:rPr/>
        <w:t>对各投标人进行资格审查、符合性审查、异常低价审查过程中，对初步被认定为无效投标者，由评标委员会组长或采购人代表将集体意见及时告知投标当事人。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采购包1（广东省第二人民医院新媒体运营服务采购项目）：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中华人民共和国境内注册的法人或其他组织或自然人，投标（响应）时提交有效的营业执照（或事业法人登记证或身份证等相关证明）证明文件。分支机构投标的，须同时提供：总公司和分支机构的营业执照证明文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提供投标截止日前6个月内任意1个月依法缴纳税收的相关材料；提供投标截止日前6个月内任意1个月依法缴纳社会保障资金的相关材料。如依法免税或不需要缴纳社会保障资金的，提供相应证明材料。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提供2025年度财务状况报告；或银行出具的资信证明材料复印件。</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 （以资格审查人员于投标（响应）截止时间当天在“信用中国”网站（www.creditchina.gov.cn）及中国政府采购网（http://www.ccgp.gov.cn/）查询结果为准，如相关失信记录已失效，供应商需提供相关证明资料。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tc>
      </w:tr>
      <w:tr>
        <w:tc>
          <w:tcPr>
            <w:tcW w:type="dxa" w:w="890"/>
          </w:tcPr>
          <w:p>
            <w:pPr>
              <w:pStyle w:val="null3"/>
            </w:pPr>
            <w:r>
              <w:rPr/>
              <w:t>8</w:t>
            </w:r>
          </w:p>
        </w:tc>
        <w:tc>
          <w:tcPr>
            <w:tcW w:type="dxa" w:w="3178"/>
          </w:tcPr>
          <w:p>
            <w:pPr>
              <w:pStyle w:val="null3"/>
            </w:pPr>
            <w:r>
              <w:rPr/>
              <w:t>本采购包专门面向中小企业采购</w:t>
            </w:r>
          </w:p>
        </w:tc>
        <w:tc>
          <w:tcPr>
            <w:tcW w:type="dxa" w:w="4238"/>
          </w:tcPr>
          <w:p>
            <w:pPr>
              <w:pStyle w:val="null3"/>
            </w:pPr>
            <w:r>
              <w:rPr/>
              <w:t>本项目属于专门面向中小企业采购的项目，全部服务的承接方应为中小企业（监狱企业、残疾人福利单位视同小型、微型企业）【依据《中小企业声明函》或由省级以上监狱管理局、戒毒管理局(含新疆生产建设兵团)出具的承接方属于监狱企业的证明文件或承接方的《残疾人福利性单位声明函》】。</w:t>
            </w:r>
          </w:p>
        </w:tc>
      </w:tr>
    </w:tbl>
    <w:p>
      <w:pPr>
        <w:pStyle w:val="null3"/>
        <w:ind w:firstLine="480"/>
      </w:pPr>
      <w:r>
        <w:rPr/>
        <w:t>表二符合性审查表：</w:t>
      </w:r>
    </w:p>
    <w:p>
      <w:pPr>
        <w:pStyle w:val="null3"/>
      </w:pPr>
      <w:r>
        <w:rPr/>
        <w:t>采购包1（广东省第二人民医院新媒体运营服务采购项目）：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签署和盖章</w:t>
            </w:r>
          </w:p>
        </w:tc>
        <w:tc>
          <w:tcPr>
            <w:tcW w:type="dxa" w:w="4238"/>
          </w:tcPr>
          <w:p>
            <w:pPr>
              <w:pStyle w:val="null3"/>
            </w:pPr>
            <w:r>
              <w:rPr/>
              <w:t>按照招标文件规定要求签署和盖章的；</w:t>
            </w:r>
          </w:p>
        </w:tc>
      </w:tr>
      <w:tr>
        <w:tc>
          <w:tcPr>
            <w:tcW w:type="dxa" w:w="890"/>
          </w:tcPr>
          <w:p>
            <w:pPr>
              <w:pStyle w:val="null3"/>
            </w:pPr>
            <w:r>
              <w:rPr/>
              <w:t>2</w:t>
            </w:r>
          </w:p>
        </w:tc>
        <w:tc>
          <w:tcPr>
            <w:tcW w:type="dxa" w:w="3178"/>
          </w:tcPr>
          <w:p>
            <w:pPr>
              <w:pStyle w:val="null3"/>
            </w:pPr>
            <w:r>
              <w:rPr/>
              <w:t>法定代表人资格证明书及法定代表人授权委托书</w:t>
            </w:r>
          </w:p>
        </w:tc>
        <w:tc>
          <w:tcPr>
            <w:tcW w:type="dxa" w:w="4238"/>
          </w:tcPr>
          <w:p>
            <w:pPr>
              <w:pStyle w:val="null3"/>
            </w:pPr>
            <w:r>
              <w:rPr/>
              <w:t>法定代表人资格证明书及法定代表人授权委托书的有效性；</w:t>
            </w:r>
          </w:p>
        </w:tc>
      </w:tr>
      <w:tr>
        <w:tc>
          <w:tcPr>
            <w:tcW w:type="dxa" w:w="890"/>
          </w:tcPr>
          <w:p>
            <w:pPr>
              <w:pStyle w:val="null3"/>
            </w:pPr>
            <w:r>
              <w:rPr/>
              <w:t>3</w:t>
            </w:r>
          </w:p>
        </w:tc>
        <w:tc>
          <w:tcPr>
            <w:tcW w:type="dxa" w:w="3178"/>
          </w:tcPr>
          <w:p>
            <w:pPr>
              <w:pStyle w:val="null3"/>
            </w:pPr>
            <w:r>
              <w:rPr/>
              <w:t>投标函</w:t>
            </w:r>
          </w:p>
        </w:tc>
        <w:tc>
          <w:tcPr>
            <w:tcW w:type="dxa" w:w="4238"/>
          </w:tcPr>
          <w:p>
            <w:pPr>
              <w:pStyle w:val="null3"/>
            </w:pPr>
            <w:r>
              <w:rPr/>
              <w:t>投标函已提交并符合招标文件要求的，且投标有效期满足招标文件要求的；</w:t>
            </w:r>
          </w:p>
        </w:tc>
      </w:tr>
      <w:tr>
        <w:tc>
          <w:tcPr>
            <w:tcW w:type="dxa" w:w="890"/>
          </w:tcPr>
          <w:p>
            <w:pPr>
              <w:pStyle w:val="null3"/>
            </w:pPr>
            <w:r>
              <w:rPr/>
              <w:t>4</w:t>
            </w:r>
          </w:p>
        </w:tc>
        <w:tc>
          <w:tcPr>
            <w:tcW w:type="dxa" w:w="3178"/>
          </w:tcPr>
          <w:p>
            <w:pPr>
              <w:pStyle w:val="null3"/>
            </w:pPr>
            <w:r>
              <w:rPr/>
              <w:t>实质性条款</w:t>
            </w:r>
          </w:p>
        </w:tc>
        <w:tc>
          <w:tcPr>
            <w:tcW w:type="dxa" w:w="4238"/>
          </w:tcPr>
          <w:p>
            <w:pPr>
              <w:pStyle w:val="null3"/>
            </w:pPr>
            <w:r>
              <w:rPr/>
              <w:t>投标文件完全满足对招标文件的实质性条款（即标注★号条款）无负偏离的；</w:t>
            </w:r>
          </w:p>
        </w:tc>
      </w:tr>
      <w:tr>
        <w:tc>
          <w:tcPr>
            <w:tcW w:type="dxa" w:w="890"/>
          </w:tcPr>
          <w:p>
            <w:pPr>
              <w:pStyle w:val="null3"/>
            </w:pPr>
            <w:r>
              <w:rPr/>
              <w:t>5</w:t>
            </w:r>
          </w:p>
        </w:tc>
        <w:tc>
          <w:tcPr>
            <w:tcW w:type="dxa" w:w="3178"/>
          </w:tcPr>
          <w:p>
            <w:pPr>
              <w:pStyle w:val="null3"/>
            </w:pPr>
            <w:r>
              <w:rPr/>
              <w:t>投标报价</w:t>
            </w:r>
          </w:p>
        </w:tc>
        <w:tc>
          <w:tcPr>
            <w:tcW w:type="dxa" w:w="4238"/>
          </w:tcPr>
          <w:p>
            <w:pPr>
              <w:pStyle w:val="null3"/>
            </w:pPr>
            <w:r>
              <w:rPr/>
              <w:t>投标报价符合本项目要求；</w:t>
            </w:r>
          </w:p>
        </w:tc>
      </w:tr>
      <w:tr>
        <w:tc>
          <w:tcPr>
            <w:tcW w:type="dxa" w:w="890"/>
          </w:tcPr>
          <w:p>
            <w:pPr>
              <w:pStyle w:val="null3"/>
            </w:pPr>
            <w:r>
              <w:rPr/>
              <w:t>6</w:t>
            </w:r>
          </w:p>
        </w:tc>
        <w:tc>
          <w:tcPr>
            <w:tcW w:type="dxa" w:w="3178"/>
          </w:tcPr>
          <w:p>
            <w:pPr>
              <w:pStyle w:val="null3"/>
            </w:pPr>
            <w:r>
              <w:rPr/>
              <w:t>响应文件合理性</w:t>
            </w:r>
          </w:p>
        </w:tc>
        <w:tc>
          <w:tcPr>
            <w:tcW w:type="dxa" w:w="4238"/>
          </w:tcPr>
          <w:p>
            <w:pPr>
              <w:pStyle w:val="null3"/>
            </w:pPr>
            <w:r>
              <w:rPr/>
              <w:t>投标文件没有采购人不能接受的附加条件的；</w:t>
            </w:r>
          </w:p>
        </w:tc>
      </w:tr>
      <w:tr>
        <w:tc>
          <w:tcPr>
            <w:tcW w:type="dxa" w:w="890"/>
          </w:tcPr>
          <w:p>
            <w:pPr>
              <w:pStyle w:val="null3"/>
            </w:pPr>
            <w:r>
              <w:rPr/>
              <w:t>7</w:t>
            </w:r>
          </w:p>
        </w:tc>
        <w:tc>
          <w:tcPr>
            <w:tcW w:type="dxa" w:w="3178"/>
          </w:tcPr>
          <w:p>
            <w:pPr>
              <w:pStyle w:val="null3"/>
            </w:pPr>
            <w:r>
              <w:rPr/>
              <w:t>串通投标</w:t>
            </w:r>
          </w:p>
        </w:tc>
        <w:tc>
          <w:tcPr>
            <w:tcW w:type="dxa" w:w="4238"/>
          </w:tcPr>
          <w:p>
            <w:pPr>
              <w:pStyle w:val="null3"/>
            </w:pPr>
            <w:r>
              <w:rPr/>
              <w:t>投标文件没有出现串通投标情形的；</w:t>
            </w:r>
          </w:p>
        </w:tc>
      </w:tr>
      <w:tr>
        <w:tc>
          <w:tcPr>
            <w:tcW w:type="dxa" w:w="890"/>
          </w:tcPr>
          <w:p>
            <w:pPr>
              <w:pStyle w:val="null3"/>
            </w:pPr>
            <w:r>
              <w:rPr/>
              <w:t>8</w:t>
            </w:r>
          </w:p>
        </w:tc>
        <w:tc>
          <w:tcPr>
            <w:tcW w:type="dxa" w:w="3178"/>
          </w:tcPr>
          <w:p>
            <w:pPr>
              <w:pStyle w:val="null3"/>
            </w:pPr>
            <w:r>
              <w:rPr/>
              <w:t>无效投标</w:t>
            </w:r>
          </w:p>
        </w:tc>
        <w:tc>
          <w:tcPr>
            <w:tcW w:type="dxa" w:w="4238"/>
          </w:tcPr>
          <w:p>
            <w:pPr>
              <w:pStyle w:val="null3"/>
            </w:pPr>
            <w:r>
              <w:rPr/>
              <w:t>投标文件没有招标文件中规定的其他无效投标条款的；</w:t>
            </w:r>
          </w:p>
        </w:tc>
      </w:tr>
      <w:tr>
        <w:tc>
          <w:tcPr>
            <w:tcW w:type="dxa" w:w="890"/>
          </w:tcPr>
          <w:p>
            <w:pPr>
              <w:pStyle w:val="null3"/>
            </w:pPr>
            <w:r>
              <w:rPr/>
              <w:t>9</w:t>
            </w:r>
          </w:p>
        </w:tc>
        <w:tc>
          <w:tcPr>
            <w:tcW w:type="dxa" w:w="3178"/>
          </w:tcPr>
          <w:p>
            <w:pPr>
              <w:pStyle w:val="null3"/>
            </w:pPr>
            <w:r>
              <w:rPr/>
              <w:t>法律、法规规定的其他情形</w:t>
            </w:r>
          </w:p>
        </w:tc>
        <w:tc>
          <w:tcPr>
            <w:tcW w:type="dxa" w:w="4238"/>
          </w:tcPr>
          <w:p>
            <w:pPr>
              <w:pStyle w:val="null3"/>
            </w:pPr>
            <w:r>
              <w:rPr/>
              <w:t>没有法律、法规规定的其他无效情形。</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ind w:firstLine="480"/>
      </w:pPr>
      <w:r>
        <w:rPr/>
        <w:t>采购包1(广东省第二人民医院新媒体运营服务采购项目):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商务部分30.0分</w:t>
            </w:r>
          </w:p>
          <w:p>
            <w:pPr>
              <w:pStyle w:val="null3"/>
            </w:pPr>
            <w:r>
              <w:rPr/>
              <w:t>技术部分60.0分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投标人对采购需求中带▲号的重要技术参数的响应情况 (10.0分)</w:t>
            </w:r>
          </w:p>
        </w:tc>
        <w:tc>
          <w:tcPr>
            <w:tcW w:type="dxa" w:w="5076"/>
          </w:tcPr>
          <w:p>
            <w:pPr>
              <w:pStyle w:val="null3"/>
              <w:jc w:val="left"/>
            </w:pPr>
            <w:r>
              <w:rPr/>
              <w:t>根据各投标人对《第二章采购需求》附表一：具体技术(参数)要求中标注“▲”的重要技术参数的响应情况进行评审（共8项，最高得10分）： 每条标注“▲”的重要技术参数，响应为“正偏离”或“符合”或“无偏离”的，该项得1.25分；响应为“负偏离”的，该项不得分。备注：如采购需求中有明确要求提供证明材料的，则投标人须提供相关证明材料，否则将视为负偏离； 如采购需求中无明确要求证明材料的，则依据《技术和服务要求响应表》进行评审。</w:t>
            </w:r>
          </w:p>
        </w:tc>
      </w:tr>
      <w:tr>
        <w:tc>
          <w:tcPr>
            <w:tcW w:type="dxa" w:w="922"/>
            <w:gridSpan w:val="2"/>
            <w:vMerge/>
          </w:tcPr>
          <w:p/>
        </w:tc>
        <w:tc>
          <w:tcPr>
            <w:tcW w:type="dxa" w:w="2307"/>
          </w:tcPr>
          <w:p>
            <w:pPr>
              <w:pStyle w:val="null3"/>
              <w:jc w:val="left"/>
            </w:pPr>
            <w:r>
              <w:rPr/>
              <w:t>投标人对采购需求中一般技术参数的的响应情况 (6.0分)</w:t>
            </w:r>
          </w:p>
        </w:tc>
        <w:tc>
          <w:tcPr>
            <w:tcW w:type="dxa" w:w="5076"/>
          </w:tcPr>
          <w:p>
            <w:pPr>
              <w:pStyle w:val="null3"/>
              <w:jc w:val="left"/>
            </w:pPr>
            <w:r>
              <w:rPr/>
              <w:t>一般技术条款的响应情况：根据各投标人对《第二章 采购需求》附表一：具体技术(参数)要求中(商务评分中已有的评分要求除外，如商务评分中拟投入本项目的人员情况)“未标注“★”或“▲”的一般技术参数的响应情况进行评审（最高得6分）：一般技术参数条款完全满足或优于的，得6分；每有1项（序号最末一级视为1项）负偏离或不完全满足的扣0.5分，负偏离≥12项，视为对一般技术参数条款的重大偏离，统一得0分。 备注：如采购需求中有明确要求证明材料的，则投标人须提供相关证明材料，否则将视为负偏离;如采购需求中无明确要求证明材料的，则依据《技术和服务要求响应表》的响应情况进行评审。</w:t>
            </w:r>
          </w:p>
        </w:tc>
      </w:tr>
      <w:tr>
        <w:tc>
          <w:tcPr>
            <w:tcW w:type="dxa" w:w="922"/>
            <w:gridSpan w:val="2"/>
            <w:vMerge/>
          </w:tcPr>
          <w:p/>
        </w:tc>
        <w:tc>
          <w:tcPr>
            <w:tcW w:type="dxa" w:w="2307"/>
          </w:tcPr>
          <w:p>
            <w:pPr>
              <w:pStyle w:val="null3"/>
              <w:jc w:val="left"/>
            </w:pPr>
            <w:r>
              <w:rPr/>
              <w:t>项目整体服务方案 (11.0分)</w:t>
            </w:r>
          </w:p>
        </w:tc>
        <w:tc>
          <w:tcPr>
            <w:tcW w:type="dxa" w:w="5076"/>
          </w:tcPr>
          <w:p>
            <w:pPr>
              <w:pStyle w:val="null3"/>
              <w:jc w:val="left"/>
            </w:pPr>
            <w:r>
              <w:rPr/>
              <w:t>根据“第二章 采购需求”里“三、项目服务要求（一）整体服务要求”的要求，在投标文件中编制对应方案，包括但不限于①服务流程、②服务时效、③服务保障措施、④服务管理制度等方面。提供全部内容得2分，每缺1项扣0.5分。 （二）根据投标人提供的上述方案详细内容进行评审： （1）方案完全满足且优于项目要求的，得9分； （2）方案完全满足项目要求的，得5分； （3）方案不完全满足项目要求的，得2分； （4）未提供或其他不得分。</w:t>
            </w:r>
          </w:p>
        </w:tc>
      </w:tr>
      <w:tr>
        <w:tc>
          <w:tcPr>
            <w:tcW w:type="dxa" w:w="922"/>
            <w:gridSpan w:val="2"/>
            <w:vMerge/>
          </w:tcPr>
          <w:p/>
        </w:tc>
        <w:tc>
          <w:tcPr>
            <w:tcW w:type="dxa" w:w="2307"/>
          </w:tcPr>
          <w:p>
            <w:pPr>
              <w:pStyle w:val="null3"/>
              <w:jc w:val="left"/>
            </w:pPr>
            <w:r>
              <w:rPr/>
              <w:t>媒体宣传运作能力 (11.0分)</w:t>
            </w:r>
          </w:p>
        </w:tc>
        <w:tc>
          <w:tcPr>
            <w:tcW w:type="dxa" w:w="5076"/>
          </w:tcPr>
          <w:p>
            <w:pPr>
              <w:pStyle w:val="null3"/>
              <w:jc w:val="left"/>
            </w:pPr>
            <w:r>
              <w:rPr/>
              <w:t>根据“第二章 采购需求”里“三、项目服务要求（二）媒体宣传运作能力”的要求，在投标文件中编制对应方案，包括但不限于①宣传策略、内容创作、②媒体资源整合、③数据分析整理、④新媒体矩阵内容等方面。提供全部内容得2分，每缺1项扣0.5分。 （二）根据投标人提供的上述方案详细内容进行评审： （1）方案完全满足且优于项目要求的，得9分； （2）方案完全满足项目要求的，得5分； （3）方案不完全满足项目要求的，得2分； （4）未提供或其他不得分。</w:t>
            </w:r>
          </w:p>
        </w:tc>
      </w:tr>
      <w:tr>
        <w:tc>
          <w:tcPr>
            <w:tcW w:type="dxa" w:w="922"/>
            <w:gridSpan w:val="2"/>
            <w:vMerge/>
          </w:tcPr>
          <w:p/>
        </w:tc>
        <w:tc>
          <w:tcPr>
            <w:tcW w:type="dxa" w:w="2307"/>
          </w:tcPr>
          <w:p>
            <w:pPr>
              <w:pStyle w:val="null3"/>
              <w:jc w:val="left"/>
            </w:pPr>
            <w:r>
              <w:rPr/>
              <w:t>质量服务保障措施 (11.0分)</w:t>
            </w:r>
          </w:p>
        </w:tc>
        <w:tc>
          <w:tcPr>
            <w:tcW w:type="dxa" w:w="5076"/>
          </w:tcPr>
          <w:p>
            <w:pPr>
              <w:pStyle w:val="null3"/>
              <w:jc w:val="left"/>
            </w:pPr>
            <w:r>
              <w:rPr/>
              <w:t>根据“第二章 采购需求”里“三、项目服务要求（三）质量服务保障措施”的要求，在投标文件中编制对应方案，包括但不限于①质量承诺内容、②服务质量承诺执行方式、③服务质量原则、服务质量承诺保障具体措施、④成本控制措施等方面。提供全部内容得2分，每缺1项扣0.5分。 （二）根据投标人提供的上述方案详细内容进行评审： （1）方案完全满足且优于项目要求的，得9分； （2）方案完全满足项目要求的，得5分； （3）方案不完全满足项目要求的，得2分； （4）未提供或其他不得分。</w:t>
            </w:r>
          </w:p>
        </w:tc>
      </w:tr>
      <w:tr>
        <w:tc>
          <w:tcPr>
            <w:tcW w:type="dxa" w:w="922"/>
            <w:gridSpan w:val="2"/>
            <w:vMerge/>
          </w:tcPr>
          <w:p/>
        </w:tc>
        <w:tc>
          <w:tcPr>
            <w:tcW w:type="dxa" w:w="2307"/>
          </w:tcPr>
          <w:p>
            <w:pPr>
              <w:pStyle w:val="null3"/>
              <w:jc w:val="left"/>
            </w:pPr>
            <w:r>
              <w:rPr/>
              <w:t>项目突发方案 (11.0分)</w:t>
            </w:r>
          </w:p>
        </w:tc>
        <w:tc>
          <w:tcPr>
            <w:tcW w:type="dxa" w:w="5076"/>
          </w:tcPr>
          <w:p>
            <w:pPr>
              <w:pStyle w:val="null3"/>
              <w:jc w:val="left"/>
            </w:pPr>
            <w:r>
              <w:rPr/>
              <w:t>根据“第二章 采购需求”里“三、项目服务要求（四）项目突发预案”的要求，在投标文件中编制对应方案，包括但不限于①各种突发情况的预判、②应急措施、③风险管理内容等方面。提供全部内容得3分，每缺1项扣1分。 （二）根据投标人提供的上述方案详细内容进行评审： （1）方案完全满足且优于项目要求的，得8分； （2）方案完全满足项目要求的，得5分； （3）方案不完全满足项目要求的，得2分； （4）未提供或其他不得分。</w:t>
            </w:r>
          </w:p>
        </w:tc>
      </w:tr>
      <w:tr>
        <w:tc>
          <w:tcPr>
            <w:tcW w:type="dxa" w:w="922"/>
            <w:gridSpan w:val="2"/>
            <w:vMerge w:val="restart"/>
          </w:tcPr>
          <w:p>
            <w:pPr>
              <w:pStyle w:val="null3"/>
              <w:jc w:val="center"/>
            </w:pPr>
            <w:r>
              <w:rPr/>
              <w:t>商务部分</w:t>
            </w:r>
          </w:p>
        </w:tc>
        <w:tc>
          <w:tcPr>
            <w:tcW w:type="dxa" w:w="2307"/>
          </w:tcPr>
          <w:p>
            <w:pPr>
              <w:pStyle w:val="null3"/>
              <w:jc w:val="left"/>
            </w:pPr>
            <w:r>
              <w:rPr/>
              <w:t>同类项目业绩 (10.0分)</w:t>
            </w:r>
          </w:p>
        </w:tc>
        <w:tc>
          <w:tcPr>
            <w:tcW w:type="dxa" w:w="5076"/>
          </w:tcPr>
          <w:p>
            <w:pPr>
              <w:pStyle w:val="null3"/>
              <w:jc w:val="left"/>
            </w:pPr>
            <w:r>
              <w:rPr/>
              <w:t>供应商提供2023年1月1日以来（以合同签订时间为准）的同类项目业绩，每提供一个满足要求的项目业绩得2分，此项最高得10分。 注：须提供合同关键页（含签订合同双方的单位名称、合同项目名称、含签订合同双方的落款盖章、签订日期的关键页）加盖投标人公章作为类似业绩评价证明资料，不提供不得分。同一用户单位的多个类似经验仅对一个类似经验计分，不重复计分。</w:t>
            </w:r>
          </w:p>
        </w:tc>
      </w:tr>
      <w:tr>
        <w:tc>
          <w:tcPr>
            <w:tcW w:type="dxa" w:w="922"/>
            <w:gridSpan w:val="2"/>
            <w:vMerge/>
          </w:tcPr>
          <w:p/>
        </w:tc>
        <w:tc>
          <w:tcPr>
            <w:tcW w:type="dxa" w:w="2307"/>
          </w:tcPr>
          <w:p>
            <w:pPr>
              <w:pStyle w:val="null3"/>
              <w:jc w:val="left"/>
            </w:pPr>
            <w:r>
              <w:rPr/>
              <w:t>满意度评价 (10.0分)</w:t>
            </w:r>
          </w:p>
        </w:tc>
        <w:tc>
          <w:tcPr>
            <w:tcW w:type="dxa" w:w="5076"/>
          </w:tcPr>
          <w:p>
            <w:pPr>
              <w:pStyle w:val="null3"/>
              <w:jc w:val="left"/>
            </w:pPr>
            <w:r>
              <w:rPr/>
              <w:t>投标人提供符合上述要求的2023年1月1日至今的同类项目业绩的用户单位出具的满意度评价，评价情况至少须为正面评价（优秀、优良、良好、满意或相当于正面评价）的方可计分： 每提供一项得2分，最高10分。 注：①须与投标人上述提供的2023年1月1日至今的同类项目经验的用户单位一致； ②用户满意度评价须经用户单位盖章，评价情况至少须为正面评价的方可计分。 ③同一用户单位的多个满意度评价，只计算为一个评价。</w:t>
            </w:r>
          </w:p>
        </w:tc>
      </w:tr>
      <w:tr>
        <w:tc>
          <w:tcPr>
            <w:tcW w:type="dxa" w:w="922"/>
            <w:gridSpan w:val="2"/>
            <w:vMerge/>
          </w:tcPr>
          <w:p/>
        </w:tc>
        <w:tc>
          <w:tcPr>
            <w:tcW w:type="dxa" w:w="2307"/>
          </w:tcPr>
          <w:p>
            <w:pPr>
              <w:pStyle w:val="null3"/>
              <w:jc w:val="left"/>
            </w:pPr>
            <w:r>
              <w:rPr/>
              <w:t>拟派本项目团队人员情况1 (5.0分)</w:t>
            </w:r>
          </w:p>
        </w:tc>
        <w:tc>
          <w:tcPr>
            <w:tcW w:type="dxa" w:w="5076"/>
          </w:tcPr>
          <w:p>
            <w:pPr>
              <w:pStyle w:val="null3"/>
              <w:jc w:val="left"/>
            </w:pPr>
            <w:r>
              <w:rPr/>
              <w:t>有拍摄任务对应拍摄科室派驻至少1名专职人员对接项目进度，负责统筹对接科室拍摄计划、短视频发布及数据反馈，服务响应满足如下要求得5分： ①线上咨询：7×24小时响应，30分钟内回复； ②突发舆-情：2小时内到场处置； ③ 拍摄紧急需求：2小时内到场。 注：提供人员名单清单一览表、承诺函、同时提供对应人员在投标单位任职的证明材料（劳动合同或本项目投标截止前6个月内任意1个月缴纳社保或单位代缴个人所得税税单）复印件加盖投标单位公章作为佐证材料。未按要求提供证明材料不得分。</w:t>
            </w:r>
          </w:p>
        </w:tc>
      </w:tr>
      <w:tr>
        <w:tc>
          <w:tcPr>
            <w:tcW w:type="dxa" w:w="922"/>
            <w:gridSpan w:val="2"/>
            <w:vMerge/>
          </w:tcPr>
          <w:p/>
        </w:tc>
        <w:tc>
          <w:tcPr>
            <w:tcW w:type="dxa" w:w="2307"/>
          </w:tcPr>
          <w:p>
            <w:pPr>
              <w:pStyle w:val="null3"/>
              <w:jc w:val="left"/>
            </w:pPr>
            <w:r>
              <w:rPr/>
              <w:t>拟派本项目团队人员情况2 (5.0分)</w:t>
            </w:r>
          </w:p>
        </w:tc>
        <w:tc>
          <w:tcPr>
            <w:tcW w:type="dxa" w:w="5076"/>
          </w:tcPr>
          <w:p>
            <w:pPr>
              <w:pStyle w:val="null3"/>
              <w:jc w:val="left"/>
            </w:pPr>
            <w:r>
              <w:rPr/>
              <w:t>（1）项目负责人需具备3年及以上同类项目经验得1分； （2）团队成员具有2年及以上同类项目经验的，每人得0.5分，最高得4分。 注：提供人员名单清单一览表、相关经验证明材料（如合同或履历表等）、同时提供对应人员在投标单位任职的证明材料（劳动合同或本项目投标截止前6个月内任意1个月缴纳社保或单位代缴个人所得税税单）复印件加盖投标单位公章作为佐证材料。未按要求提供证明材料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投标报价得分＝（可承接合作科室数量/评标基准）×价格分值【注：满足招标文件要求（26个≤合作科室数量≤55个）且填报可承接合作科室数量最多的投标人对应的投标报价为本项目评标基准价。】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84"/>
          <w:b/>
        </w:rPr>
        <w:t>采</w:t>
      </w:r>
      <w:r>
        <w:rPr>
          <w:sz w:val="84"/>
          <w:b/>
        </w:rPr>
        <w:t>购</w:t>
      </w:r>
      <w:r>
        <w:rPr>
          <w:sz w:val="84"/>
          <w:b/>
        </w:rPr>
        <w:t>合</w:t>
      </w:r>
      <w:r>
        <w:rPr>
          <w:sz w:val="84"/>
          <w:b/>
        </w:rPr>
        <w:t>同</w:t>
      </w:r>
    </w:p>
    <w:p>
      <w:pPr>
        <w:pStyle w:val="null3"/>
        <w:ind w:firstLine="480"/>
        <w:jc w:val="center"/>
      </w:pPr>
      <w:r>
        <w:rPr>
          <w:sz w:val="84"/>
          <w:b/>
        </w:rPr>
        <w:t>（服务类）</w:t>
      </w:r>
    </w:p>
    <w:p>
      <w:pPr>
        <w:pStyle w:val="null3"/>
        <w:ind w:firstLine="480"/>
        <w:jc w:val="center"/>
      </w:pPr>
      <w:r>
        <w:rPr>
          <w:sz w:val="30"/>
          <w:b/>
        </w:rPr>
        <w:t>项目名称：</w:t>
      </w:r>
      <w:r>
        <w:rPr>
          <w:sz w:val="30"/>
          <w:b/>
        </w:rPr>
        <w:t>广东省第二人民医院新媒体运营服务采购项目</w:t>
      </w:r>
    </w:p>
    <w:p>
      <w:pPr>
        <w:pStyle w:val="null3"/>
        <w:ind w:firstLine="904"/>
        <w:jc w:val="both"/>
      </w:pPr>
      <w:r>
        <w:rPr>
          <w:sz w:val="30"/>
          <w:b/>
        </w:rPr>
        <w:t>合同编号：</w:t>
      </w:r>
    </w:p>
    <w:p>
      <w:pPr>
        <w:pStyle w:val="null3"/>
        <w:ind w:firstLine="904"/>
        <w:jc w:val="both"/>
      </w:pPr>
      <w:r>
        <w:rPr>
          <w:sz w:val="30"/>
          <w:b/>
        </w:rPr>
        <w:t>签约地点：</w:t>
      </w:r>
      <w:r>
        <w:rPr>
          <w:sz w:val="30"/>
          <w:b/>
        </w:rPr>
        <w:t>广州</w:t>
      </w:r>
    </w:p>
    <w:p>
      <w:pPr>
        <w:pStyle w:val="null3"/>
        <w:ind w:firstLine="988"/>
        <w:jc w:val="both"/>
      </w:pPr>
      <w:r>
        <w:rPr>
          <w:sz w:val="30"/>
          <w:b/>
        </w:rPr>
        <w:t>签订日期：二</w:t>
      </w:r>
      <w:r>
        <w:rPr>
          <w:sz w:val="30"/>
          <w:b/>
        </w:rPr>
        <w:t>○二  年    月     日</w:t>
      </w:r>
    </w:p>
    <w:p>
      <w:pPr>
        <w:pStyle w:val="null3"/>
        <w:jc w:val="left"/>
      </w:pPr>
      <w:r>
        <w:rPr/>
        <w:t xml:space="preserve"> </w:t>
      </w:r>
    </w:p>
    <w:p>
      <w:pPr>
        <w:pStyle w:val="null3"/>
        <w:jc w:val="left"/>
      </w:pPr>
      <w:r>
        <w:rPr>
          <w:sz w:val="21"/>
          <w:b/>
          <w:color w:val="000000"/>
        </w:rPr>
        <w:t>甲方：</w:t>
      </w:r>
      <w:r>
        <w:rPr>
          <w:sz w:val="21"/>
          <w:b/>
          <w:color w:val="000000"/>
        </w:rPr>
        <w:t xml:space="preserve"> </w:t>
      </w:r>
      <w:r>
        <w:rPr>
          <w:sz w:val="21"/>
          <w:color w:val="000000"/>
          <w:u w:val="single"/>
        </w:rPr>
        <w:t xml:space="preserve">   </w:t>
      </w:r>
    </w:p>
    <w:p>
      <w:pPr>
        <w:pStyle w:val="null3"/>
        <w:jc w:val="left"/>
      </w:pPr>
      <w:r>
        <w:rPr>
          <w:sz w:val="21"/>
          <w:color w:val="000000"/>
        </w:rPr>
        <w:t>电话：</w:t>
      </w:r>
      <w:r>
        <w:rPr>
          <w:sz w:val="21"/>
          <w:color w:val="000000"/>
        </w:rPr>
        <w:t xml:space="preserve"> </w:t>
      </w:r>
      <w:r>
        <w:rPr>
          <w:sz w:val="21"/>
          <w:color w:val="000000"/>
          <w:u w:val="single"/>
        </w:rPr>
        <w:t xml:space="preserve">   </w:t>
      </w:r>
      <w:r>
        <w:rPr>
          <w:sz w:val="21"/>
          <w:color w:val="000000"/>
        </w:rPr>
        <w:t>传真</w:t>
      </w:r>
      <w:r>
        <w:rPr>
          <w:sz w:val="21"/>
          <w:color w:val="000000"/>
        </w:rPr>
        <w:t xml:space="preserve"> ： </w:t>
      </w:r>
      <w:r>
        <w:rPr>
          <w:sz w:val="21"/>
          <w:color w:val="000000"/>
          <w:u w:val="single"/>
        </w:rPr>
        <w:t xml:space="preserve">   </w:t>
      </w:r>
      <w:r>
        <w:rPr>
          <w:sz w:val="21"/>
          <w:color w:val="000000"/>
        </w:rPr>
        <w:t>地址：</w:t>
      </w:r>
      <w:r>
        <w:rPr>
          <w:sz w:val="21"/>
          <w:color w:val="000000"/>
        </w:rPr>
        <w:t xml:space="preserve"> </w:t>
      </w:r>
      <w:r>
        <w:rPr>
          <w:sz w:val="21"/>
          <w:color w:val="000000"/>
          <w:u w:val="single"/>
        </w:rPr>
        <w:t xml:space="preserve">     </w:t>
      </w:r>
    </w:p>
    <w:p>
      <w:pPr>
        <w:pStyle w:val="null3"/>
        <w:jc w:val="left"/>
      </w:pPr>
      <w:r>
        <w:rPr>
          <w:sz w:val="21"/>
          <w:b/>
          <w:color w:val="000000"/>
        </w:rPr>
        <w:t>乙方：</w:t>
      </w:r>
      <w:r>
        <w:rPr>
          <w:sz w:val="21"/>
          <w:b/>
          <w:color w:val="000000"/>
        </w:rPr>
        <w:t xml:space="preserve"> </w:t>
      </w:r>
      <w:r>
        <w:rPr>
          <w:sz w:val="21"/>
          <w:color w:val="000000"/>
          <w:u w:val="single"/>
        </w:rPr>
        <w:t xml:space="preserve">   </w:t>
      </w:r>
    </w:p>
    <w:p>
      <w:pPr>
        <w:pStyle w:val="null3"/>
        <w:jc w:val="left"/>
      </w:pPr>
      <w:r>
        <w:rPr>
          <w:sz w:val="21"/>
          <w:color w:val="000000"/>
        </w:rPr>
        <w:t>电话：</w:t>
      </w:r>
      <w:r>
        <w:rPr>
          <w:sz w:val="21"/>
          <w:color w:val="000000"/>
        </w:rPr>
        <w:t xml:space="preserve"> </w:t>
      </w:r>
      <w:r>
        <w:rPr>
          <w:sz w:val="21"/>
          <w:color w:val="000000"/>
          <w:u w:val="single"/>
        </w:rPr>
        <w:t xml:space="preserve">    </w:t>
      </w:r>
      <w:r>
        <w:rPr>
          <w:sz w:val="21"/>
          <w:color w:val="000000"/>
        </w:rPr>
        <w:t>传真：</w:t>
      </w:r>
      <w:r>
        <w:rPr>
          <w:sz w:val="21"/>
          <w:color w:val="000000"/>
          <w:u w:val="single"/>
        </w:rPr>
        <w:t xml:space="preserve">     </w:t>
      </w:r>
      <w:r>
        <w:rPr>
          <w:sz w:val="21"/>
          <w:color w:val="000000"/>
        </w:rPr>
        <w:t>地址：</w:t>
      </w:r>
      <w:r>
        <w:rPr>
          <w:sz w:val="21"/>
          <w:color w:val="000000"/>
        </w:rPr>
        <w:t xml:space="preserve"> </w:t>
      </w:r>
      <w:r>
        <w:rPr>
          <w:sz w:val="21"/>
          <w:color w:val="000000"/>
          <w:u w:val="single"/>
        </w:rPr>
        <w:t xml:space="preserve">    </w:t>
      </w:r>
    </w:p>
    <w:p>
      <w:pPr>
        <w:pStyle w:val="null3"/>
        <w:jc w:val="left"/>
      </w:pPr>
      <w:r>
        <w:rPr>
          <w:sz w:val="21"/>
          <w:color w:val="000000"/>
        </w:rPr>
        <w:t xml:space="preserve"> </w:t>
      </w:r>
    </w:p>
    <w:p>
      <w:pPr>
        <w:pStyle w:val="null3"/>
        <w:jc w:val="left"/>
      </w:pPr>
      <w:r>
        <w:rPr>
          <w:sz w:val="21"/>
          <w:color w:val="000000"/>
        </w:rPr>
        <w:t xml:space="preserve">  根据 </w:t>
      </w:r>
      <w:r>
        <w:rPr>
          <w:sz w:val="21"/>
          <w:color w:val="000000"/>
          <w:u w:val="single"/>
        </w:rPr>
        <w:t xml:space="preserve">         项目 </w:t>
      </w:r>
      <w:r>
        <w:rPr>
          <w:sz w:val="21"/>
          <w:color w:val="000000"/>
        </w:rPr>
        <w:t>的采购结果，按照《中华人民共和国政府采购法》，《中华人民共和国民法典</w:t>
      </w:r>
      <w:r>
        <w:rPr>
          <w:sz w:val="21"/>
          <w:color w:val="000000"/>
        </w:rPr>
        <w:t>(合同编)》的规定，经双方协商，本着平等互利和诚实信用的原则，一致同意遵守本合同如下。</w:t>
      </w:r>
    </w:p>
    <w:p>
      <w:pPr>
        <w:pStyle w:val="null3"/>
        <w:jc w:val="left"/>
      </w:pPr>
      <w:r>
        <w:rPr>
          <w:sz w:val="21"/>
          <w:b/>
          <w:color w:val="000000"/>
        </w:rPr>
        <w:t>一、合同金额</w:t>
      </w:r>
    </w:p>
    <w:p>
      <w:pPr>
        <w:pStyle w:val="null3"/>
        <w:jc w:val="left"/>
      </w:pPr>
      <w:r>
        <w:rPr>
          <w:sz w:val="21"/>
          <w:color w:val="000000"/>
        </w:rPr>
        <w:t>　　合同金额为（大写）：</w:t>
      </w:r>
      <w:r>
        <w:rPr>
          <w:sz w:val="21"/>
          <w:color w:val="000000"/>
        </w:rPr>
        <w:t>_____________元（￥_________元）人民币。</w:t>
      </w:r>
    </w:p>
    <w:p>
      <w:pPr>
        <w:pStyle w:val="null3"/>
        <w:jc w:val="left"/>
      </w:pPr>
      <w:r>
        <w:rPr>
          <w:sz w:val="21"/>
          <w:b/>
          <w:color w:val="000000"/>
        </w:rPr>
        <w:t>二、服务范围及要求</w:t>
      </w:r>
    </w:p>
    <w:p>
      <w:pPr>
        <w:pStyle w:val="null3"/>
        <w:jc w:val="left"/>
      </w:pPr>
      <w:r>
        <w:rPr>
          <w:sz w:val="21"/>
          <w:color w:val="000000"/>
        </w:rPr>
        <w:t>　甲方聘请乙方提供以下服务：负责广东省第二人民医院新媒体运营服务工作</w:t>
      </w:r>
      <w:r>
        <w:rPr>
          <w:sz w:val="21"/>
          <w:color w:val="000000"/>
        </w:rPr>
        <w:t>具体要求如下：</w:t>
      </w:r>
    </w:p>
    <w:p>
      <w:pPr>
        <w:pStyle w:val="null3"/>
        <w:jc w:val="left"/>
      </w:pPr>
      <w:r>
        <w:rPr>
          <w:sz w:val="21"/>
          <w:color w:val="000000"/>
        </w:rPr>
        <w:t>（一）账号搭建规划：</w:t>
      </w:r>
    </w:p>
    <w:p>
      <w:pPr>
        <w:pStyle w:val="null3"/>
        <w:jc w:val="left"/>
      </w:pPr>
      <w:r>
        <w:rPr>
          <w:sz w:val="21"/>
          <w:color w:val="000000"/>
        </w:rPr>
        <w:t>广东省第二人民医院属于三级甲等公立医院，结合抖音和视频号认证规则，医院和科室意向搭建平台如下：</w:t>
      </w:r>
    </w:p>
    <w:p>
      <w:pPr>
        <w:pStyle w:val="null3"/>
        <w:jc w:val="left"/>
      </w:pPr>
      <w:r>
        <w:rPr>
          <w:sz w:val="21"/>
          <w:color w:val="000000"/>
        </w:rPr>
        <w:t>1、宣传平台：抖音、视频号新媒体平台；</w:t>
      </w:r>
    </w:p>
    <w:p>
      <w:pPr>
        <w:pStyle w:val="null3"/>
        <w:jc w:val="left"/>
      </w:pPr>
      <w:r>
        <w:rPr>
          <w:sz w:val="21"/>
          <w:color w:val="000000"/>
        </w:rPr>
        <w:t>2、账号：</w:t>
      </w:r>
      <w:r>
        <w:rPr>
          <w:sz w:val="21"/>
          <w:shd w:fill="FFFFFF" w:val="clear"/>
        </w:rPr>
        <w:t>针对科室自媒体开展全案</w:t>
      </w:r>
      <w:r>
        <w:rPr>
          <w:sz w:val="21"/>
          <w:shd w:fill="FFFFFF" w:val="clear"/>
        </w:rPr>
        <w:t>IP运营服务，结合医院战略部署及各专病中心建设情况，动态拓展运营覆盖范围，持续新增运营科室及医生IP。现阶段运营的科室及对应医生IP清单详见如下，未在清单中列出的科室采购人根据医院运营需要动态调整</w:t>
      </w:r>
      <w:r>
        <w:rPr>
          <w:sz w:val="21"/>
          <w:color w:val="000000"/>
        </w:rPr>
        <w:t>。</w:t>
      </w:r>
    </w:p>
    <w:tbl>
      <w:tblPr>
        <w:tblW w:w="0" w:type="auto"/>
        <w:tblBorders>
          <w:top w:val="none" w:color="000000" w:sz="4"/>
          <w:left w:val="none" w:color="000000" w:sz="4"/>
          <w:bottom w:val="none" w:color="000000" w:sz="4"/>
          <w:right w:val="none" w:color="000000" w:sz="4"/>
          <w:insideH w:val="none"/>
          <w:insideV w:val="none"/>
        </w:tblBorders>
      </w:tblPr>
      <w:tblGrid>
        <w:gridCol w:w="945"/>
        <w:gridCol w:w="2310"/>
        <w:gridCol w:w="1740"/>
        <w:gridCol w:w="1215"/>
      </w:tblGrid>
      <w:tr>
        <w:tc>
          <w:tcPr>
            <w:tcW w:type="dxa" w:w="94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序号</w:t>
            </w:r>
          </w:p>
        </w:tc>
        <w:tc>
          <w:tcPr>
            <w:tcW w:type="dxa" w:w="231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科室</w:t>
            </w:r>
          </w:p>
        </w:tc>
        <w:tc>
          <w:tcPr>
            <w:tcW w:type="dxa" w:w="174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医生主</w:t>
            </w:r>
            <w:r>
              <w:rPr>
                <w:sz w:val="21"/>
                <w:color w:val="000000"/>
              </w:rPr>
              <w:t>IP</w:t>
            </w:r>
          </w:p>
        </w:tc>
        <w:tc>
          <w:tcPr>
            <w:tcW w:type="dxa" w:w="121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辅助</w:t>
            </w:r>
            <w:r>
              <w:rPr>
                <w:sz w:val="21"/>
                <w:color w:val="000000"/>
              </w:rPr>
              <w:t>IP</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显微修复骨科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牟勇</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2</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超声科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马力</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3</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介入血管科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肖承江</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刘昊</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4</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疼痛科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黄乔东</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5</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神经医学中心</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何旭英</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王墨</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6</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脊柱骨科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周治来</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7</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关节骨一科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许长鹏</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8</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肿瘤科二病区</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张绪慧</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9</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泌尿外科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邱晓拂</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10</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生殖医学中心</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欧湘红</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陈雷宁</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11</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创伤骨科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孙大炜</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12</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血液科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余国攀</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13</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关节骨二科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林周胜</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14</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小儿外科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苏诚</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15</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淋巴外科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祝李霖</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16</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妇科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付霞霏</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17</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风湿免疫科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郑少玲</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17</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阿尔茨海默症中心</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栾萍教授</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19</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产科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孟丽丽</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20</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多汗症微创治疗中心</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刘瑞健</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r>
        <w:tc>
          <w:tcPr>
            <w:tcW w:type="dxa" w:w="9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21</w:t>
            </w:r>
          </w:p>
        </w:tc>
        <w:tc>
          <w:tcPr>
            <w:tcW w:type="dxa" w:w="231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眼科</w:t>
            </w:r>
          </w:p>
        </w:tc>
        <w:tc>
          <w:tcPr>
            <w:tcW w:type="dxa" w:w="1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颜志超</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待定</w:t>
            </w:r>
          </w:p>
        </w:tc>
      </w:tr>
    </w:tbl>
    <w:p>
      <w:pPr>
        <w:pStyle w:val="null3"/>
        <w:jc w:val="left"/>
      </w:pPr>
      <w:r>
        <w:rPr>
          <w:sz w:val="21"/>
          <w:color w:val="000000"/>
        </w:rPr>
        <w:t>（二）账号运营与管理：</w:t>
      </w:r>
    </w:p>
    <w:p>
      <w:pPr>
        <w:pStyle w:val="null3"/>
        <w:jc w:val="both"/>
      </w:pPr>
      <w:r>
        <w:rPr>
          <w:sz w:val="21"/>
          <w:shd w:fill="FFFFFF" w:val="clear"/>
        </w:rPr>
        <w:t>围绕医院、科室、医生</w:t>
      </w:r>
      <w:r>
        <w:rPr>
          <w:sz w:val="21"/>
          <w:shd w:fill="FFFFFF" w:val="clear"/>
        </w:rPr>
        <w:t>IP的业务增长目标，提供全案运营服务，涵盖账号从基础搭建、内容生产、日常运维及数据分析全流程。</w:t>
      </w:r>
    </w:p>
    <w:p>
      <w:pPr>
        <w:pStyle w:val="null3"/>
        <w:jc w:val="both"/>
      </w:pPr>
      <w:r>
        <w:rPr>
          <w:sz w:val="21"/>
          <w:shd w:fill="FFFFFF" w:val="clear"/>
        </w:rPr>
        <w:t>1、前期策划与搭建</w:t>
      </w:r>
    </w:p>
    <w:p>
      <w:pPr>
        <w:pStyle w:val="null3"/>
        <w:jc w:val="both"/>
      </w:pPr>
      <w:r>
        <w:rPr>
          <w:sz w:val="21"/>
          <w:shd w:fill="FFFFFF" w:val="clear"/>
        </w:rPr>
        <w:t>（</w:t>
      </w:r>
      <w:r>
        <w:rPr>
          <w:sz w:val="21"/>
          <w:shd w:fill="FFFFFF" w:val="clear"/>
        </w:rPr>
        <w:t>1）市场分析与策略制定：开展市场调研与竞品分析，明确账号定位与发展方向，制定运营方案，完成形象照拍摄等基础物料准备。</w:t>
      </w:r>
    </w:p>
    <w:p>
      <w:pPr>
        <w:pStyle w:val="null3"/>
        <w:jc w:val="both"/>
      </w:pPr>
      <w:r>
        <w:rPr>
          <w:sz w:val="21"/>
          <w:shd w:fill="FFFFFF" w:val="clear"/>
        </w:rPr>
        <w:t>（</w:t>
      </w:r>
      <w:r>
        <w:rPr>
          <w:sz w:val="21"/>
          <w:shd w:fill="FFFFFF" w:val="clear"/>
        </w:rPr>
        <w:t>2）账号策划：确定账号整体定位、人设定位及内容方向。</w:t>
      </w:r>
    </w:p>
    <w:p>
      <w:pPr>
        <w:pStyle w:val="null3"/>
        <w:jc w:val="both"/>
      </w:pPr>
      <w:r>
        <w:rPr>
          <w:sz w:val="21"/>
          <w:shd w:fill="FFFFFF" w:val="clear"/>
        </w:rPr>
        <w:t>（</w:t>
      </w:r>
      <w:r>
        <w:rPr>
          <w:sz w:val="21"/>
          <w:shd w:fill="FFFFFF" w:val="clear"/>
        </w:rPr>
        <w:t>3）账号注册与认证：协助完成账号的注册及平台认证流程。</w:t>
      </w:r>
    </w:p>
    <w:p>
      <w:pPr>
        <w:pStyle w:val="null3"/>
        <w:jc w:val="both"/>
      </w:pPr>
      <w:r>
        <w:rPr>
          <w:sz w:val="21"/>
          <w:shd w:fill="FFFFFF" w:val="clear"/>
        </w:rPr>
        <w:t>（</w:t>
      </w:r>
      <w:r>
        <w:rPr>
          <w:sz w:val="21"/>
          <w:shd w:fill="FFFFFF" w:val="clear"/>
        </w:rPr>
        <w:t>4）账号基础搭建：完成头像、头图、昵称、简介等视觉及信息配置，剪辑并发布置顶三条视频，确保账号形象统一、专业。</w:t>
      </w:r>
    </w:p>
    <w:p>
      <w:pPr>
        <w:pStyle w:val="null3"/>
        <w:jc w:val="both"/>
      </w:pPr>
      <w:r>
        <w:rPr>
          <w:sz w:val="21"/>
          <w:shd w:fill="FFFFFF" w:val="clear"/>
        </w:rPr>
        <w:t>2、内容生产与制作</w:t>
      </w:r>
    </w:p>
    <w:p>
      <w:pPr>
        <w:pStyle w:val="null3"/>
        <w:jc w:val="both"/>
      </w:pPr>
      <w:r>
        <w:rPr>
          <w:sz w:val="21"/>
          <w:shd w:fill="FFFFFF" w:val="clear"/>
        </w:rPr>
        <w:t>（</w:t>
      </w:r>
      <w:r>
        <w:rPr>
          <w:sz w:val="21"/>
          <w:shd w:fill="FFFFFF" w:val="clear"/>
        </w:rPr>
        <w:t>1）内容策划：围绕账号定位，策划视频主题、文案脚本及互动活动。</w:t>
      </w:r>
    </w:p>
    <w:p>
      <w:pPr>
        <w:pStyle w:val="null3"/>
        <w:jc w:val="both"/>
      </w:pPr>
      <w:r>
        <w:rPr>
          <w:sz w:val="21"/>
          <w:shd w:fill="FFFFFF" w:val="clear"/>
        </w:rPr>
        <w:t>（</w:t>
      </w:r>
      <w:r>
        <w:rPr>
          <w:sz w:val="21"/>
          <w:shd w:fill="FFFFFF" w:val="clear"/>
        </w:rPr>
        <w:t>2）视频拍摄：根据策划方案进行实景拍摄，场景涵盖门诊、查房、手术等临床一线。</w:t>
      </w:r>
    </w:p>
    <w:p>
      <w:pPr>
        <w:pStyle w:val="null3"/>
        <w:jc w:val="both"/>
      </w:pPr>
      <w:r>
        <w:rPr>
          <w:sz w:val="21"/>
          <w:shd w:fill="FFFFFF" w:val="clear"/>
        </w:rPr>
        <w:t>（</w:t>
      </w:r>
      <w:r>
        <w:rPr>
          <w:sz w:val="21"/>
          <w:shd w:fill="FFFFFF" w:val="clear"/>
        </w:rPr>
        <w:t>3）内容剪辑与发布管理：对拍摄素材进行剪辑制作，并按计划发布管理。</w:t>
      </w:r>
    </w:p>
    <w:p>
      <w:pPr>
        <w:pStyle w:val="null3"/>
        <w:jc w:val="both"/>
      </w:pPr>
      <w:r>
        <w:rPr>
          <w:sz w:val="21"/>
          <w:shd w:fill="FFFFFF" w:val="clear"/>
        </w:rPr>
        <w:t>（</w:t>
      </w:r>
      <w:r>
        <w:rPr>
          <w:sz w:val="21"/>
          <w:shd w:fill="FFFFFF" w:val="clear"/>
        </w:rPr>
        <w:t>4）拍摄频次要求：每周到医院为每个科室拍摄</w:t>
      </w:r>
      <w:r>
        <w:rPr>
          <w:sz w:val="21"/>
          <w:shd w:fill="FFFFFF" w:val="clear"/>
        </w:rPr>
        <w:t>1</w:t>
      </w:r>
      <w:r>
        <w:rPr>
          <w:sz w:val="21"/>
          <w:shd w:fill="FFFFFF" w:val="clear"/>
        </w:rPr>
        <w:t>次</w:t>
      </w:r>
      <w:r>
        <w:rPr>
          <w:sz w:val="21"/>
        </w:rPr>
        <w:t>以上</w:t>
      </w:r>
      <w:r>
        <w:rPr>
          <w:sz w:val="21"/>
          <w:shd w:fill="FFFFFF" w:val="clear"/>
        </w:rPr>
        <w:t>；每个医生</w:t>
      </w:r>
      <w:r>
        <w:rPr>
          <w:sz w:val="21"/>
          <w:shd w:fill="FFFFFF" w:val="clear"/>
        </w:rPr>
        <w:t>IP账号每月发布</w:t>
      </w:r>
      <w:r>
        <w:rPr>
          <w:sz w:val="21"/>
          <w:shd w:fill="FFFFFF" w:val="clear"/>
        </w:rPr>
        <w:t>20</w:t>
      </w:r>
      <w:r>
        <w:rPr>
          <w:sz w:val="21"/>
          <w:shd w:fill="FFFFFF" w:val="clear"/>
        </w:rPr>
        <w:t>条</w:t>
      </w:r>
      <w:r>
        <w:rPr>
          <w:sz w:val="21"/>
          <w:shd w:fill="FFFFFF" w:val="clear"/>
        </w:rPr>
        <w:t>以上</w:t>
      </w:r>
      <w:r>
        <w:rPr>
          <w:sz w:val="21"/>
          <w:shd w:fill="FFFFFF" w:val="clear"/>
        </w:rPr>
        <w:t>作品；医院官方账号根据融媒体中心需求协助发布。</w:t>
      </w:r>
    </w:p>
    <w:p>
      <w:pPr>
        <w:pStyle w:val="null3"/>
        <w:jc w:val="both"/>
      </w:pPr>
      <w:r>
        <w:rPr>
          <w:sz w:val="21"/>
          <w:shd w:fill="FFFFFF" w:val="clear"/>
        </w:rPr>
        <w:t>3、日常运维与粉丝互动</w:t>
      </w:r>
    </w:p>
    <w:p>
      <w:pPr>
        <w:pStyle w:val="null3"/>
        <w:jc w:val="both"/>
      </w:pPr>
      <w:r>
        <w:rPr>
          <w:sz w:val="21"/>
          <w:shd w:fill="FFFFFF" w:val="clear"/>
        </w:rPr>
        <w:t>（</w:t>
      </w:r>
      <w:r>
        <w:rPr>
          <w:sz w:val="21"/>
          <w:shd w:fill="FFFFFF" w:val="clear"/>
        </w:rPr>
        <w:t>1）内容与合辑管理：对已发布视频进行分类管理和合辑整理。</w:t>
      </w:r>
    </w:p>
    <w:p>
      <w:pPr>
        <w:pStyle w:val="null3"/>
        <w:jc w:val="both"/>
      </w:pPr>
      <w:r>
        <w:rPr>
          <w:sz w:val="21"/>
          <w:shd w:fill="FFFFFF" w:val="clear"/>
        </w:rPr>
        <w:t>（</w:t>
      </w:r>
      <w:r>
        <w:rPr>
          <w:sz w:val="21"/>
          <w:shd w:fill="FFFFFF" w:val="clear"/>
        </w:rPr>
        <w:t>2）互动管理：负责粉丝、评论、私信的日常回复与维护，提升用户粘性。</w:t>
      </w:r>
    </w:p>
    <w:p>
      <w:pPr>
        <w:pStyle w:val="null3"/>
        <w:jc w:val="both"/>
      </w:pPr>
      <w:r>
        <w:rPr>
          <w:sz w:val="21"/>
          <w:shd w:fill="FFFFFF" w:val="clear"/>
        </w:rPr>
        <w:t>4、数据分析与量化评估</w:t>
      </w:r>
    </w:p>
    <w:p>
      <w:pPr>
        <w:pStyle w:val="null3"/>
        <w:jc w:val="both"/>
      </w:pPr>
      <w:r>
        <w:rPr>
          <w:sz w:val="21"/>
          <w:shd w:fill="FFFFFF" w:val="clear"/>
        </w:rPr>
        <w:t>（</w:t>
      </w:r>
      <w:r>
        <w:rPr>
          <w:sz w:val="21"/>
          <w:shd w:fill="FFFFFF" w:val="clear"/>
        </w:rPr>
        <w:t>1）数据管理：建立系统化的数据记录与管理制度，对账号核心运营数据进行每日记录、每周汇总、每月归档。基础数据指标包括：播放量/阅读量、完播率、点赞量、评论量、转发量、收藏量、粉丝增长量、粉丝活跃时段、粉丝画像（年龄/性别/地域分布）等。</w:t>
      </w:r>
    </w:p>
    <w:p>
      <w:pPr>
        <w:pStyle w:val="null3"/>
        <w:jc w:val="both"/>
      </w:pPr>
      <w:r>
        <w:rPr>
          <w:sz w:val="21"/>
          <w:shd w:fill="FFFFFF" w:val="clear"/>
        </w:rPr>
        <w:t>（</w:t>
      </w:r>
      <w:r>
        <w:rPr>
          <w:sz w:val="21"/>
          <w:shd w:fill="FFFFFF" w:val="clear"/>
        </w:rPr>
        <w:t>2）运营分析：</w:t>
      </w:r>
    </w:p>
    <w:p>
      <w:pPr>
        <w:pStyle w:val="null3"/>
        <w:jc w:val="both"/>
      </w:pPr>
      <w:r>
        <w:rPr>
          <w:sz w:val="21"/>
          <w:shd w:fill="FFFFFF" w:val="clear"/>
        </w:rPr>
        <w:t>①每周对上述基础数据进行同比、环比分析，评估内容表现趋势，识别高流量与低流量内容特征；</w:t>
      </w:r>
    </w:p>
    <w:p>
      <w:pPr>
        <w:pStyle w:val="null3"/>
        <w:jc w:val="both"/>
      </w:pPr>
      <w:r>
        <w:rPr>
          <w:sz w:val="21"/>
          <w:shd w:fill="FFFFFF" w:val="clear"/>
        </w:rPr>
        <w:t>②每月开展一次全面复盘，将数据表现与账号定位、内容策略进行对照分析，输出《账号月度运营报告》（含数据报表、问题诊断、优化建议和下阶段内容规划），提交院方审核确认后执行；</w:t>
      </w:r>
    </w:p>
    <w:p>
      <w:pPr>
        <w:pStyle w:val="null3"/>
        <w:jc w:val="both"/>
      </w:pPr>
      <w:r>
        <w:rPr>
          <w:sz w:val="21"/>
          <w:shd w:fill="FFFFFF" w:val="clear"/>
        </w:rPr>
        <w:t>③每季度进行一次行业竞品对标分析，与同级别医院/科室/医生账号的核心数据（粉丝量、互动率等）进行横向-对比，明确改进方向。</w:t>
      </w:r>
    </w:p>
    <w:p>
      <w:pPr>
        <w:pStyle w:val="null3"/>
        <w:jc w:val="left"/>
      </w:pPr>
      <w:r>
        <w:rPr>
          <w:sz w:val="21"/>
          <w:color w:val="000000"/>
        </w:rPr>
        <w:t>（三）服务质量要求：</w:t>
      </w:r>
    </w:p>
    <w:p>
      <w:pPr>
        <w:pStyle w:val="null3"/>
        <w:jc w:val="left"/>
      </w:pPr>
      <w:r>
        <w:rPr>
          <w:sz w:val="21"/>
          <w:color w:val="000000"/>
        </w:rPr>
        <w:t>1、乙方应提供专业、创新的服务，至少满足如下要求：</w:t>
      </w:r>
    </w:p>
    <w:p>
      <w:pPr>
        <w:pStyle w:val="null3"/>
        <w:jc w:val="left"/>
      </w:pPr>
      <w:r>
        <w:rPr>
          <w:sz w:val="21"/>
          <w:color w:val="000000"/>
        </w:rPr>
        <w:t>（</w:t>
      </w:r>
      <w:r>
        <w:rPr>
          <w:sz w:val="21"/>
          <w:color w:val="000000"/>
        </w:rPr>
        <w:t>1）新媒体运营需策划丰富内容，有效管理账号，增强用户互动；</w:t>
      </w:r>
    </w:p>
    <w:p>
      <w:pPr>
        <w:pStyle w:val="null3"/>
        <w:jc w:val="left"/>
      </w:pPr>
      <w:r>
        <w:rPr>
          <w:sz w:val="21"/>
          <w:color w:val="000000"/>
        </w:rPr>
        <w:t>（</w:t>
      </w:r>
      <w:r>
        <w:rPr>
          <w:sz w:val="21"/>
          <w:color w:val="000000"/>
        </w:rPr>
        <w:t>2）新媒体产品策划应兼顾视频、文字、设计等多媒体形式，注重创新性与用户体验，制定有效传播计划。</w:t>
      </w:r>
    </w:p>
    <w:p>
      <w:pPr>
        <w:pStyle w:val="null3"/>
        <w:jc w:val="left"/>
      </w:pPr>
      <w:r>
        <w:rPr>
          <w:sz w:val="21"/>
          <w:color w:val="000000"/>
        </w:rPr>
        <w:t>2、服务团队需具备专业经验，建立应急响应机制，同时必须确保政治正确和做好舆-情危机管理，紧密围绕项目目标，提升医院影响力。</w:t>
      </w:r>
    </w:p>
    <w:p>
      <w:pPr>
        <w:pStyle w:val="null3"/>
        <w:jc w:val="left"/>
      </w:pPr>
      <w:r>
        <w:rPr>
          <w:sz w:val="21"/>
          <w:color w:val="000000"/>
        </w:rPr>
        <w:t>3、每个科室安排专人负责。</w:t>
      </w:r>
    </w:p>
    <w:p>
      <w:pPr>
        <w:pStyle w:val="null3"/>
        <w:jc w:val="left"/>
      </w:pPr>
      <w:r>
        <w:rPr>
          <w:sz w:val="21"/>
          <w:color w:val="000000"/>
        </w:rPr>
        <w:t>（四）服务成果要求：</w:t>
      </w:r>
    </w:p>
    <w:p>
      <w:pPr>
        <w:pStyle w:val="null3"/>
        <w:jc w:val="left"/>
      </w:pPr>
      <w:r>
        <w:rPr>
          <w:sz w:val="21"/>
          <w:color w:val="000000"/>
        </w:rPr>
        <w:t>1、项目成果所有权及知识产权属于甲方所有，未经甲方书面同意，乙方不得将甲方提供的资料、规划方案等向第三方转让或用于本采购范围以外的其他项目。</w:t>
      </w:r>
    </w:p>
    <w:p>
      <w:pPr>
        <w:pStyle w:val="null3"/>
        <w:jc w:val="left"/>
      </w:pPr>
      <w:r>
        <w:rPr>
          <w:sz w:val="21"/>
          <w:color w:val="000000"/>
        </w:rPr>
        <w:t>2、甲方与乙方签署合同后，甲方在该项目中拥有成交成果、项目成果的使用权，乙方应帮助甲方申请项目成果的专利和著作权，且保证本项目的技术、服务或其任何一部分不会产生因第三方提出侵犯其专利权、商标权或其他知识产权而引起的法律和经济纠纷，否则乙方应承担由此而产生的一切法律责任。</w:t>
      </w:r>
    </w:p>
    <w:p>
      <w:pPr>
        <w:pStyle w:val="null3"/>
        <w:jc w:val="left"/>
      </w:pPr>
      <w:r>
        <w:rPr>
          <w:sz w:val="21"/>
          <w:color w:val="000000"/>
        </w:rPr>
        <w:t>3、甲方的新媒体运营策略、市场分析报告、客户资料、用户数据、营销方案等商业信息以及在合作过程中产生的任何涉及商业秘密的文件、资料、数据、设计等内容乙方均有保密义务。</w:t>
      </w:r>
    </w:p>
    <w:p>
      <w:pPr>
        <w:pStyle w:val="null3"/>
        <w:jc w:val="both"/>
      </w:pPr>
      <w:r>
        <w:rPr>
          <w:sz w:val="21"/>
          <w:color w:val="000000"/>
        </w:rPr>
        <w:t>4、</w:t>
      </w:r>
      <w:r>
        <w:rPr>
          <w:sz w:val="21"/>
          <w:shd w:fill="FFFFFF" w:val="clear"/>
        </w:rPr>
        <w:t>主要考核指标</w:t>
      </w:r>
    </w:p>
    <w:p>
      <w:pPr>
        <w:pStyle w:val="null3"/>
        <w:jc w:val="both"/>
      </w:pPr>
      <w:r>
        <w:rPr>
          <w:sz w:val="21"/>
          <w:shd w:fill="FFFFFF" w:val="clear"/>
        </w:rPr>
        <w:t>当前</w:t>
      </w:r>
      <w:r>
        <w:rPr>
          <w:sz w:val="21"/>
          <w:shd w:fill="FFFFFF" w:val="clear"/>
        </w:rPr>
        <w:t>21个</w:t>
      </w:r>
      <w:r>
        <w:rPr>
          <w:sz w:val="21"/>
          <w:shd w:fill="FFFFFF" w:val="clear"/>
        </w:rPr>
        <w:t>运营科室所有</w:t>
      </w:r>
      <w:r>
        <w:rPr>
          <w:sz w:val="21"/>
          <w:shd w:fill="FFFFFF" w:val="clear"/>
        </w:rPr>
        <w:t>IP全平台</w:t>
      </w:r>
      <w:r>
        <w:rPr>
          <w:sz w:val="21"/>
          <w:shd w:fill="FFFFFF" w:val="clear"/>
        </w:rPr>
        <w:t>全年</w:t>
      </w:r>
      <w:r>
        <w:rPr>
          <w:sz w:val="21"/>
          <w:shd w:fill="FFFFFF" w:val="clear"/>
        </w:rPr>
        <w:t>累计播放量不少于</w:t>
      </w:r>
      <w:r>
        <w:rPr>
          <w:sz w:val="21"/>
          <w:shd w:fill="FFFFFF" w:val="clear"/>
        </w:rPr>
        <w:t>5.228亿（包括但不限于“抖音、视频号”等相关平台），合作科室全年门诊转化量合计不少于22150人次。</w:t>
      </w:r>
    </w:p>
    <w:p>
      <w:pPr>
        <w:pStyle w:val="null3"/>
        <w:jc w:val="both"/>
      </w:pPr>
      <w:r>
        <w:rPr>
          <w:sz w:val="21"/>
          <w:shd w:fill="FFFFFF" w:val="clear"/>
        </w:rPr>
        <w:t>新增的每个合作科室所有医生</w:t>
      </w:r>
      <w:r>
        <w:rPr>
          <w:sz w:val="21"/>
          <w:shd w:fill="FFFFFF" w:val="clear"/>
        </w:rPr>
        <w:t>IP账号的全平台全年累计播放量不少于600万</w:t>
      </w:r>
      <w:r>
        <w:rPr>
          <w:sz w:val="21"/>
          <w:shd w:fill="FFFFFF" w:val="clear"/>
        </w:rPr>
        <w:t>（包括但不限于</w:t>
      </w:r>
      <w:r>
        <w:rPr>
          <w:sz w:val="21"/>
          <w:shd w:fill="FFFFFF" w:val="clear"/>
        </w:rPr>
        <w:t>“抖音、视频号”等相关平台）</w:t>
      </w:r>
      <w:r>
        <w:rPr>
          <w:sz w:val="21"/>
          <w:shd w:fill="FFFFFF" w:val="clear"/>
        </w:rPr>
        <w:t>,每个合作科室</w:t>
      </w:r>
      <w:r>
        <w:rPr>
          <w:sz w:val="21"/>
          <w:shd w:fill="FFFFFF" w:val="clear"/>
        </w:rPr>
        <w:t>全年门诊转化量合计不少于</w:t>
      </w:r>
      <w:r>
        <w:rPr>
          <w:sz w:val="21"/>
          <w:shd w:fill="FFFFFF" w:val="clear"/>
        </w:rPr>
        <w:t>500</w:t>
      </w:r>
      <w:r>
        <w:rPr>
          <w:sz w:val="21"/>
          <w:shd w:fill="FFFFFF" w:val="clear"/>
        </w:rPr>
        <w:t>人次</w:t>
      </w:r>
      <w:r>
        <w:rPr>
          <w:sz w:val="21"/>
          <w:shd w:fill="FFFFFF" w:val="clear"/>
        </w:rPr>
        <w:t>。</w:t>
      </w:r>
    </w:p>
    <w:p>
      <w:pPr>
        <w:pStyle w:val="null3"/>
        <w:jc w:val="both"/>
      </w:pPr>
      <w:r>
        <w:rPr>
          <w:sz w:val="21"/>
          <w:shd w:fill="FFFFFF" w:val="clear"/>
        </w:rPr>
        <w:t>（</w:t>
      </w:r>
      <w:r>
        <w:rPr>
          <w:sz w:val="21"/>
          <w:shd w:fill="FFFFFF" w:val="clear"/>
        </w:rPr>
        <w:t>1）整体指标：合作科室医生IP账号运营每季度工作目标及1年后应达到的效果如下</w:t>
      </w:r>
      <w:r>
        <w:rPr>
          <w:sz w:val="21"/>
          <w:shd w:fill="FFFFFF" w:val="clear"/>
        </w:rPr>
        <w:t>（</w:t>
      </w:r>
      <w:r>
        <w:rPr>
          <w:sz w:val="21"/>
          <w:shd w:fill="FFFFFF" w:val="clear"/>
        </w:rPr>
        <w:t>包含新增合作科室医生</w:t>
      </w:r>
      <w:r>
        <w:rPr>
          <w:sz w:val="21"/>
          <w:shd w:fill="FFFFFF" w:val="clear"/>
        </w:rPr>
        <w:t>IP账号</w:t>
      </w:r>
      <w:r>
        <w:rPr>
          <w:sz w:val="21"/>
        </w:rPr>
        <w:t>）</w:t>
      </w:r>
      <w:r>
        <w:rPr>
          <w:sz w:val="21"/>
          <w:shd w:fill="FFFFFF" w:val="clear"/>
        </w:rPr>
        <w:t>：</w:t>
      </w:r>
    </w:p>
    <w:tbl>
      <w:tblPr>
        <w:tblW w:w="0" w:type="auto"/>
        <w:tblBorders>
          <w:top w:val="none" w:color="000000" w:sz="4"/>
          <w:left w:val="none" w:color="000000" w:sz="4"/>
          <w:bottom w:val="none" w:color="000000" w:sz="4"/>
          <w:right w:val="none" w:color="000000" w:sz="4"/>
          <w:insideH w:val="none"/>
          <w:insideV w:val="none"/>
        </w:tblBorders>
      </w:tblPr>
      <w:tblGrid>
        <w:gridCol w:w="1080"/>
        <w:gridCol w:w="1170"/>
        <w:gridCol w:w="1065"/>
        <w:gridCol w:w="1125"/>
        <w:gridCol w:w="1125"/>
        <w:gridCol w:w="1215"/>
        <w:gridCol w:w="1275"/>
      </w:tblGrid>
      <w:tr>
        <w:tc>
          <w:tcPr>
            <w:tcW w:type="dxa" w:w="2250"/>
            <w:gridSpan w:val="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指标</w:t>
            </w:r>
          </w:p>
        </w:tc>
        <w:tc>
          <w:tcPr>
            <w:tcW w:type="dxa" w:w="106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1季度</w:t>
            </w:r>
          </w:p>
        </w:tc>
        <w:tc>
          <w:tcPr>
            <w:tcW w:type="dxa" w:w="112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2季度</w:t>
            </w:r>
          </w:p>
        </w:tc>
        <w:tc>
          <w:tcPr>
            <w:tcW w:type="dxa" w:w="112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3季度</w:t>
            </w:r>
          </w:p>
        </w:tc>
        <w:tc>
          <w:tcPr>
            <w:tcW w:type="dxa" w:w="121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4季度</w:t>
            </w:r>
          </w:p>
        </w:tc>
        <w:tc>
          <w:tcPr>
            <w:tcW w:type="dxa" w:w="12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全年汇总</w:t>
            </w:r>
          </w:p>
        </w:tc>
      </w:tr>
      <w:tr>
        <w:tc>
          <w:tcPr>
            <w:tcW w:type="dxa" w:w="108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视频发布（条）</w:t>
            </w:r>
          </w:p>
        </w:tc>
        <w:tc>
          <w:tcPr>
            <w:tcW w:type="dxa" w:w="11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每个主</w:t>
            </w:r>
            <w:r>
              <w:rPr>
                <w:sz w:val="21"/>
                <w:shd w:fill="FFFFFF" w:val="clear"/>
              </w:rPr>
              <w:t>IP</w:t>
            </w:r>
          </w:p>
        </w:tc>
        <w:tc>
          <w:tcPr>
            <w:tcW w:type="dxa" w:w="10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60</w:t>
            </w:r>
          </w:p>
        </w:tc>
        <w:tc>
          <w:tcPr>
            <w:tcW w:type="dxa" w:w="112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60</w:t>
            </w:r>
          </w:p>
        </w:tc>
        <w:tc>
          <w:tcPr>
            <w:tcW w:type="dxa" w:w="112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60</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60</w:t>
            </w:r>
          </w:p>
        </w:tc>
        <w:tc>
          <w:tcPr>
            <w:tcW w:type="dxa" w:w="12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240</w:t>
            </w:r>
          </w:p>
        </w:tc>
      </w:tr>
      <w:tr>
        <w:tc>
          <w:tcPr>
            <w:tcW w:type="dxa" w:w="1080"/>
            <w:vMerge/>
            <w:tcBorders>
              <w:top w:val="none" w:color="000000" w:sz="4"/>
              <w:left w:val="single" w:color="000000" w:sz="4"/>
              <w:bottom w:val="single" w:color="000000" w:sz="4"/>
              <w:right w:val="single" w:color="000000" w:sz="4"/>
            </w:tcBorders>
          </w:tcPr>
          <w:p/>
        </w:tc>
        <w:tc>
          <w:tcPr>
            <w:tcW w:type="dxa" w:w="11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每个辅助</w:t>
            </w:r>
            <w:r>
              <w:rPr>
                <w:sz w:val="21"/>
                <w:shd w:fill="FFFFFF" w:val="clear"/>
              </w:rPr>
              <w:t>IP</w:t>
            </w:r>
          </w:p>
        </w:tc>
        <w:tc>
          <w:tcPr>
            <w:tcW w:type="dxa" w:w="10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45</w:t>
            </w:r>
          </w:p>
        </w:tc>
        <w:tc>
          <w:tcPr>
            <w:tcW w:type="dxa" w:w="112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45</w:t>
            </w:r>
          </w:p>
        </w:tc>
        <w:tc>
          <w:tcPr>
            <w:tcW w:type="dxa" w:w="112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45</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45</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180</w:t>
            </w:r>
          </w:p>
        </w:tc>
      </w:tr>
      <w:tr>
        <w:tc>
          <w:tcPr>
            <w:tcW w:type="dxa" w:w="108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累计粉丝增量（万）</w:t>
            </w:r>
          </w:p>
        </w:tc>
        <w:tc>
          <w:tcPr>
            <w:tcW w:type="dxa" w:w="11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每个主</w:t>
            </w:r>
            <w:r>
              <w:rPr>
                <w:sz w:val="21"/>
                <w:shd w:fill="FFFFFF" w:val="clear"/>
              </w:rPr>
              <w:t>IP</w:t>
            </w:r>
          </w:p>
        </w:tc>
        <w:tc>
          <w:tcPr>
            <w:tcW w:type="dxa" w:w="10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1</w:t>
            </w:r>
          </w:p>
        </w:tc>
        <w:tc>
          <w:tcPr>
            <w:tcW w:type="dxa" w:w="112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2</w:t>
            </w:r>
          </w:p>
        </w:tc>
        <w:tc>
          <w:tcPr>
            <w:tcW w:type="dxa" w:w="112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3</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4</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10</w:t>
            </w:r>
          </w:p>
        </w:tc>
      </w:tr>
      <w:tr>
        <w:tc>
          <w:tcPr>
            <w:tcW w:type="dxa" w:w="1080"/>
            <w:vMerge/>
            <w:tcBorders>
              <w:top w:val="none" w:color="000000" w:sz="4"/>
              <w:left w:val="single" w:color="000000" w:sz="4"/>
              <w:bottom w:val="single" w:color="000000" w:sz="4"/>
              <w:right w:val="single" w:color="000000" w:sz="4"/>
            </w:tcBorders>
          </w:tcPr>
          <w:p/>
        </w:tc>
        <w:tc>
          <w:tcPr>
            <w:tcW w:type="dxa" w:w="117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每个辅助</w:t>
            </w:r>
            <w:r>
              <w:rPr>
                <w:sz w:val="21"/>
                <w:shd w:fill="FFFFFF" w:val="clear"/>
              </w:rPr>
              <w:t>IP</w:t>
            </w:r>
          </w:p>
        </w:tc>
        <w:tc>
          <w:tcPr>
            <w:tcW w:type="dxa" w:w="10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0.5</w:t>
            </w:r>
          </w:p>
        </w:tc>
        <w:tc>
          <w:tcPr>
            <w:tcW w:type="dxa" w:w="112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1.5</w:t>
            </w:r>
          </w:p>
        </w:tc>
        <w:tc>
          <w:tcPr>
            <w:tcW w:type="dxa" w:w="112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1.5</w:t>
            </w:r>
          </w:p>
        </w:tc>
        <w:tc>
          <w:tcPr>
            <w:tcW w:type="dxa" w:w="12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2.5</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shd w:fill="FFFFFF" w:val="clear"/>
              </w:rPr>
              <w:t>6</w:t>
            </w:r>
          </w:p>
        </w:tc>
      </w:tr>
    </w:tbl>
    <w:p>
      <w:pPr>
        <w:pStyle w:val="null3"/>
        <w:jc w:val="both"/>
      </w:pPr>
      <w:r>
        <w:rPr>
          <w:sz w:val="21"/>
          <w:shd w:fill="FFFFFF" w:val="clear"/>
        </w:rPr>
        <w:t>（</w:t>
      </w:r>
      <w:r>
        <w:rPr>
          <w:sz w:val="21"/>
          <w:shd w:fill="FFFFFF" w:val="clear"/>
        </w:rPr>
        <w:t>2）合作科室医生IP账号运营每季度全平台累计播放量指标如下，单位：万:</w:t>
      </w:r>
    </w:p>
    <w:tbl>
      <w:tblPr>
        <w:tblW w:w="0" w:type="auto"/>
        <w:tblBorders>
          <w:top w:val="none" w:color="000000" w:sz="4"/>
          <w:left w:val="none" w:color="000000" w:sz="4"/>
          <w:bottom w:val="none" w:color="000000" w:sz="4"/>
          <w:right w:val="none" w:color="000000" w:sz="4"/>
          <w:insideH w:val="none"/>
          <w:insideV w:val="none"/>
        </w:tblBorders>
      </w:tblPr>
      <w:tblGrid>
        <w:gridCol w:w="2715"/>
        <w:gridCol w:w="990"/>
        <w:gridCol w:w="975"/>
        <w:gridCol w:w="1080"/>
        <w:gridCol w:w="1095"/>
        <w:gridCol w:w="1275"/>
      </w:tblGrid>
      <w:tr>
        <w:tc>
          <w:tcPr>
            <w:tcW w:type="dxa" w:w="271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科室</w:t>
            </w:r>
          </w:p>
        </w:tc>
        <w:tc>
          <w:tcPr>
            <w:tcW w:type="dxa" w:w="99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第</w:t>
            </w:r>
            <w:r>
              <w:rPr>
                <w:sz w:val="21"/>
                <w:shd w:fill="FFFFFF" w:val="clear"/>
              </w:rPr>
              <w:t>1季度</w:t>
            </w:r>
          </w:p>
        </w:tc>
        <w:tc>
          <w:tcPr>
            <w:tcW w:type="dxa" w:w="9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第</w:t>
            </w:r>
            <w:r>
              <w:rPr>
                <w:sz w:val="21"/>
                <w:shd w:fill="FFFFFF" w:val="clear"/>
              </w:rPr>
              <w:t>2季度</w:t>
            </w:r>
          </w:p>
        </w:tc>
        <w:tc>
          <w:tcPr>
            <w:tcW w:type="dxa" w:w="108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第</w:t>
            </w:r>
            <w:r>
              <w:rPr>
                <w:sz w:val="21"/>
                <w:shd w:fill="FFFFFF" w:val="clear"/>
              </w:rPr>
              <w:t>3季度</w:t>
            </w:r>
          </w:p>
        </w:tc>
        <w:tc>
          <w:tcPr>
            <w:tcW w:type="dxa" w:w="109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第</w:t>
            </w:r>
            <w:r>
              <w:rPr>
                <w:sz w:val="21"/>
                <w:shd w:fill="FFFFFF" w:val="clear"/>
              </w:rPr>
              <w:t>4季度</w:t>
            </w:r>
          </w:p>
        </w:tc>
        <w:tc>
          <w:tcPr>
            <w:tcW w:type="dxa" w:w="12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汇总</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显微修复骨科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2200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9700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超声科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800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1200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4500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介入血管科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800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2100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疼痛科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神经医学中心</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1200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1800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6500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脊柱骨科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关节骨一科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1800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7800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肿瘤科二病区</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800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800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3200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泌尿外科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生殖医学中心</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350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450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创伤骨科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800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2200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血液科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关节骨二科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800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2900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小儿外科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淋巴外科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800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1200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3500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妇科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900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风湿免疫科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120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730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阿尔茨海默症中心</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120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730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产科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多汗症微创治疗中心</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眼科</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120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500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1120</w:t>
            </w:r>
          </w:p>
        </w:tc>
      </w:tr>
      <w:tr>
        <w:tc>
          <w:tcPr>
            <w:tcW w:type="dxa" w:w="271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播放量合计</w:t>
            </w:r>
          </w:p>
        </w:tc>
        <w:tc>
          <w:tcPr>
            <w:tcW w:type="dxa" w:w="9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9140</w:t>
            </w:r>
          </w:p>
        </w:tc>
        <w:tc>
          <w:tcPr>
            <w:tcW w:type="dxa" w:w="9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11640</w:t>
            </w:r>
          </w:p>
        </w:tc>
        <w:tc>
          <w:tcPr>
            <w:tcW w:type="dxa" w:w="10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14150</w:t>
            </w:r>
          </w:p>
        </w:tc>
        <w:tc>
          <w:tcPr>
            <w:tcW w:type="dxa" w:w="10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17350</w:t>
            </w:r>
          </w:p>
        </w:tc>
        <w:tc>
          <w:tcPr>
            <w:tcW w:type="dxa" w:w="1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52280</w:t>
            </w:r>
          </w:p>
        </w:tc>
      </w:tr>
    </w:tbl>
    <w:p>
      <w:pPr>
        <w:pStyle w:val="null3"/>
        <w:jc w:val="both"/>
      </w:pPr>
      <w:r>
        <w:rPr>
          <w:sz w:val="21"/>
          <w:shd w:fill="FFFFFF" w:val="clear"/>
        </w:rPr>
        <w:t>新增合作运营科室，每个科室的</w:t>
      </w:r>
      <w:r>
        <w:rPr>
          <w:sz w:val="21"/>
          <w:shd w:fill="FFFFFF" w:val="clear"/>
        </w:rPr>
        <w:t>运营每季度全平台累计播放量指标</w:t>
      </w:r>
      <w:r>
        <w:rPr>
          <w:sz w:val="21"/>
          <w:shd w:fill="FFFFFF" w:val="clear"/>
        </w:rPr>
        <w:t>要求</w:t>
      </w:r>
      <w:r>
        <w:rPr>
          <w:sz w:val="21"/>
          <w:shd w:fill="FFFFFF" w:val="clear"/>
        </w:rPr>
        <w:t>如下，单位：万</w:t>
      </w:r>
      <w:r>
        <w:rPr>
          <w:sz w:val="21"/>
        </w:rPr>
        <w:t>：</w:t>
      </w:r>
    </w:p>
    <w:tbl>
      <w:tblPr>
        <w:tblW w:w="0" w:type="auto"/>
        <w:tblBorders>
          <w:top w:val="none" w:color="000000" w:sz="4"/>
          <w:left w:val="none" w:color="000000" w:sz="4"/>
          <w:bottom w:val="none" w:color="000000" w:sz="4"/>
          <w:right w:val="none" w:color="000000" w:sz="4"/>
          <w:insideH w:val="none"/>
          <w:insideV w:val="none"/>
        </w:tblBorders>
      </w:tblPr>
      <w:tblGrid>
        <w:gridCol w:w="2113"/>
        <w:gridCol w:w="1064"/>
        <w:gridCol w:w="1184"/>
        <w:gridCol w:w="1304"/>
        <w:gridCol w:w="1184"/>
        <w:gridCol w:w="1424"/>
      </w:tblGrid>
      <w:tr>
        <w:tc>
          <w:tcPr>
            <w:tcW w:type="dxa" w:w="2113"/>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科室</w:t>
            </w:r>
          </w:p>
        </w:tc>
        <w:tc>
          <w:tcPr>
            <w:tcW w:type="dxa" w:w="1064"/>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1季度</w:t>
            </w:r>
          </w:p>
        </w:tc>
        <w:tc>
          <w:tcPr>
            <w:tcW w:type="dxa" w:w="1184"/>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2季度</w:t>
            </w:r>
          </w:p>
        </w:tc>
        <w:tc>
          <w:tcPr>
            <w:tcW w:type="dxa" w:w="1304"/>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3季度</w:t>
            </w:r>
          </w:p>
        </w:tc>
        <w:tc>
          <w:tcPr>
            <w:tcW w:type="dxa" w:w="1184"/>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4季度</w:t>
            </w:r>
          </w:p>
        </w:tc>
        <w:tc>
          <w:tcPr>
            <w:tcW w:type="dxa" w:w="1424"/>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汇总</w:t>
            </w:r>
          </w:p>
        </w:tc>
      </w:tr>
      <w:tr>
        <w:tc>
          <w:tcPr>
            <w:tcW w:type="dxa" w:w="2113"/>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根据医院运营需要动态调整</w:t>
            </w:r>
          </w:p>
        </w:tc>
        <w:tc>
          <w:tcPr>
            <w:tcW w:type="dxa" w:w="106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100</w:t>
            </w:r>
          </w:p>
        </w:tc>
        <w:tc>
          <w:tcPr>
            <w:tcW w:type="dxa" w:w="11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150</w:t>
            </w:r>
          </w:p>
        </w:tc>
        <w:tc>
          <w:tcPr>
            <w:tcW w:type="dxa" w:w="130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150</w:t>
            </w:r>
          </w:p>
        </w:tc>
        <w:tc>
          <w:tcPr>
            <w:tcW w:type="dxa" w:w="118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200</w:t>
            </w:r>
          </w:p>
        </w:tc>
        <w:tc>
          <w:tcPr>
            <w:tcW w:type="dxa" w:w="142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600</w:t>
            </w:r>
          </w:p>
        </w:tc>
      </w:tr>
    </w:tbl>
    <w:p>
      <w:pPr>
        <w:pStyle w:val="null3"/>
        <w:jc w:val="both"/>
      </w:pPr>
      <w:r>
        <w:rPr>
          <w:sz w:val="21"/>
          <w:shd w:fill="FFFFFF" w:val="clear"/>
        </w:rPr>
        <w:t>（</w:t>
      </w:r>
      <w:r>
        <w:rPr>
          <w:sz w:val="21"/>
          <w:shd w:fill="FFFFFF" w:val="clear"/>
        </w:rPr>
        <w:t>3）合作科室医生IP账号运营每季度到诊量指标如下，单位:人次</w:t>
      </w:r>
    </w:p>
    <w:tbl>
      <w:tblPr>
        <w:tblW w:w="0" w:type="auto"/>
        <w:tblBorders>
          <w:top w:val="none" w:color="000000" w:sz="4"/>
          <w:left w:val="none" w:color="000000" w:sz="4"/>
          <w:bottom w:val="none" w:color="000000" w:sz="4"/>
          <w:right w:val="none" w:color="000000" w:sz="4"/>
          <w:insideH w:val="none"/>
          <w:insideV w:val="none"/>
        </w:tblBorders>
      </w:tblPr>
      <w:tblGrid>
        <w:gridCol w:w="2634"/>
        <w:gridCol w:w="1056"/>
        <w:gridCol w:w="1129"/>
        <w:gridCol w:w="1201"/>
        <w:gridCol w:w="1187"/>
        <w:gridCol w:w="1100"/>
      </w:tblGrid>
      <w:tr>
        <w:tc>
          <w:tcPr>
            <w:tcW w:type="dxa" w:w="26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科室</w:t>
            </w:r>
          </w:p>
        </w:tc>
        <w:tc>
          <w:tcPr>
            <w:tcW w:type="dxa" w:w="105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第</w:t>
            </w:r>
            <w:r>
              <w:rPr>
                <w:sz w:val="21"/>
                <w:shd w:fill="FFFFFF" w:val="clear"/>
              </w:rPr>
              <w:t>1季度</w:t>
            </w:r>
          </w:p>
        </w:tc>
        <w:tc>
          <w:tcPr>
            <w:tcW w:type="dxa" w:w="112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第</w:t>
            </w:r>
            <w:r>
              <w:rPr>
                <w:sz w:val="21"/>
                <w:shd w:fill="FFFFFF" w:val="clear"/>
              </w:rPr>
              <w:t>2季度</w:t>
            </w:r>
          </w:p>
        </w:tc>
        <w:tc>
          <w:tcPr>
            <w:tcW w:type="dxa" w:w="120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第</w:t>
            </w:r>
            <w:r>
              <w:rPr>
                <w:sz w:val="21"/>
                <w:shd w:fill="FFFFFF" w:val="clear"/>
              </w:rPr>
              <w:t>3季度</w:t>
            </w:r>
          </w:p>
        </w:tc>
        <w:tc>
          <w:tcPr>
            <w:tcW w:type="dxa" w:w="118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第</w:t>
            </w:r>
            <w:r>
              <w:rPr>
                <w:sz w:val="21"/>
                <w:shd w:fill="FFFFFF" w:val="clear"/>
              </w:rPr>
              <w:t>4季度</w:t>
            </w:r>
          </w:p>
        </w:tc>
        <w:tc>
          <w:tcPr>
            <w:tcW w:type="dxa" w:w="110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汇总</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显微修复骨科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800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2900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超声科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1400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介入血管科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疼痛科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120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480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神经医学中心</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脊柱骨科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关节骨一科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800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1200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1400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4400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肿瘤科二病区</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510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泌尿外科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560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生殖医学中心</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900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创伤骨科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750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血液科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关节骨二科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900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小儿外科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250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淋巴外科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1400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妇科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960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风湿免疫科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960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阿尔茨海默症中心</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510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产科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510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多汗症微创治疗中心</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860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眼科</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100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150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650</w:t>
            </w:r>
          </w:p>
        </w:tc>
      </w:tr>
      <w:tr>
        <w:tc>
          <w:tcPr>
            <w:tcW w:type="dxa" w:w="26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到诊量合计</w:t>
            </w:r>
          </w:p>
        </w:tc>
        <w:tc>
          <w:tcPr>
            <w:tcW w:type="dxa" w:w="10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3230</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4850</w:t>
            </w:r>
          </w:p>
        </w:tc>
        <w:tc>
          <w:tcPr>
            <w:tcW w:type="dxa" w:w="12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6270</w:t>
            </w:r>
          </w:p>
        </w:tc>
        <w:tc>
          <w:tcPr>
            <w:tcW w:type="dxa" w:w="11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7800</w:t>
            </w:r>
          </w:p>
        </w:tc>
        <w:tc>
          <w:tcPr>
            <w:tcW w:type="dxa" w:w="11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shd w:fill="FFFFFF" w:val="clear"/>
              </w:rPr>
              <w:t>22150</w:t>
            </w:r>
          </w:p>
        </w:tc>
      </w:tr>
    </w:tbl>
    <w:p>
      <w:pPr>
        <w:pStyle w:val="null3"/>
        <w:jc w:val="both"/>
      </w:pPr>
      <w:r>
        <w:rPr>
          <w:sz w:val="21"/>
          <w:shd w:fill="FFFFFF" w:val="clear"/>
        </w:rPr>
        <w:t>新增运营科室，每个科室</w:t>
      </w:r>
      <w:r>
        <w:rPr>
          <w:sz w:val="21"/>
          <w:shd w:fill="FFFFFF" w:val="clear"/>
        </w:rPr>
        <w:t>运营每季度到诊量指标</w:t>
      </w:r>
      <w:r>
        <w:rPr>
          <w:sz w:val="21"/>
          <w:shd w:fill="FFFFFF" w:val="clear"/>
        </w:rPr>
        <w:t>最低要求如下，单位：人次：</w:t>
      </w:r>
    </w:p>
    <w:tbl>
      <w:tblPr>
        <w:tblW w:w="0" w:type="auto"/>
        <w:tblBorders>
          <w:top w:val="none" w:color="000000" w:sz="4"/>
          <w:left w:val="none" w:color="000000" w:sz="4"/>
          <w:bottom w:val="none" w:color="000000" w:sz="4"/>
          <w:right w:val="none" w:color="000000" w:sz="4"/>
          <w:insideH w:val="none"/>
          <w:insideV w:val="none"/>
        </w:tblBorders>
      </w:tblPr>
      <w:tblGrid>
        <w:gridCol w:w="2105"/>
        <w:gridCol w:w="1067"/>
        <w:gridCol w:w="1196"/>
        <w:gridCol w:w="1095"/>
        <w:gridCol w:w="1456"/>
        <w:gridCol w:w="1341"/>
      </w:tblGrid>
      <w:tr>
        <w:tc>
          <w:tcPr>
            <w:tcW w:type="dxa" w:w="2105"/>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科室</w:t>
            </w:r>
          </w:p>
        </w:tc>
        <w:tc>
          <w:tcPr>
            <w:tcW w:type="dxa" w:w="1067"/>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1季度</w:t>
            </w:r>
          </w:p>
        </w:tc>
        <w:tc>
          <w:tcPr>
            <w:tcW w:type="dxa" w:w="1196"/>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2季度</w:t>
            </w:r>
          </w:p>
        </w:tc>
        <w:tc>
          <w:tcPr>
            <w:tcW w:type="dxa" w:w="1095"/>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3季度</w:t>
            </w:r>
          </w:p>
        </w:tc>
        <w:tc>
          <w:tcPr>
            <w:tcW w:type="dxa" w:w="1456"/>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第</w:t>
            </w:r>
            <w:r>
              <w:rPr>
                <w:sz w:val="21"/>
                <w:shd w:fill="FFFFFF" w:val="clear"/>
              </w:rPr>
              <w:t>4季度</w:t>
            </w:r>
          </w:p>
        </w:tc>
        <w:tc>
          <w:tcPr>
            <w:tcW w:type="dxa" w:w="1341"/>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汇总</w:t>
            </w:r>
          </w:p>
        </w:tc>
      </w:tr>
      <w:tr>
        <w:tc>
          <w:tcPr>
            <w:tcW w:type="dxa" w:w="210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根据医院运营需要动态调整</w:t>
            </w:r>
          </w:p>
        </w:tc>
        <w:tc>
          <w:tcPr>
            <w:tcW w:type="dxa" w:w="106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50</w:t>
            </w:r>
          </w:p>
        </w:tc>
        <w:tc>
          <w:tcPr>
            <w:tcW w:type="dxa" w:w="1196"/>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100</w:t>
            </w:r>
          </w:p>
        </w:tc>
        <w:tc>
          <w:tcPr>
            <w:tcW w:type="dxa" w:w="109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150</w:t>
            </w:r>
          </w:p>
        </w:tc>
        <w:tc>
          <w:tcPr>
            <w:tcW w:type="dxa" w:w="1456"/>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200</w:t>
            </w:r>
          </w:p>
        </w:tc>
        <w:tc>
          <w:tcPr>
            <w:tcW w:type="dxa" w:w="1341"/>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shd w:fill="FFFFFF" w:val="clear"/>
              </w:rPr>
              <w:t>500</w:t>
            </w:r>
          </w:p>
        </w:tc>
      </w:tr>
    </w:tbl>
    <w:p>
      <w:pPr>
        <w:pStyle w:val="null3"/>
        <w:jc w:val="left"/>
      </w:pPr>
      <w:r>
        <w:rPr>
          <w:sz w:val="21"/>
          <w:color w:val="000000"/>
        </w:rPr>
        <w:t>（五）服务团队要求：</w:t>
      </w:r>
    </w:p>
    <w:p>
      <w:pPr>
        <w:pStyle w:val="null3"/>
        <w:jc w:val="left"/>
      </w:pPr>
      <w:r>
        <w:rPr>
          <w:sz w:val="21"/>
          <w:color w:val="000000"/>
        </w:rPr>
        <w:t>1、乙方需组建专业的服务团队，团队人员至少满足以下条件：</w:t>
      </w:r>
    </w:p>
    <w:p>
      <w:pPr>
        <w:pStyle w:val="null3"/>
        <w:jc w:val="left"/>
      </w:pPr>
      <w:r>
        <w:rPr>
          <w:sz w:val="21"/>
          <w:color w:val="000000"/>
        </w:rPr>
        <w:t>（</w:t>
      </w:r>
      <w:r>
        <w:rPr>
          <w:sz w:val="21"/>
          <w:color w:val="000000"/>
        </w:rPr>
        <w:t>1）项目负责人需具备3年及以上同类项目经验；</w:t>
      </w:r>
    </w:p>
    <w:p>
      <w:pPr>
        <w:pStyle w:val="null3"/>
        <w:jc w:val="left"/>
      </w:pPr>
      <w:r>
        <w:rPr>
          <w:sz w:val="21"/>
          <w:color w:val="000000"/>
        </w:rPr>
        <w:t>（</w:t>
      </w:r>
      <w:r>
        <w:rPr>
          <w:sz w:val="21"/>
          <w:color w:val="000000"/>
        </w:rPr>
        <w:t>2）团队成员具有2年及以上同类项目经验。</w:t>
      </w:r>
    </w:p>
    <w:p>
      <w:pPr>
        <w:pStyle w:val="null3"/>
        <w:jc w:val="left"/>
      </w:pPr>
      <w:r>
        <w:rPr>
          <w:sz w:val="21"/>
          <w:color w:val="000000"/>
        </w:rPr>
        <w:t>2、乙方项目团队应建立严格规范的项目管理制度，保证服务质量全流程持续跟踪服务情况，确保项目顺利实施。</w:t>
      </w:r>
    </w:p>
    <w:p>
      <w:pPr>
        <w:pStyle w:val="null3"/>
        <w:jc w:val="left"/>
      </w:pPr>
      <w:r>
        <w:rPr>
          <w:sz w:val="21"/>
          <w:color w:val="000000"/>
        </w:rPr>
        <w:t>3、若需调整团队人员，须经甲方、乙方双方协商确定。</w:t>
      </w:r>
    </w:p>
    <w:p>
      <w:pPr>
        <w:pStyle w:val="null3"/>
        <w:jc w:val="both"/>
      </w:pPr>
      <w:r>
        <w:rPr>
          <w:sz w:val="21"/>
          <w:color w:val="000000"/>
        </w:rPr>
        <w:t>4、</w:t>
      </w:r>
      <w:r>
        <w:rPr>
          <w:sz w:val="21"/>
          <w:shd w:fill="FFFFFF" w:val="clear"/>
        </w:rPr>
        <w:t>有拍摄任务时对应拍摄</w:t>
      </w:r>
      <w:r>
        <w:rPr>
          <w:sz w:val="21"/>
          <w:shd w:fill="FFFFFF" w:val="clear"/>
        </w:rPr>
        <w:t>科室派驻至少</w:t>
      </w:r>
      <w:r>
        <w:rPr>
          <w:sz w:val="21"/>
          <w:shd w:fill="FFFFFF" w:val="clear"/>
        </w:rPr>
        <w:t>1名专职人员对接项目进度，负责统筹对接科室拍摄计划、短视频发布及数据反馈，服务响应要求如下：</w:t>
      </w:r>
    </w:p>
    <w:p>
      <w:pPr>
        <w:pStyle w:val="null3"/>
        <w:jc w:val="both"/>
      </w:pPr>
      <w:r>
        <w:rPr>
          <w:sz w:val="21"/>
          <w:shd w:fill="FFFFFF" w:val="clear"/>
        </w:rPr>
        <w:t>①线上咨询</w:t>
      </w:r>
      <w:r>
        <w:rPr>
          <w:sz w:val="21"/>
          <w:shd w:fill="FFFFFF" w:val="clear"/>
        </w:rPr>
        <w:t>：</w:t>
      </w:r>
      <w:r>
        <w:rPr>
          <w:sz w:val="21"/>
          <w:shd w:fill="FFFFFF" w:val="clear"/>
        </w:rPr>
        <w:t>7×24小时响应，30分钟内回复；</w:t>
      </w:r>
    </w:p>
    <w:p>
      <w:pPr>
        <w:pStyle w:val="null3"/>
        <w:jc w:val="both"/>
      </w:pPr>
      <w:r>
        <w:rPr>
          <w:sz w:val="21"/>
          <w:shd w:fill="FFFFFF" w:val="clear"/>
        </w:rPr>
        <w:t>②突发舆-情</w:t>
      </w:r>
      <w:r>
        <w:rPr>
          <w:sz w:val="21"/>
          <w:shd w:fill="FFFFFF" w:val="clear"/>
        </w:rPr>
        <w:t>：</w:t>
      </w:r>
      <w:r>
        <w:rPr>
          <w:sz w:val="21"/>
          <w:shd w:fill="FFFFFF" w:val="clear"/>
        </w:rPr>
        <w:t>2小时内到场处置；</w:t>
      </w:r>
    </w:p>
    <w:p>
      <w:pPr>
        <w:pStyle w:val="null3"/>
        <w:jc w:val="both"/>
      </w:pPr>
      <w:r>
        <w:rPr>
          <w:sz w:val="21"/>
          <w:shd w:fill="FFFFFF" w:val="clear"/>
        </w:rPr>
        <w:t>③ 拍摄紧急需求</w:t>
      </w:r>
      <w:r>
        <w:rPr>
          <w:sz w:val="21"/>
          <w:shd w:fill="FFFFFF" w:val="clear"/>
        </w:rPr>
        <w:t>：</w:t>
      </w:r>
      <w:r>
        <w:rPr>
          <w:sz w:val="21"/>
          <w:shd w:fill="FFFFFF" w:val="clear"/>
        </w:rPr>
        <w:t>2小时内到场。</w:t>
      </w:r>
    </w:p>
    <w:p>
      <w:pPr>
        <w:pStyle w:val="null3"/>
        <w:jc w:val="left"/>
      </w:pPr>
      <w:r>
        <w:rPr>
          <w:sz w:val="21"/>
          <w:color w:val="000000"/>
        </w:rPr>
        <w:t>5、参加本项目的所有人员应满足如下基本条件：</w:t>
      </w:r>
    </w:p>
    <w:p>
      <w:pPr>
        <w:pStyle w:val="null3"/>
        <w:jc w:val="left"/>
      </w:pPr>
      <w:r>
        <w:rPr>
          <w:sz w:val="21"/>
          <w:color w:val="000000"/>
        </w:rPr>
        <w:t>（</w:t>
      </w:r>
      <w:r>
        <w:rPr>
          <w:sz w:val="21"/>
          <w:color w:val="000000"/>
        </w:rPr>
        <w:t>1）具有中华人民共和国国籍，拥护中华人民共和国宪法。</w:t>
      </w:r>
    </w:p>
    <w:p>
      <w:pPr>
        <w:pStyle w:val="null3"/>
        <w:jc w:val="left"/>
      </w:pPr>
      <w:r>
        <w:rPr>
          <w:sz w:val="21"/>
          <w:color w:val="000000"/>
        </w:rPr>
        <w:t>（</w:t>
      </w:r>
      <w:r>
        <w:rPr>
          <w:sz w:val="21"/>
          <w:color w:val="000000"/>
        </w:rPr>
        <w:t>2）遵纪守法，具有良好的品行。</w:t>
      </w:r>
    </w:p>
    <w:p>
      <w:pPr>
        <w:pStyle w:val="null3"/>
        <w:jc w:val="left"/>
      </w:pPr>
      <w:r>
        <w:rPr>
          <w:sz w:val="21"/>
          <w:color w:val="000000"/>
        </w:rPr>
        <w:t>（</w:t>
      </w:r>
      <w:r>
        <w:rPr>
          <w:sz w:val="21"/>
          <w:color w:val="000000"/>
        </w:rPr>
        <w:t>3）具有良好的政治素质。</w:t>
      </w:r>
    </w:p>
    <w:p>
      <w:pPr>
        <w:pStyle w:val="null3"/>
        <w:jc w:val="left"/>
      </w:pPr>
      <w:r>
        <w:rPr>
          <w:sz w:val="21"/>
          <w:color w:val="000000"/>
        </w:rPr>
        <w:t>（</w:t>
      </w:r>
      <w:r>
        <w:rPr>
          <w:sz w:val="21"/>
          <w:color w:val="000000"/>
        </w:rPr>
        <w:t>4）有下列情形之一者，不得参加本项目：曾因犯罪受过刑事处罚的，受处分期间或正在接受审计、纪律审查、司法侦查的。</w:t>
      </w:r>
    </w:p>
    <w:p>
      <w:pPr>
        <w:pStyle w:val="null3"/>
        <w:jc w:val="left"/>
      </w:pPr>
      <w:r>
        <w:rPr>
          <w:sz w:val="21"/>
          <w:b/>
          <w:color w:val="000000"/>
        </w:rPr>
        <w:t>三、甲方乙方的权利和义务</w:t>
      </w:r>
    </w:p>
    <w:p>
      <w:pPr>
        <w:pStyle w:val="null3"/>
        <w:jc w:val="left"/>
      </w:pPr>
      <w:r>
        <w:rPr>
          <w:sz w:val="21"/>
          <w:color w:val="000000"/>
        </w:rPr>
        <w:t>1.甲方的权利和义务</w:t>
      </w:r>
    </w:p>
    <w:p>
      <w:pPr>
        <w:pStyle w:val="null3"/>
        <w:jc w:val="left"/>
      </w:pPr>
      <w:r>
        <w:rPr>
          <w:sz w:val="21"/>
          <w:color w:val="000000"/>
        </w:rPr>
        <w:t>2.乙方的权利和义务</w:t>
      </w:r>
    </w:p>
    <w:p>
      <w:pPr>
        <w:pStyle w:val="null3"/>
        <w:jc w:val="left"/>
      </w:pPr>
      <w:r>
        <w:rPr>
          <w:sz w:val="21"/>
          <w:b/>
          <w:color w:val="000000"/>
        </w:rPr>
        <w:t>四、服务期间（项目完成期限）</w:t>
      </w:r>
    </w:p>
    <w:p>
      <w:pPr>
        <w:pStyle w:val="null3"/>
        <w:jc w:val="left"/>
      </w:pPr>
      <w:r>
        <w:rPr>
          <w:sz w:val="21"/>
          <w:color w:val="000000"/>
        </w:rPr>
        <w:t>　　自签订合同之日起一年。</w:t>
      </w:r>
    </w:p>
    <w:p>
      <w:pPr>
        <w:pStyle w:val="null3"/>
        <w:jc w:val="left"/>
      </w:pPr>
      <w:r>
        <w:rPr>
          <w:sz w:val="21"/>
          <w:b/>
          <w:color w:val="000000"/>
        </w:rPr>
        <w:t>五、付款方式</w:t>
      </w:r>
    </w:p>
    <w:p>
      <w:pPr>
        <w:pStyle w:val="null3"/>
      </w:pPr>
      <w:r>
        <w:rPr>
          <w:sz w:val="21"/>
          <w:color w:val="000000"/>
        </w:rPr>
        <w:t>1</w:t>
      </w:r>
      <w:r>
        <w:rPr>
          <w:sz w:val="21"/>
          <w:color w:val="000000"/>
        </w:rPr>
        <w:t>期：支付比例</w:t>
      </w:r>
      <w:r>
        <w:rPr>
          <w:sz w:val="21"/>
          <w:color w:val="000000"/>
        </w:rPr>
        <w:t>30%</w:t>
      </w:r>
    </w:p>
    <w:p>
      <w:pPr>
        <w:pStyle w:val="null3"/>
      </w:pPr>
      <w:r>
        <w:rPr>
          <w:sz w:val="21"/>
          <w:color w:val="000000"/>
        </w:rPr>
        <w:t>甲方于合同生效之日起</w:t>
      </w:r>
      <w:r>
        <w:rPr>
          <w:sz w:val="21"/>
          <w:color w:val="000000"/>
        </w:rPr>
        <w:t>15 个工作日内，向乙方支付合同总价的 30%。</w:t>
      </w:r>
    </w:p>
    <w:p>
      <w:pPr>
        <w:pStyle w:val="null3"/>
      </w:pPr>
      <w:r>
        <w:rPr>
          <w:sz w:val="21"/>
          <w:color w:val="000000"/>
        </w:rPr>
        <w:t>2期：支付比例20%</w:t>
      </w:r>
    </w:p>
    <w:p>
      <w:pPr>
        <w:pStyle w:val="null3"/>
      </w:pPr>
      <w:r>
        <w:rPr>
          <w:sz w:val="21"/>
          <w:color w:val="000000"/>
        </w:rPr>
        <w:t>服务期满第</w:t>
      </w:r>
      <w:r>
        <w:rPr>
          <w:sz w:val="21"/>
          <w:color w:val="000000"/>
        </w:rPr>
        <w:t>1 个季度，乙方完成本合同约定全部季度考核指标并经甲方考核合格后，甲方于 15 个工作日内支付合同总价的 20%。</w:t>
      </w:r>
    </w:p>
    <w:p>
      <w:pPr>
        <w:pStyle w:val="null3"/>
      </w:pPr>
      <w:r>
        <w:rPr>
          <w:sz w:val="21"/>
          <w:color w:val="000000"/>
        </w:rPr>
        <w:t>3期：支付比例20%</w:t>
      </w:r>
    </w:p>
    <w:p>
      <w:pPr>
        <w:pStyle w:val="null3"/>
      </w:pPr>
      <w:r>
        <w:rPr>
          <w:sz w:val="21"/>
          <w:color w:val="000000"/>
        </w:rPr>
        <w:t>服务期满第</w:t>
      </w:r>
      <w:r>
        <w:rPr>
          <w:sz w:val="21"/>
          <w:color w:val="000000"/>
        </w:rPr>
        <w:t>2 个季度，乙方完成本合同约定全部季度考核指标并经甲方考核合格后，甲方于 15 个工作日内支付合同总价的 20%。</w:t>
      </w:r>
    </w:p>
    <w:p>
      <w:pPr>
        <w:pStyle w:val="null3"/>
      </w:pPr>
      <w:r>
        <w:rPr>
          <w:sz w:val="21"/>
          <w:color w:val="000000"/>
        </w:rPr>
        <w:t>4.期：支付比例30%</w:t>
      </w:r>
    </w:p>
    <w:p>
      <w:pPr>
        <w:pStyle w:val="null3"/>
      </w:pPr>
      <w:r>
        <w:rPr>
          <w:sz w:val="21"/>
          <w:color w:val="000000"/>
        </w:rPr>
        <w:t>服务期满，乙方完成合同约定全部考核内容，经甲方整体验收合格后，甲方于</w:t>
      </w:r>
      <w:r>
        <w:rPr>
          <w:sz w:val="21"/>
          <w:color w:val="000000"/>
        </w:rPr>
        <w:t>15 个工作日内支付合同总价剩余 30%。</w:t>
      </w:r>
    </w:p>
    <w:p>
      <w:pPr>
        <w:pStyle w:val="null3"/>
      </w:pPr>
      <w:r>
        <w:rPr>
          <w:sz w:val="21"/>
          <w:color w:val="000000"/>
        </w:rPr>
        <w:t xml:space="preserve"> </w:t>
      </w:r>
      <w:r>
        <w:rPr>
          <w:sz w:val="21"/>
          <w:color w:val="000000"/>
        </w:rPr>
        <w:t>各期款项支付前，乙方须向甲方提供与当期支付金额等额、合法有效的发票；收款单位、发票开具单位、合同乙方必须与乙方名称完全一致。除第一期预付款外，其余各期款项均须以对应周期考核合格为付款前置条件，考核未达标的，甲方有权顺延支付或按合同约定予以扣减。</w:t>
      </w:r>
    </w:p>
    <w:p>
      <w:pPr>
        <w:pStyle w:val="null3"/>
        <w:jc w:val="left"/>
      </w:pPr>
      <w:r>
        <w:rPr>
          <w:sz w:val="21"/>
          <w:b/>
          <w:color w:val="000000"/>
        </w:rPr>
        <w:t>六、知识产权归属</w:t>
      </w:r>
    </w:p>
    <w:p>
      <w:pPr>
        <w:pStyle w:val="null3"/>
        <w:ind w:firstLine="420"/>
        <w:jc w:val="both"/>
      </w:pPr>
      <w:r>
        <w:rPr>
          <w:sz w:val="21"/>
          <w:color w:val="000000"/>
        </w:rPr>
        <w:t>乙方应保证本项目的投标技术、服务或其任何一部分不会产生因第三方提出侵犯其专利权、商标权或其他知识产权而引起的法律和经济纠纷；如因第三方提出其专利权、商标权或其他知识产权的侵权之诉，则一切法律责任由乙方承担。</w:t>
      </w:r>
    </w:p>
    <w:p>
      <w:pPr>
        <w:pStyle w:val="null3"/>
        <w:jc w:val="left"/>
      </w:pPr>
      <w:r>
        <w:rPr>
          <w:sz w:val="21"/>
          <w:b/>
          <w:color w:val="000000"/>
        </w:rPr>
        <w:t>七、保密</w:t>
      </w:r>
    </w:p>
    <w:p>
      <w:pPr>
        <w:pStyle w:val="null3"/>
        <w:ind w:firstLine="420"/>
        <w:jc w:val="both"/>
      </w:pPr>
      <w:r>
        <w:rPr>
          <w:sz w:val="21"/>
          <w:color w:val="000000"/>
        </w:rPr>
        <w:t>乙方必须采取措施对本项目实施过程中的技术资料保密，否则，由于乙方过错导致的上述资料泄密的，乙方必须承担一切责任。项目完成后，甲、乙双方均有责任对本项目的技术保密承担责任。</w:t>
      </w:r>
    </w:p>
    <w:p>
      <w:pPr>
        <w:pStyle w:val="null3"/>
        <w:jc w:val="both"/>
      </w:pPr>
      <w:r>
        <w:rPr>
          <w:sz w:val="21"/>
          <w:color w:val="000000"/>
        </w:rPr>
        <w:t>1）未经甲方事先书面同意，乙方不得将由甲方为本合同提供的技术资料提供给与本合同无关的任何第三方，不得将其用于履行本合同之外的其它用途。即使向与履行本合同有关的人员提供，也应注意保密并限于履行合同所必需的范围。</w:t>
      </w:r>
    </w:p>
    <w:p>
      <w:pPr>
        <w:pStyle w:val="null3"/>
        <w:jc w:val="both"/>
      </w:pPr>
      <w:r>
        <w:rPr>
          <w:sz w:val="21"/>
          <w:color w:val="000000"/>
        </w:rPr>
        <w:t>2）如果甲方有要求，乙方在完成合同后应将有关资料还给甲方。</w:t>
      </w:r>
    </w:p>
    <w:p>
      <w:pPr>
        <w:pStyle w:val="null3"/>
        <w:jc w:val="left"/>
      </w:pPr>
      <w:r>
        <w:rPr>
          <w:sz w:val="21"/>
          <w:b/>
          <w:color w:val="000000"/>
        </w:rPr>
        <w:t>八、验收</w:t>
      </w:r>
    </w:p>
    <w:p>
      <w:pPr>
        <w:pStyle w:val="null3"/>
      </w:pPr>
      <w:r>
        <w:rPr>
          <w:sz w:val="21"/>
          <w:color w:val="000000"/>
        </w:rPr>
        <w:t>1、验收时间：甲方完成全部服务内容后，甲方向乙方提出书面验收申请，乙方收到申请且对申请资料无异议的，7日内组织验收，验收应在乙方与甲方双方共同参加下进行。</w:t>
      </w:r>
    </w:p>
    <w:p>
      <w:pPr>
        <w:pStyle w:val="null3"/>
      </w:pPr>
      <w:r>
        <w:rPr>
          <w:sz w:val="21"/>
          <w:color w:val="000000"/>
        </w:rPr>
        <w:t>2、验收标准：甲方已完成本项目、采购文件以及甲方投标文件的全部服务事项，且能满足乙方的采购需求，配合乙方完成归档。</w:t>
      </w:r>
    </w:p>
    <w:p>
      <w:pPr>
        <w:pStyle w:val="null3"/>
      </w:pPr>
      <w:r>
        <w:rPr>
          <w:sz w:val="21"/>
          <w:color w:val="000000"/>
        </w:rPr>
        <w:t>3、乙方按照合同、磋商文件及甲方投标文件的约定和有关法律法规的规定对甲方服务进行验收，符合验收标准，验收通过的，乙方出具验收通过文件。</w:t>
      </w:r>
    </w:p>
    <w:p>
      <w:pPr>
        <w:pStyle w:val="null3"/>
        <w:jc w:val="left"/>
      </w:pPr>
      <w:r>
        <w:rPr>
          <w:sz w:val="21"/>
          <w:color w:val="000000"/>
        </w:rPr>
        <w:t>4、验收时如发现服务内容不符合合同约定、项目需求、乙方要求或法律规定之情形，乙方应做出详尽的现场记录，甲方确认后此现场记录或相关备忘录可用作补充、缺失的有效证据。由此产生的有关费用由甲方承担。</w:t>
      </w:r>
    </w:p>
    <w:p>
      <w:pPr>
        <w:pStyle w:val="null3"/>
        <w:jc w:val="left"/>
      </w:pPr>
      <w:r>
        <w:rPr>
          <w:sz w:val="21"/>
          <w:b/>
          <w:color w:val="000000"/>
        </w:rPr>
        <w:t>九、违约责任与赔偿损失</w:t>
      </w:r>
    </w:p>
    <w:p>
      <w:pPr>
        <w:pStyle w:val="null3"/>
        <w:jc w:val="left"/>
      </w:pPr>
      <w:r>
        <w:rPr>
          <w:sz w:val="21"/>
          <w:color w:val="000000"/>
        </w:rPr>
        <w:t>1.乙方提供的服务不符合本合同规定的，甲方有权拒收，并且乙方须向甲方方支付本合同总价5%的违约金。</w:t>
      </w:r>
    </w:p>
    <w:p>
      <w:pPr>
        <w:pStyle w:val="null3"/>
        <w:jc w:val="left"/>
      </w:pPr>
      <w:r>
        <w:rPr>
          <w:sz w:val="21"/>
          <w:color w:val="000000"/>
        </w:rPr>
        <w:t>2.乙方未能按本合同规定的交货时间提供服务，从逾期之日起每日按本合同总价3‰的数额向甲方支付违约金；逾期半个月以上的，甲方有权终止合同，由此造成的甲方经济损失由乙方承担。</w:t>
      </w:r>
    </w:p>
    <w:p>
      <w:pPr>
        <w:pStyle w:val="null3"/>
        <w:jc w:val="left"/>
      </w:pPr>
      <w:r>
        <w:rPr>
          <w:sz w:val="21"/>
          <w:color w:val="000000"/>
        </w:rPr>
        <w:t>3.甲方无正当理由拒收接受服务，到期拒付服务款项的，甲方向乙方偿付本合同总的5%的违约金。</w:t>
      </w:r>
    </w:p>
    <w:p>
      <w:pPr>
        <w:pStyle w:val="null3"/>
        <w:jc w:val="left"/>
      </w:pPr>
      <w:r>
        <w:rPr>
          <w:sz w:val="21"/>
          <w:color w:val="000000"/>
        </w:rPr>
        <w:t>4.对于因甲方原因导致变更、中止或者终止政府采购合同的，甲方应当依照以下合同约定对乙方受到的损失予以赔偿或者补偿：</w:t>
      </w:r>
    </w:p>
    <w:p>
      <w:pPr>
        <w:pStyle w:val="null3"/>
        <w:jc w:val="left"/>
      </w:pPr>
      <w:r>
        <w:rPr>
          <w:sz w:val="21"/>
          <w:color w:val="000000"/>
          <w:u w:val="single"/>
        </w:rPr>
        <w:t xml:space="preserve">                         </w:t>
      </w:r>
    </w:p>
    <w:p>
      <w:pPr>
        <w:pStyle w:val="null3"/>
        <w:jc w:val="left"/>
      </w:pPr>
      <w:r>
        <w:rPr>
          <w:sz w:val="21"/>
          <w:color w:val="000000"/>
        </w:rPr>
        <w:t>5.其它违约责任按《中华人民共和国民法典(合同编)》处理。</w:t>
      </w:r>
    </w:p>
    <w:p>
      <w:pPr>
        <w:pStyle w:val="null3"/>
        <w:jc w:val="left"/>
      </w:pPr>
      <w:r>
        <w:rPr>
          <w:sz w:val="21"/>
          <w:b/>
          <w:color w:val="000000"/>
        </w:rPr>
        <w:t>十、争议的解决</w:t>
      </w:r>
    </w:p>
    <w:p>
      <w:pPr>
        <w:pStyle w:val="null3"/>
        <w:ind w:firstLine="400"/>
        <w:jc w:val="left"/>
      </w:pPr>
      <w:r>
        <w:rPr>
          <w:sz w:val="21"/>
          <w:color w:val="000000"/>
        </w:rPr>
        <w:t>合同执行过程中发生的任何争议，如双方不能通过友好协商解决，按相关法律法规处理。</w:t>
      </w:r>
      <w:r>
        <w:rPr>
          <w:sz w:val="21"/>
          <w:color w:val="000000"/>
        </w:rPr>
        <w:t xml:space="preserve">      </w:t>
      </w:r>
    </w:p>
    <w:p>
      <w:pPr>
        <w:pStyle w:val="null3"/>
        <w:jc w:val="left"/>
      </w:pPr>
      <w:r>
        <w:rPr>
          <w:sz w:val="21"/>
          <w:b/>
          <w:color w:val="000000"/>
        </w:rPr>
        <w:t>十一、不可抗力</w:t>
      </w:r>
    </w:p>
    <w:p>
      <w:pPr>
        <w:pStyle w:val="null3"/>
        <w:jc w:val="left"/>
      </w:pPr>
      <w:r>
        <w:rPr>
          <w:sz w:val="21"/>
          <w:color w:val="000000"/>
        </w:rPr>
        <w:t>　　任何一方由于不可抗力原因不能履行合同时，应在不可抗力事件结束后</w:t>
      </w:r>
      <w:r>
        <w:rPr>
          <w:sz w:val="21"/>
          <w:color w:val="000000"/>
        </w:rPr>
        <w:t>1日内向对方通报，以减轻可能给对方造成的损失，在取得有关机构的不可抗力证明或双方谅解确认后，允许延期履行或修订合同，并根据情况可部分或全部免于承担违约责任。</w:t>
      </w:r>
    </w:p>
    <w:p>
      <w:pPr>
        <w:pStyle w:val="null3"/>
        <w:jc w:val="left"/>
      </w:pPr>
      <w:r>
        <w:rPr>
          <w:sz w:val="21"/>
          <w:b/>
          <w:color w:val="000000"/>
        </w:rPr>
        <w:t>十二、税费</w:t>
      </w:r>
    </w:p>
    <w:p>
      <w:pPr>
        <w:pStyle w:val="null3"/>
        <w:jc w:val="left"/>
      </w:pPr>
      <w:r>
        <w:rPr>
          <w:sz w:val="21"/>
          <w:color w:val="000000"/>
        </w:rPr>
        <w:t>　　在中国境内、外发生的与本合同执行有关的一切税费均由乙方负担。</w:t>
      </w:r>
    </w:p>
    <w:p>
      <w:pPr>
        <w:pStyle w:val="null3"/>
        <w:jc w:val="left"/>
      </w:pPr>
      <w:r>
        <w:rPr>
          <w:sz w:val="21"/>
          <w:b/>
          <w:color w:val="000000"/>
        </w:rPr>
        <w:t>十三、其它</w:t>
      </w:r>
    </w:p>
    <w:p>
      <w:pPr>
        <w:pStyle w:val="null3"/>
        <w:jc w:val="left"/>
      </w:pPr>
      <w:r>
        <w:rPr>
          <w:sz w:val="21"/>
          <w:color w:val="000000"/>
        </w:rPr>
        <w:t>1.本合同所有附件、招标文件、投标文件、中标通知书均为合同的有效组成部分，与本合同具有同等法律效力。</w:t>
      </w:r>
    </w:p>
    <w:p>
      <w:pPr>
        <w:pStyle w:val="null3"/>
        <w:jc w:val="left"/>
      </w:pPr>
      <w:r>
        <w:rPr>
          <w:sz w:val="21"/>
          <w:color w:val="000000"/>
        </w:rPr>
        <w:t>2.在执行本合同的过程中，所有经双方签署确认的文件（包括会议纪要、补充协议、往来信函）即成为本合同的有效组成部分。</w:t>
      </w:r>
    </w:p>
    <w:p>
      <w:pPr>
        <w:pStyle w:val="null3"/>
        <w:jc w:val="left"/>
      </w:pPr>
      <w:r>
        <w:rPr>
          <w:sz w:val="21"/>
          <w:color w:val="000000"/>
        </w:rPr>
        <w:t>3.如一方地址、电话、传真号码有变更，应在变更当日内书面通知对方，否则，应承担相应责任。</w:t>
      </w:r>
    </w:p>
    <w:p>
      <w:pPr>
        <w:pStyle w:val="null3"/>
        <w:ind w:firstLine="480"/>
        <w:jc w:val="left"/>
      </w:pPr>
      <w:r>
        <w:rPr>
          <w:sz w:val="21"/>
          <w:color w:val="000000"/>
        </w:rPr>
        <w:t>4.除甲方事先书面同意外，乙方不得部分或全部转让其应履行的合同项下的义务。</w:t>
      </w:r>
    </w:p>
    <w:p>
      <w:pPr>
        <w:pStyle w:val="null3"/>
        <w:ind w:firstLine="480"/>
        <w:jc w:val="left"/>
      </w:pPr>
      <w:r>
        <w:rPr>
          <w:sz w:val="21"/>
          <w:color w:val="000000"/>
        </w:rPr>
        <w:t>5.乙方完全遵守《中华人民共和国民法典》有关规定和《中华人民共和国妇女权益保障法》中关于“劳动和社会保障权益”的有关要求。</w:t>
      </w:r>
    </w:p>
    <w:p>
      <w:pPr>
        <w:pStyle w:val="null3"/>
        <w:jc w:val="left"/>
      </w:pPr>
      <w:r>
        <w:rPr>
          <w:sz w:val="21"/>
          <w:b/>
          <w:color w:val="000000"/>
        </w:rPr>
        <w:t>十四、合同生效</w:t>
      </w:r>
    </w:p>
    <w:p>
      <w:pPr>
        <w:pStyle w:val="null3"/>
        <w:jc w:val="left"/>
      </w:pPr>
      <w:r>
        <w:rPr>
          <w:sz w:val="21"/>
          <w:color w:val="000000"/>
        </w:rPr>
        <w:t>1.本合同在甲乙双方法人代表或其授权代表签字盖章后生效。</w:t>
      </w:r>
    </w:p>
    <w:p>
      <w:pPr>
        <w:pStyle w:val="null3"/>
        <w:jc w:val="left"/>
      </w:pPr>
      <w:r>
        <w:rPr>
          <w:sz w:val="21"/>
          <w:color w:val="000000"/>
        </w:rPr>
        <w:t>2.合同一式</w:t>
      </w:r>
      <w:r>
        <w:rPr>
          <w:sz w:val="21"/>
          <w:color w:val="000000"/>
          <w:u w:val="single"/>
        </w:rPr>
        <w:t xml:space="preserve">   </w:t>
      </w:r>
      <w:r>
        <w:rPr>
          <w:sz w:val="21"/>
          <w:color w:val="000000"/>
        </w:rPr>
        <w:t xml:space="preserve"> 份。</w:t>
      </w:r>
    </w:p>
    <w:p>
      <w:pPr>
        <w:pStyle w:val="null3"/>
        <w:jc w:val="left"/>
      </w:pPr>
      <w:r>
        <w:rPr>
          <w:sz w:val="21"/>
          <w:color w:val="000000"/>
        </w:rPr>
        <w:t xml:space="preserve"> </w:t>
      </w:r>
    </w:p>
    <w:p>
      <w:pPr>
        <w:pStyle w:val="null3"/>
        <w:jc w:val="left"/>
      </w:pPr>
      <w:r>
        <w:rPr>
          <w:sz w:val="21"/>
          <w:b/>
          <w:color w:val="000000"/>
        </w:rPr>
        <w:t>甲方（盖章）：</w:t>
      </w:r>
      <w:r>
        <w:rPr>
          <w:sz w:val="21"/>
          <w:b/>
          <w:color w:val="000000"/>
        </w:rPr>
        <w:t xml:space="preserve">                乙方（盖章）：</w:t>
      </w:r>
    </w:p>
    <w:p>
      <w:pPr>
        <w:pStyle w:val="null3"/>
        <w:jc w:val="left"/>
      </w:pPr>
      <w:r>
        <w:rPr>
          <w:sz w:val="21"/>
          <w:b/>
          <w:color w:val="000000"/>
        </w:rPr>
        <w:t>代表：</w:t>
      </w:r>
      <w:r>
        <w:rPr>
          <w:sz w:val="21"/>
          <w:b/>
          <w:color w:val="000000"/>
        </w:rPr>
        <w:t xml:space="preserve">                       代表：</w:t>
      </w:r>
    </w:p>
    <w:p>
      <w:pPr>
        <w:pStyle w:val="null3"/>
        <w:jc w:val="left"/>
      </w:pPr>
      <w:r>
        <w:rPr>
          <w:sz w:val="21"/>
          <w:color w:val="000000"/>
        </w:rPr>
        <w:t>签订地点：</w:t>
      </w:r>
    </w:p>
    <w:p>
      <w:pPr>
        <w:pStyle w:val="null3"/>
        <w:jc w:val="left"/>
      </w:pPr>
      <w:r>
        <w:rPr>
          <w:sz w:val="21"/>
          <w:color w:val="000000"/>
        </w:rPr>
        <w:t>签订日期：　　　年　　月　　日</w:t>
      </w:r>
      <w:r>
        <w:rPr>
          <w:sz w:val="21"/>
          <w:color w:val="000000"/>
        </w:rPr>
        <w:t xml:space="preserve">  签订日期：　　　年　　月　　日</w:t>
      </w:r>
    </w:p>
    <w:p>
      <w:pPr>
        <w:pStyle w:val="null3"/>
        <w:jc w:val="left"/>
      </w:pPr>
      <w:r>
        <w:rPr>
          <w:sz w:val="21"/>
          <w:color w:val="000000"/>
        </w:rPr>
        <w:t>开户名称：</w:t>
      </w:r>
    </w:p>
    <w:p>
      <w:pPr>
        <w:pStyle w:val="null3"/>
        <w:jc w:val="left"/>
      </w:pPr>
      <w:r>
        <w:rPr>
          <w:sz w:val="21"/>
          <w:color w:val="000000"/>
        </w:rPr>
        <w:t>银行账号：</w:t>
      </w:r>
    </w:p>
    <w:p>
      <w:pPr>
        <w:pStyle w:val="null3"/>
        <w:spacing w:before="0" w:after="0"/>
        <w:ind w:left="0" w:right="0"/>
        <w:jc w:val="center"/>
      </w:pPr>
      <w:r>
        <w:rPr>
          <w:sz w:val="21"/>
          <w:color w:val="000000"/>
        </w:rPr>
        <w:t>开</w:t>
      </w:r>
      <w:r>
        <w:rPr>
          <w:sz w:val="21"/>
          <w:color w:val="000000"/>
        </w:rPr>
        <w:t>户</w:t>
      </w:r>
      <w:r>
        <w:rPr>
          <w:sz w:val="21"/>
          <w:color w:val="000000"/>
        </w:rPr>
        <w:t>行：</w:t>
      </w:r>
    </w:p>
    <w:p>
      <w:pPr>
        <w:pStyle w:val="null3"/>
        <w:spacing w:before="0" w:after="0"/>
        <w:ind w:left="0" w:right="0"/>
        <w:jc w:val="center"/>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440001-2026-33715</w:t>
      </w:r>
    </w:p>
    <w:p>
      <w:pPr>
        <w:pStyle w:val="null3"/>
        <w:jc w:val="center"/>
        <w:outlineLvl w:val="3"/>
      </w:pPr>
      <w:r>
        <w:rPr>
          <w:sz w:val="24"/>
          <w:b/>
        </w:rPr>
        <w:t>采购项目编号：</w:t>
      </w:r>
      <w:r>
        <w:rPr>
          <w:sz w:val="24"/>
          <w:b/>
        </w:rPr>
        <w:t>0877-26GZTP1ZC0625</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六、法定代表人证明书</w:t>
      </w:r>
    </w:p>
    <w:p>
      <w:pPr>
        <w:pStyle w:val="null3"/>
        <w:ind w:firstLine="480"/>
      </w:pPr>
      <w:r>
        <w:rPr/>
        <w:t>七、法定代表人授权书</w:t>
      </w:r>
    </w:p>
    <w:p>
      <w:pPr>
        <w:pStyle w:val="null3"/>
        <w:ind w:firstLine="480"/>
      </w:pPr>
      <w:r>
        <w:rPr/>
        <w:t>八、投标保证金</w:t>
      </w:r>
    </w:p>
    <w:p>
      <w:pPr>
        <w:pStyle w:val="null3"/>
        <w:ind w:firstLine="480"/>
      </w:pPr>
      <w:r>
        <w:rPr/>
        <w:t>九、提供具有独立承担民事责任的能力的证明材料</w:t>
      </w:r>
    </w:p>
    <w:p>
      <w:pPr>
        <w:pStyle w:val="null3"/>
        <w:ind w:firstLine="480"/>
      </w:pPr>
      <w:r>
        <w:rPr/>
        <w:t>十、资格性审查要求的其他资质证明文件</w:t>
      </w:r>
    </w:p>
    <w:p>
      <w:pPr>
        <w:pStyle w:val="null3"/>
        <w:ind w:firstLine="480"/>
      </w:pPr>
      <w:r>
        <w:rPr/>
        <w:t>十一、承诺函</w:t>
      </w:r>
    </w:p>
    <w:p>
      <w:pPr>
        <w:pStyle w:val="null3"/>
        <w:ind w:firstLine="480"/>
      </w:pPr>
      <w:r>
        <w:rPr/>
        <w:t>十二、中小企业声明函</w:t>
      </w:r>
    </w:p>
    <w:p>
      <w:pPr>
        <w:pStyle w:val="null3"/>
        <w:ind w:firstLine="480"/>
      </w:pPr>
      <w:r>
        <w:rPr/>
        <w:t>十三、监狱企业</w:t>
      </w:r>
    </w:p>
    <w:p>
      <w:pPr>
        <w:pStyle w:val="null3"/>
        <w:ind w:firstLine="480"/>
      </w:pPr>
      <w:r>
        <w:rPr/>
        <w:t>十四、残疾人福利性单位声明函</w:t>
      </w:r>
    </w:p>
    <w:p>
      <w:pPr>
        <w:pStyle w:val="null3"/>
        <w:ind w:firstLine="480"/>
      </w:pPr>
      <w:r>
        <w:rPr/>
        <w:t>十五、联合体共同投标协议书</w:t>
      </w:r>
    </w:p>
    <w:p>
      <w:pPr>
        <w:pStyle w:val="null3"/>
        <w:ind w:firstLine="480"/>
      </w:pPr>
      <w:r>
        <w:rPr/>
        <w:t>十六、投标人业绩情况表</w:t>
      </w:r>
    </w:p>
    <w:p>
      <w:pPr>
        <w:pStyle w:val="null3"/>
        <w:ind w:firstLine="480"/>
      </w:pPr>
      <w:r>
        <w:rPr/>
        <w:t>十七、技术和服务要求响应表</w:t>
      </w:r>
    </w:p>
    <w:p>
      <w:pPr>
        <w:pStyle w:val="null3"/>
        <w:ind w:firstLine="480"/>
      </w:pPr>
      <w:r>
        <w:rPr/>
        <w:t>十八、商务条件响应表</w:t>
      </w:r>
    </w:p>
    <w:p>
      <w:pPr>
        <w:pStyle w:val="null3"/>
        <w:ind w:firstLine="480"/>
      </w:pPr>
      <w:r>
        <w:rPr/>
        <w:t>十九、履约进度计划表</w:t>
      </w:r>
    </w:p>
    <w:p>
      <w:pPr>
        <w:pStyle w:val="null3"/>
        <w:ind w:firstLine="480"/>
      </w:pPr>
      <w:r>
        <w:rPr/>
        <w:t>二十、各类证明材料</w:t>
      </w:r>
    </w:p>
    <w:p>
      <w:pPr>
        <w:pStyle w:val="null3"/>
        <w:ind w:firstLine="480"/>
      </w:pPr>
      <w:r>
        <w:rPr/>
        <w:t>二十一、采购代理服务费支付承诺书</w:t>
      </w:r>
    </w:p>
    <w:p>
      <w:pPr>
        <w:pStyle w:val="null3"/>
        <w:ind w:firstLine="480"/>
      </w:pPr>
      <w:r>
        <w:rPr/>
        <w:t>二十二、需要采购人提供的附加条件</w:t>
      </w:r>
    </w:p>
    <w:p>
      <w:pPr>
        <w:pStyle w:val="null3"/>
        <w:ind w:firstLine="480"/>
      </w:pPr>
      <w:r>
        <w:rPr/>
        <w:t>二十三、询问函、质疑函、投诉书格式</w:t>
      </w:r>
    </w:p>
    <w:p>
      <w:pPr>
        <w:pStyle w:val="null3"/>
        <w:ind w:firstLine="480"/>
      </w:pPr>
      <w:r>
        <w:rPr/>
        <w:t>二十四、项目实施方案、质量保证及售后服务承诺等</w:t>
      </w:r>
    </w:p>
    <w:p>
      <w:pPr>
        <w:pStyle w:val="null3"/>
        <w:ind w:firstLine="480"/>
      </w:pPr>
      <w:r>
        <w:rPr/>
        <w:t>二十五、政府采购投标（响应）担保函</w:t>
      </w:r>
    </w:p>
    <w:p>
      <w:pPr>
        <w:pStyle w:val="null3"/>
        <w:ind w:firstLine="480"/>
      </w:pPr>
      <w:r>
        <w:rPr/>
        <w:t>二十六、政府采购履约担保函、采购合同履约保险凭证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投标函</w:t>
      </w:r>
    </w:p>
    <w:p>
      <w:pPr>
        <w:pStyle w:val="null3"/>
        <w:ind w:firstLine="480"/>
      </w:pPr>
      <w:r>
        <w:rPr/>
        <w:t xml:space="preserve"> 致：</w:t>
      </w:r>
      <w:r>
        <w:rPr>
          <w:u w:val="single"/>
        </w:rPr>
        <w:t>广东广招国际招标有限公司</w:t>
      </w:r>
    </w:p>
    <w:p>
      <w:pPr>
        <w:pStyle w:val="null3"/>
        <w:ind w:firstLine="480"/>
      </w:pPr>
      <w:r>
        <w:rPr/>
        <w:t xml:space="preserve"> 你方组织的</w:t>
      </w:r>
      <w:r>
        <w:rPr>
          <w:u w:val="single"/>
        </w:rPr>
        <w:t>“</w:t>
      </w:r>
      <w:r>
        <w:rPr>
          <w:u w:val="single"/>
        </w:rPr>
        <w:t>广东省第二人民医院新媒体运营服务采购项目</w:t>
      </w:r>
      <w:r>
        <w:rPr>
          <w:u w:val="single"/>
        </w:rPr>
        <w:t>”</w:t>
      </w:r>
      <w:r>
        <w:rPr/>
        <w:t>项目的招标[采购项目编号为：</w:t>
      </w:r>
      <w:r>
        <w:rPr>
          <w:u w:val="single"/>
        </w:rPr>
        <w:t>0877-26GZTP1ZC0625</w:t>
      </w:r>
      <w:r>
        <w:rPr/>
        <w:t>]，我方愿参与投标。</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我方确认收到贵方提供的</w:t>
      </w:r>
      <w:r>
        <w:rPr>
          <w:u w:val="single"/>
        </w:rPr>
        <w:t>“</w:t>
      </w:r>
      <w:r>
        <w:rPr>
          <w:u w:val="single"/>
        </w:rPr>
        <w:t>广东省第二人民医院新媒体运营服务采购项目</w:t>
      </w:r>
      <w:r>
        <w:rPr>
          <w:u w:val="single"/>
        </w:rPr>
        <w:t>”</w:t>
      </w:r>
      <w:r>
        <w:rPr/>
        <w:t>项目的招标文件的全部内容。</w:t>
      </w:r>
    </w:p>
    <w:p>
      <w:pPr>
        <w:pStyle w:val="null3"/>
        <w:ind w:firstLine="480"/>
      </w:pPr>
      <w:r>
        <w:rPr/>
        <w:t>我方已完全明白招标文件的所有条款要求，并申明如下：</w:t>
      </w:r>
    </w:p>
    <w:p>
      <w:pPr>
        <w:pStyle w:val="null3"/>
        <w:ind w:firstLine="480"/>
      </w:pPr>
      <w:r>
        <w:rPr/>
        <w:t xml:space="preserve"> （一）按招标文件提供全部标的投标总价详见《开标一览表》。</w:t>
      </w:r>
    </w:p>
    <w:p>
      <w:pPr>
        <w:pStyle w:val="null3"/>
        <w:ind w:firstLine="480"/>
      </w:pPr>
      <w:r>
        <w:rPr/>
        <w:t xml:space="preserve"> （二）本投标文件的有效期为</w:t>
      </w:r>
      <w:r>
        <w:rPr/>
        <w:t>从提交投标（响应）文件的截止之日起90日历天</w:t>
      </w:r>
      <w:r>
        <w:rPr/>
        <w:t>。在此提交的资格证明文件均至投标截止日有效，如有在投标有效期内失效的，我方承诺在中标后补齐一切手续，保证所有资格证明文件直至采购合同终止日有效。</w:t>
      </w:r>
    </w:p>
    <w:p>
      <w:pPr>
        <w:pStyle w:val="null3"/>
        <w:ind w:firstLine="480"/>
      </w:pPr>
      <w:r>
        <w:rPr/>
        <w:t xml:space="preserve"> （三）我方明白并同意，在规定的开标日之后，投标有效期之内撤销投标或中标后不按规定与采购人签订合同或不提交履约保证金,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（六）我方如果中标，将保证履行招标（采购）文件及其澄清、修改文件（如果有）以及投标（响应）文件中的全部责任和义务，按质、按量、按期完成《合同书》中的全部任务。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（八）我方投标报价已包含应向知识产权所有权人支付的所有相关税费，并保证采购人在中国使用我方提供的标的时，如有第三方提出侵犯其知识产权主张的，责任由我方承担。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（九）我方接受采购人委托向贵方支付代理服务费，项目总报价已包含代理服务费，如果被确定为中标人，承诺向贵方足额支付。（若采购人支付代理服务费，则此条不适用）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（十一）投标人未存在《政府采购法实施条例》第十八条第二款规定的情形：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（十三）我方具备《中华人民共和国政府采购法》第二十二条规定的条件，声明如下：</w:t>
      </w:r>
    </w:p>
    <w:p>
      <w:pPr>
        <w:pStyle w:val="null3"/>
        <w:ind w:firstLine="480"/>
      </w:pPr>
      <w:r>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 xml:space="preserve"> （十五）我方对在本函及投标文件中所作的所有承诺承担法律责任。</w:t>
      </w:r>
    </w:p>
    <w:p>
      <w:pPr>
        <w:pStyle w:val="null3"/>
        <w:ind w:firstLine="480"/>
      </w:pPr>
      <w:r>
        <w:rPr/>
        <w:t>（十六）以上内容如有虚假或与事实不符的，评标委员会可将我方做无效投标处理，我方愿意承担相应的法律责任。</w:t>
      </w:r>
    </w:p>
    <w:p>
      <w:pPr>
        <w:pStyle w:val="null3"/>
        <w:ind w:firstLine="480"/>
      </w:pPr>
      <w:r>
        <w:rPr/>
        <w:t xml:space="preserve"> （十七）所有与本招标有关的函件请发往下列地址：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pPr>
        <w:pStyle w:val="null3"/>
        <w:spacing w:before="120" w:after="120"/>
        <w:ind w:firstLine="960"/>
      </w:pPr>
      <w:r>
        <w:rPr/>
        <w:t>2. 供应商提供虚假《声明函》、虚假证明文件谋取中标、成交的，依照政府采购法律法规规定追究相应责任。</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附件3（当采购项目或者采购包中含有多种产品的，供应商还应当提供本承诺函，格式内容仅供参考）</w:t>
      </w:r>
    </w:p>
    <w:p>
      <w:pPr>
        <w:pStyle w:val="null3"/>
        <w:spacing w:before="120" w:after="240"/>
        <w:jc w:val="center"/>
        <w:outlineLvl w:val="3"/>
      </w:pPr>
      <w:r>
        <w:rPr>
          <w:sz w:val="24"/>
          <w:b/>
        </w:rPr>
        <w:t>关于本国产品比例的承诺函（如适用）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pPr>
        <w:pStyle w:val="null3"/>
      </w:pPr>
      <w:r>
        <w:rPr/>
        <w:t>本公司（单位）对上述承诺内容的真实性负责。如有虚假，愿承担相应法律责任。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广东广招国际招标有限公司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广东省第二人民医院新媒体运营服务采购项目</w:t>
      </w:r>
      <w:r>
        <w:rPr/>
        <w:t>”项目采购[采购项目编号为</w:t>
      </w:r>
      <w:r>
        <w:rPr/>
        <w:t>0877-26GZTP1ZC0625</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格式十：</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格式十一：</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广东省第二人民医院</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格式十六：</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格式十八：</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格式二十一：</w:t>
      </w:r>
    </w:p>
    <w:p>
      <w:pPr>
        <w:pStyle w:val="null3"/>
        <w:jc w:val="center"/>
        <w:outlineLvl w:val="3"/>
      </w:pPr>
      <w:r>
        <w:rPr>
          <w:sz w:val="24"/>
          <w:b/>
        </w:rPr>
        <w:t>采购代理服务费支付承诺书</w:t>
      </w:r>
    </w:p>
    <w:p>
      <w:pPr>
        <w:pStyle w:val="null3"/>
        <w:ind w:firstLine="480"/>
      </w:pPr>
      <w:r>
        <w:rPr/>
        <w:t>致：</w:t>
      </w:r>
      <w:r>
        <w:rPr/>
        <w:t>广东广招国际招标有限公司</w:t>
      </w:r>
    </w:p>
    <w:p>
      <w:pPr>
        <w:pStyle w:val="null3"/>
        <w:ind w:firstLine="480"/>
      </w:pPr>
      <w:r>
        <w:rPr/>
        <w:t xml:space="preserve"> 如果我方在贵采购代理机构组织的</w:t>
      </w:r>
      <w:r>
        <w:rPr/>
        <w:t>广东省第二人民医院新媒体运营服务采购项目</w:t>
      </w:r>
      <w:r>
        <w:rPr/>
        <w:t>招标中获中标（采购项目编号：</w:t>
      </w:r>
      <w:r>
        <w:rPr/>
        <w:t>0877-26GZTP1ZC0625</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广东广招国际招标有限公司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广东广招国际招标有限公司</w:t>
      </w:r>
    </w:p>
    <w:p>
      <w:pPr>
        <w:pStyle w:val="null3"/>
        <w:ind w:firstLine="480"/>
      </w:pPr>
      <w:r>
        <w:rPr/>
        <w:t>我单位已登记并准备参与“</w:t>
      </w:r>
      <w:r>
        <w:rPr/>
        <w:t>广东省第二人民医院新媒体运营服务采购项目</w:t>
      </w:r>
      <w:r>
        <w:rPr/>
        <w:t>”项目（采购项目编号：</w:t>
      </w:r>
      <w:r>
        <w:rPr/>
        <w:t>0877-26GZTP1ZC0625</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格式二十四：</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格式二十五：</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格式二十六：</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