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B66EB">
      <w:pPr>
        <w:pStyle w:val="200"/>
        <w:jc w:val="center"/>
        <w:rPr>
          <w:rFonts w:hint="default"/>
          <w:b/>
          <w:color w:val="000000" w:themeColor="text1"/>
          <w:sz w:val="52"/>
        </w:rPr>
      </w:pPr>
    </w:p>
    <w:p w14:paraId="41A21155">
      <w:pPr>
        <w:pStyle w:val="200"/>
        <w:jc w:val="center"/>
        <w:rPr>
          <w:rFonts w:hint="eastAsia" w:eastAsia="宋体"/>
          <w:b/>
          <w:color w:val="000000" w:themeColor="text1"/>
          <w:sz w:val="52"/>
          <w:lang w:eastAsia="zh-CN"/>
        </w:rPr>
      </w:pPr>
      <w:r>
        <w:rPr>
          <w:rFonts w:hint="eastAsia"/>
          <w:b/>
          <w:color w:val="000000" w:themeColor="text1"/>
          <w:sz w:val="52"/>
          <w:lang w:eastAsia="zh-CN"/>
        </w:rPr>
        <w:t>广东省人民体育场青少年体育后备人才培养单位改造项目</w:t>
      </w:r>
    </w:p>
    <w:p w14:paraId="017FCA8A">
      <w:pPr>
        <w:pStyle w:val="200"/>
        <w:jc w:val="center"/>
        <w:rPr>
          <w:rFonts w:hint="default"/>
          <w:color w:val="000000" w:themeColor="text1"/>
        </w:rPr>
      </w:pPr>
      <w:r>
        <w:rPr>
          <w:b/>
          <w:color w:val="000000" w:themeColor="text1"/>
          <w:sz w:val="52"/>
        </w:rPr>
        <w:t>施工合同</w:t>
      </w:r>
    </w:p>
    <w:p w14:paraId="1E89CFC0">
      <w:pPr>
        <w:pStyle w:val="200"/>
        <w:jc w:val="both"/>
        <w:rPr>
          <w:b/>
          <w:color w:val="000000" w:themeColor="text1"/>
          <w:sz w:val="32"/>
        </w:rPr>
      </w:pPr>
    </w:p>
    <w:p w14:paraId="27F3B465">
      <w:pPr>
        <w:pStyle w:val="200"/>
        <w:jc w:val="both"/>
        <w:rPr>
          <w:rFonts w:hint="default"/>
          <w:b/>
          <w:color w:val="000000" w:themeColor="text1"/>
          <w:sz w:val="32"/>
        </w:rPr>
      </w:pPr>
    </w:p>
    <w:p w14:paraId="4B5C5C26">
      <w:pPr>
        <w:pStyle w:val="200"/>
        <w:jc w:val="both"/>
        <w:rPr>
          <w:rFonts w:hint="default"/>
          <w:b/>
          <w:color w:val="000000" w:themeColor="text1"/>
          <w:sz w:val="32"/>
        </w:rPr>
      </w:pPr>
    </w:p>
    <w:p w14:paraId="3147EAA5">
      <w:pPr>
        <w:pStyle w:val="200"/>
        <w:jc w:val="both"/>
        <w:rPr>
          <w:rFonts w:hint="default"/>
          <w:b/>
          <w:color w:val="000000" w:themeColor="text1"/>
          <w:sz w:val="32"/>
        </w:rPr>
      </w:pPr>
    </w:p>
    <w:p w14:paraId="2F018D04">
      <w:pPr>
        <w:pStyle w:val="200"/>
        <w:rPr>
          <w:rFonts w:hint="default"/>
          <w:b/>
          <w:color w:val="000000" w:themeColor="text1"/>
          <w:sz w:val="32"/>
        </w:rPr>
      </w:pPr>
    </w:p>
    <w:p w14:paraId="698B9A75">
      <w:pPr>
        <w:pStyle w:val="200"/>
        <w:rPr>
          <w:rFonts w:hint="default"/>
          <w:b/>
          <w:color w:val="000000" w:themeColor="text1"/>
          <w:sz w:val="32"/>
        </w:rPr>
      </w:pPr>
    </w:p>
    <w:p w14:paraId="2BB169B3">
      <w:pPr>
        <w:pStyle w:val="200"/>
        <w:ind w:firstLine="964" w:firstLineChars="300"/>
        <w:jc w:val="both"/>
        <w:rPr>
          <w:rFonts w:hint="eastAsia" w:eastAsia="宋体"/>
          <w:color w:val="000000" w:themeColor="text1"/>
          <w:lang w:eastAsia="zh-CN"/>
        </w:rPr>
      </w:pPr>
      <w:r>
        <w:rPr>
          <w:b/>
          <w:color w:val="000000" w:themeColor="text1"/>
          <w:sz w:val="32"/>
        </w:rPr>
        <w:t>甲方（全称）：</w:t>
      </w:r>
      <w:r>
        <w:rPr>
          <w:rFonts w:hint="eastAsia"/>
          <w:b/>
          <w:color w:val="000000" w:themeColor="text1"/>
          <w:sz w:val="32"/>
          <w:u w:val="single"/>
          <w:lang w:eastAsia="zh-CN"/>
        </w:rPr>
        <w:t>广东省人民体育场</w:t>
      </w:r>
    </w:p>
    <w:p w14:paraId="5030C0C8">
      <w:pPr>
        <w:pStyle w:val="200"/>
        <w:ind w:firstLine="964" w:firstLineChars="300"/>
        <w:jc w:val="both"/>
        <w:rPr>
          <w:rFonts w:hint="default"/>
          <w:b/>
          <w:color w:val="000000" w:themeColor="text1"/>
          <w:sz w:val="32"/>
          <w:u w:val="single"/>
        </w:rPr>
      </w:pPr>
      <w:r>
        <w:rPr>
          <w:b/>
          <w:color w:val="000000" w:themeColor="text1"/>
          <w:sz w:val="32"/>
        </w:rPr>
        <w:t>乙方（全称）：</w:t>
      </w:r>
      <w:r>
        <w:rPr>
          <w:b/>
          <w:color w:val="000000" w:themeColor="text1"/>
          <w:sz w:val="32"/>
          <w:u w:val="single"/>
        </w:rPr>
        <w:t xml:space="preserve">                      </w:t>
      </w:r>
    </w:p>
    <w:p w14:paraId="7960A0CE">
      <w:pPr>
        <w:pStyle w:val="200"/>
        <w:ind w:firstLine="964" w:firstLineChars="300"/>
        <w:jc w:val="both"/>
        <w:rPr>
          <w:rFonts w:hint="default"/>
          <w:b/>
          <w:color w:val="000000" w:themeColor="text1"/>
          <w:sz w:val="32"/>
        </w:rPr>
      </w:pPr>
      <w:r>
        <w:rPr>
          <w:b/>
          <w:color w:val="000000" w:themeColor="text1"/>
          <w:sz w:val="32"/>
        </w:rPr>
        <w:t>合同编号：</w:t>
      </w:r>
      <w:r>
        <w:rPr>
          <w:b/>
          <w:color w:val="000000" w:themeColor="text1"/>
          <w:sz w:val="32"/>
          <w:u w:val="single"/>
        </w:rPr>
        <w:t xml:space="preserve">                   </w:t>
      </w:r>
    </w:p>
    <w:p w14:paraId="0B05EB1C">
      <w:pPr>
        <w:pStyle w:val="200"/>
        <w:jc w:val="center"/>
        <w:rPr>
          <w:rFonts w:hint="default"/>
          <w:color w:val="000000" w:themeColor="text1"/>
          <w:sz w:val="21"/>
        </w:rPr>
      </w:pPr>
    </w:p>
    <w:p w14:paraId="7D1956C7">
      <w:pPr>
        <w:pStyle w:val="200"/>
        <w:jc w:val="center"/>
        <w:rPr>
          <w:rFonts w:hint="default"/>
          <w:color w:val="000000" w:themeColor="text1"/>
          <w:sz w:val="21"/>
        </w:rPr>
      </w:pPr>
    </w:p>
    <w:p w14:paraId="502306AE">
      <w:pPr>
        <w:pStyle w:val="200"/>
        <w:jc w:val="center"/>
        <w:rPr>
          <w:rFonts w:hint="default"/>
          <w:color w:val="000000" w:themeColor="text1"/>
          <w:sz w:val="21"/>
        </w:rPr>
      </w:pPr>
    </w:p>
    <w:p w14:paraId="6AC41ABF">
      <w:pPr>
        <w:pStyle w:val="200"/>
        <w:jc w:val="center"/>
        <w:rPr>
          <w:rFonts w:hint="default"/>
          <w:color w:val="000000" w:themeColor="text1"/>
          <w:sz w:val="21"/>
        </w:rPr>
      </w:pPr>
    </w:p>
    <w:p w14:paraId="004313EA">
      <w:pPr>
        <w:pStyle w:val="200"/>
        <w:jc w:val="center"/>
        <w:rPr>
          <w:rFonts w:hint="default"/>
          <w:color w:val="000000" w:themeColor="text1"/>
          <w:sz w:val="21"/>
        </w:rPr>
      </w:pPr>
    </w:p>
    <w:p w14:paraId="285FBB85">
      <w:pPr>
        <w:pStyle w:val="200"/>
        <w:jc w:val="center"/>
        <w:rPr>
          <w:rFonts w:hint="default"/>
          <w:color w:val="000000" w:themeColor="text1"/>
        </w:rPr>
      </w:pPr>
      <w:r>
        <w:rPr>
          <w:color w:val="000000" w:themeColor="text1"/>
          <w:sz w:val="21"/>
        </w:rPr>
        <w:t>中华人民共和国建设部制定</w:t>
      </w:r>
    </w:p>
    <w:p w14:paraId="7BA9AA0B">
      <w:pPr>
        <w:pStyle w:val="200"/>
        <w:jc w:val="center"/>
        <w:rPr>
          <w:rFonts w:hint="default"/>
          <w:color w:val="000000" w:themeColor="text1"/>
        </w:rPr>
      </w:pPr>
      <w:r>
        <w:rPr>
          <w:color w:val="000000" w:themeColor="text1"/>
          <w:sz w:val="21"/>
        </w:rPr>
        <w:t>国家工商行政管理局</w:t>
      </w:r>
    </w:p>
    <w:p w14:paraId="36ED5039">
      <w:pPr>
        <w:pStyle w:val="200"/>
        <w:jc w:val="center"/>
        <w:rPr>
          <w:rFonts w:hint="default"/>
          <w:color w:val="000000" w:themeColor="text1"/>
          <w:sz w:val="21"/>
        </w:rPr>
      </w:pPr>
      <w:r>
        <w:rPr>
          <w:color w:val="000000" w:themeColor="text1"/>
          <w:sz w:val="21"/>
        </w:rPr>
        <w:t>广东省工商行政管理局监制</w:t>
      </w:r>
    </w:p>
    <w:p w14:paraId="492B67A8">
      <w:pPr>
        <w:rPr>
          <w:color w:val="000000" w:themeColor="text1"/>
        </w:rPr>
      </w:pPr>
    </w:p>
    <w:p w14:paraId="213486C7">
      <w:pPr>
        <w:rPr>
          <w:color w:val="000000" w:themeColor="text1"/>
        </w:rPr>
      </w:pPr>
    </w:p>
    <w:p w14:paraId="77234599">
      <w:pPr>
        <w:rPr>
          <w:color w:val="000000" w:themeColor="text1"/>
        </w:rPr>
      </w:pPr>
    </w:p>
    <w:p w14:paraId="1F31FF76">
      <w:pPr>
        <w:rPr>
          <w:color w:val="000000" w:themeColor="text1"/>
        </w:rPr>
      </w:pPr>
    </w:p>
    <w:p w14:paraId="5C221587">
      <w:pPr>
        <w:rPr>
          <w:color w:val="000000" w:themeColor="text1"/>
        </w:rPr>
      </w:pPr>
    </w:p>
    <w:p w14:paraId="22A0B6B5">
      <w:pPr>
        <w:rPr>
          <w:color w:val="000000" w:themeColor="text1"/>
        </w:rPr>
      </w:pPr>
    </w:p>
    <w:p w14:paraId="03ED92D1">
      <w:pPr>
        <w:rPr>
          <w:color w:val="000000" w:themeColor="text1"/>
        </w:rPr>
        <w:sectPr>
          <w:pgSz w:w="11906" w:h="16838"/>
          <w:pgMar w:top="1440" w:right="1800" w:bottom="1440" w:left="1800" w:header="851" w:footer="992" w:gutter="0"/>
          <w:cols w:space="720" w:num="1"/>
          <w:docGrid w:type="lines" w:linePitch="312" w:charSpace="0"/>
        </w:sectPr>
      </w:pPr>
    </w:p>
    <w:p w14:paraId="4C2610C0">
      <w:pPr>
        <w:pStyle w:val="200"/>
        <w:spacing w:line="360" w:lineRule="auto"/>
        <w:outlineLvl w:val="0"/>
        <w:rPr>
          <w:rFonts w:hint="default"/>
          <w:color w:val="000000" w:themeColor="text1"/>
          <w:sz w:val="21"/>
          <w:szCs w:val="21"/>
        </w:rPr>
      </w:pPr>
      <w:r>
        <w:rPr>
          <w:b/>
          <w:color w:val="000000" w:themeColor="text1"/>
          <w:sz w:val="21"/>
          <w:szCs w:val="21"/>
        </w:rPr>
        <w:t>第一部分协议书</w:t>
      </w:r>
    </w:p>
    <w:p w14:paraId="6B5D71C2">
      <w:pPr>
        <w:pStyle w:val="200"/>
        <w:spacing w:line="360" w:lineRule="auto"/>
        <w:ind w:firstLine="420"/>
        <w:rPr>
          <w:rFonts w:hint="eastAsia" w:eastAsia="宋体"/>
          <w:color w:val="000000" w:themeColor="text1"/>
          <w:sz w:val="21"/>
          <w:szCs w:val="21"/>
          <w:lang w:eastAsia="zh-CN"/>
        </w:rPr>
      </w:pPr>
      <w:r>
        <w:rPr>
          <w:color w:val="000000" w:themeColor="text1"/>
          <w:sz w:val="21"/>
          <w:szCs w:val="21"/>
        </w:rPr>
        <w:t>甲方（全称）：</w:t>
      </w:r>
      <w:r>
        <w:rPr>
          <w:rFonts w:hint="eastAsia"/>
          <w:color w:val="000000" w:themeColor="text1"/>
          <w:sz w:val="21"/>
          <w:szCs w:val="21"/>
          <w:u w:val="single"/>
          <w:lang w:eastAsia="zh-CN"/>
        </w:rPr>
        <w:t>广东省人民体育场</w:t>
      </w:r>
    </w:p>
    <w:p w14:paraId="7AE221C6">
      <w:pPr>
        <w:pStyle w:val="200"/>
        <w:spacing w:line="360" w:lineRule="auto"/>
        <w:ind w:firstLine="420"/>
        <w:rPr>
          <w:rFonts w:hint="default"/>
          <w:color w:val="000000" w:themeColor="text1"/>
          <w:sz w:val="21"/>
          <w:szCs w:val="21"/>
        </w:rPr>
      </w:pPr>
      <w:r>
        <w:rPr>
          <w:color w:val="000000" w:themeColor="text1"/>
          <w:sz w:val="21"/>
          <w:szCs w:val="21"/>
        </w:rPr>
        <w:t>乙方（全称）：</w:t>
      </w:r>
      <w:r>
        <w:rPr>
          <w:color w:val="000000" w:themeColor="text1"/>
          <w:sz w:val="21"/>
          <w:szCs w:val="21"/>
          <w:u w:val="single"/>
        </w:rPr>
        <w:t xml:space="preserve">                      </w:t>
      </w:r>
    </w:p>
    <w:p w14:paraId="5036A456">
      <w:pPr>
        <w:pStyle w:val="200"/>
        <w:spacing w:line="360" w:lineRule="auto"/>
        <w:ind w:firstLine="420"/>
        <w:rPr>
          <w:rFonts w:hint="default"/>
          <w:color w:val="000000" w:themeColor="text1"/>
          <w:sz w:val="21"/>
          <w:szCs w:val="21"/>
        </w:rPr>
      </w:pPr>
      <w:r>
        <w:rPr>
          <w:color w:val="000000" w:themeColor="text1"/>
          <w:sz w:val="21"/>
          <w:szCs w:val="21"/>
        </w:rPr>
        <w:t>依照《中华人民共和国民法典》《中华人民共和国建筑法》及其他有关法律、行政法规，以及主管部门批准的建设计划、设计、竞争性磋商（响应）文件等，遵循平等、自愿、公平和诚实信用的原则，双方就本建设工程施工事项协商一致，订立本合同。</w:t>
      </w:r>
    </w:p>
    <w:p w14:paraId="5B4B5760">
      <w:pPr>
        <w:pStyle w:val="200"/>
        <w:spacing w:line="360" w:lineRule="auto"/>
        <w:ind w:firstLine="422"/>
        <w:rPr>
          <w:rFonts w:hint="default"/>
          <w:color w:val="000000" w:themeColor="text1"/>
          <w:sz w:val="21"/>
          <w:szCs w:val="21"/>
        </w:rPr>
      </w:pPr>
      <w:r>
        <w:rPr>
          <w:b/>
          <w:color w:val="000000" w:themeColor="text1"/>
          <w:sz w:val="21"/>
          <w:szCs w:val="21"/>
        </w:rPr>
        <w:t>一、工程概况</w:t>
      </w:r>
    </w:p>
    <w:p w14:paraId="7463D96F">
      <w:pPr>
        <w:pStyle w:val="200"/>
        <w:spacing w:line="360" w:lineRule="auto"/>
        <w:ind w:firstLine="420"/>
        <w:rPr>
          <w:rFonts w:hint="eastAsia" w:eastAsia="宋体"/>
          <w:color w:val="000000" w:themeColor="text1"/>
          <w:sz w:val="21"/>
          <w:szCs w:val="21"/>
          <w:lang w:eastAsia="zh-CN"/>
        </w:rPr>
      </w:pPr>
      <w:r>
        <w:rPr>
          <w:color w:val="000000" w:themeColor="text1"/>
          <w:sz w:val="21"/>
          <w:szCs w:val="21"/>
        </w:rPr>
        <w:t>工程名称：</w:t>
      </w:r>
      <w:r>
        <w:rPr>
          <w:rFonts w:hint="eastAsia"/>
          <w:color w:val="000000" w:themeColor="text1"/>
          <w:sz w:val="21"/>
          <w:szCs w:val="21"/>
          <w:u w:val="single"/>
          <w:lang w:eastAsia="zh-CN"/>
        </w:rPr>
        <w:t>广东省人民体育场青少年体育后备人才培养单位改造项目</w:t>
      </w:r>
    </w:p>
    <w:p w14:paraId="3599762E">
      <w:pPr>
        <w:pStyle w:val="200"/>
        <w:spacing w:line="360" w:lineRule="auto"/>
        <w:ind w:firstLine="420"/>
        <w:rPr>
          <w:rFonts w:hint="default"/>
          <w:color w:val="000000" w:themeColor="text1"/>
          <w:sz w:val="21"/>
          <w:szCs w:val="21"/>
        </w:rPr>
      </w:pPr>
      <w:r>
        <w:rPr>
          <w:color w:val="000000" w:themeColor="text1"/>
          <w:sz w:val="21"/>
          <w:szCs w:val="21"/>
        </w:rPr>
        <w:t>工程地点：</w:t>
      </w:r>
      <w:r>
        <w:rPr>
          <w:rFonts w:hint="eastAsia"/>
          <w:color w:val="000000" w:themeColor="text1"/>
          <w:sz w:val="21"/>
          <w:szCs w:val="21"/>
          <w:u w:val="single"/>
          <w:lang w:eastAsia="zh-CN"/>
        </w:rPr>
        <w:t>广州市越秀区较场西路18号</w:t>
      </w:r>
    </w:p>
    <w:p w14:paraId="5B578A1E">
      <w:pPr>
        <w:pStyle w:val="200"/>
        <w:spacing w:line="360" w:lineRule="auto"/>
        <w:ind w:firstLine="420"/>
        <w:rPr>
          <w:rFonts w:hint="default"/>
          <w:color w:val="000000" w:themeColor="text1"/>
          <w:sz w:val="21"/>
          <w:szCs w:val="21"/>
        </w:rPr>
      </w:pPr>
      <w:r>
        <w:rPr>
          <w:color w:val="000000" w:themeColor="text1"/>
          <w:sz w:val="21"/>
          <w:szCs w:val="21"/>
        </w:rPr>
        <w:t>项目概况：</w:t>
      </w:r>
    </w:p>
    <w:p w14:paraId="52BBCF7A">
      <w:pPr>
        <w:pStyle w:val="200"/>
        <w:spacing w:line="360" w:lineRule="auto"/>
        <w:ind w:firstLine="420"/>
        <w:rPr>
          <w:rFonts w:hint="default"/>
          <w:color w:val="000000" w:themeColor="text1"/>
          <w:sz w:val="21"/>
          <w:szCs w:val="21"/>
        </w:rPr>
      </w:pPr>
      <w:r>
        <w:rPr>
          <w:rFonts w:hint="eastAsia"/>
          <w:color w:val="000000" w:themeColor="text1"/>
          <w:sz w:val="21"/>
          <w:szCs w:val="21"/>
        </w:rPr>
        <w:t>房间隔墙拆除、天花及墙面批荡、电路改造、空调管线驳接功能区装修装饰等等</w:t>
      </w:r>
    </w:p>
    <w:p w14:paraId="0A13607A">
      <w:pPr>
        <w:pStyle w:val="200"/>
        <w:spacing w:line="360" w:lineRule="auto"/>
        <w:ind w:firstLine="420"/>
        <w:rPr>
          <w:rFonts w:hint="default"/>
          <w:color w:val="000000" w:themeColor="text1"/>
          <w:sz w:val="21"/>
          <w:szCs w:val="21"/>
        </w:rPr>
      </w:pPr>
      <w:r>
        <w:rPr>
          <w:color w:val="000000" w:themeColor="text1"/>
          <w:sz w:val="21"/>
          <w:szCs w:val="21"/>
        </w:rPr>
        <w:t>资金来源：</w:t>
      </w:r>
      <w:r>
        <w:rPr>
          <w:rFonts w:hint="eastAsia"/>
          <w:color w:val="000000" w:themeColor="text1"/>
          <w:sz w:val="21"/>
          <w:szCs w:val="21"/>
          <w:u w:val="single"/>
        </w:rPr>
        <w:t>财政资金</w:t>
      </w:r>
    </w:p>
    <w:p w14:paraId="2468E40A">
      <w:pPr>
        <w:pStyle w:val="200"/>
        <w:spacing w:line="360" w:lineRule="auto"/>
        <w:ind w:firstLine="422"/>
        <w:rPr>
          <w:rFonts w:hint="default"/>
          <w:color w:val="000000" w:themeColor="text1"/>
          <w:sz w:val="21"/>
          <w:szCs w:val="21"/>
        </w:rPr>
      </w:pPr>
      <w:r>
        <w:rPr>
          <w:b/>
          <w:color w:val="000000" w:themeColor="text1"/>
          <w:sz w:val="21"/>
          <w:szCs w:val="21"/>
        </w:rPr>
        <w:t>二、工程承包范围</w:t>
      </w:r>
    </w:p>
    <w:p w14:paraId="6701248E">
      <w:pPr>
        <w:pStyle w:val="200"/>
        <w:spacing w:line="360" w:lineRule="auto"/>
        <w:ind w:firstLine="420"/>
        <w:rPr>
          <w:rFonts w:hint="default"/>
          <w:color w:val="000000" w:themeColor="text1"/>
          <w:sz w:val="21"/>
          <w:szCs w:val="21"/>
          <w:u w:val="single"/>
        </w:rPr>
      </w:pPr>
      <w:r>
        <w:rPr>
          <w:color w:val="000000" w:themeColor="text1"/>
          <w:sz w:val="21"/>
          <w:szCs w:val="21"/>
        </w:rPr>
        <w:t>承包范围：</w:t>
      </w:r>
      <w:r>
        <w:rPr>
          <w:rFonts w:hint="eastAsia"/>
          <w:color w:val="000000" w:themeColor="text1"/>
          <w:sz w:val="21"/>
          <w:szCs w:val="21"/>
          <w:u w:val="single"/>
          <w:lang w:eastAsia="zh-CN"/>
        </w:rPr>
        <w:t>广东省人民体育场青少年体育后备人才培养单位改造项目</w:t>
      </w:r>
      <w:r>
        <w:rPr>
          <w:color w:val="000000" w:themeColor="text1"/>
          <w:sz w:val="21"/>
          <w:szCs w:val="21"/>
          <w:u w:val="single"/>
        </w:rPr>
        <w:t>，具体工作内容以甲方提供的工程量清单等相关文件为准。</w:t>
      </w:r>
    </w:p>
    <w:p w14:paraId="31E43C05">
      <w:pPr>
        <w:pStyle w:val="200"/>
        <w:spacing w:line="360" w:lineRule="auto"/>
        <w:ind w:firstLine="420"/>
        <w:rPr>
          <w:rFonts w:hint="default"/>
          <w:color w:val="000000" w:themeColor="text1"/>
          <w:sz w:val="21"/>
          <w:szCs w:val="21"/>
          <w:u w:val="single"/>
        </w:rPr>
      </w:pPr>
      <w:r>
        <w:rPr>
          <w:color w:val="000000" w:themeColor="text1"/>
          <w:sz w:val="21"/>
          <w:szCs w:val="21"/>
          <w:u w:val="single"/>
        </w:rPr>
        <w:t>发包人根据工程实施情况，有权对承包人的承包范围及内容进行适当调整，经发包人向承包人发出书面通知后，承包人必须无条件服从。承包人未经发包人书面同意不得擅自变更工程承包范围及内容。</w:t>
      </w:r>
    </w:p>
    <w:p w14:paraId="1BDF5CE4">
      <w:pPr>
        <w:pStyle w:val="200"/>
        <w:spacing w:line="360" w:lineRule="auto"/>
        <w:ind w:firstLine="422"/>
        <w:rPr>
          <w:rFonts w:hint="default"/>
          <w:color w:val="000000" w:themeColor="text1"/>
          <w:sz w:val="21"/>
          <w:szCs w:val="21"/>
        </w:rPr>
      </w:pPr>
      <w:r>
        <w:rPr>
          <w:b/>
          <w:color w:val="000000" w:themeColor="text1"/>
          <w:sz w:val="21"/>
          <w:szCs w:val="21"/>
        </w:rPr>
        <w:t>三、承包方式</w:t>
      </w:r>
    </w:p>
    <w:p w14:paraId="62FB5ED5">
      <w:pPr>
        <w:ind w:firstLine="420" w:firstLineChars="200"/>
        <w:rPr>
          <w:color w:val="000000" w:themeColor="text1"/>
          <w:szCs w:val="21"/>
        </w:rPr>
      </w:pPr>
      <w:bookmarkStart w:id="0" w:name="OLE_LINK3"/>
      <w:r>
        <w:rPr>
          <w:color w:val="000000" w:themeColor="text1"/>
          <w:szCs w:val="21"/>
          <w:u w:val="single"/>
        </w:rPr>
        <w:t>由乙方</w:t>
      </w:r>
      <w:bookmarkEnd w:id="0"/>
      <w:r>
        <w:rPr>
          <w:color w:val="000000" w:themeColor="text1"/>
          <w:szCs w:val="21"/>
          <w:u w:val="single"/>
        </w:rPr>
        <w:t>按照本合同约定范围、工程量清单内容实行工程施工总承包，包括但不限于</w:t>
      </w:r>
      <w:r>
        <w:rPr>
          <w:rFonts w:hint="eastAsia"/>
          <w:color w:val="000000" w:themeColor="text1"/>
          <w:szCs w:val="21"/>
          <w:u w:val="single"/>
        </w:rPr>
        <w:t>包工包料、包机械、包工期、包质量、包安全生产、包文明施工、包环境卫生、包竣工验收、包材料和设备检验及试验、包质保期内工程质量保修、包现场组织和协调、包工程保险等</w:t>
      </w:r>
      <w:r>
        <w:rPr>
          <w:color w:val="000000" w:themeColor="text1"/>
          <w:szCs w:val="21"/>
          <w:u w:val="single"/>
        </w:rPr>
        <w:t>。综合单价包干、项目措施费包干。</w:t>
      </w:r>
    </w:p>
    <w:p w14:paraId="60720092">
      <w:pPr>
        <w:pStyle w:val="200"/>
        <w:spacing w:line="360" w:lineRule="auto"/>
        <w:ind w:firstLine="422"/>
        <w:rPr>
          <w:rFonts w:hint="default"/>
          <w:color w:val="000000" w:themeColor="text1"/>
          <w:sz w:val="21"/>
          <w:szCs w:val="21"/>
        </w:rPr>
      </w:pPr>
      <w:r>
        <w:rPr>
          <w:b/>
          <w:color w:val="000000" w:themeColor="text1"/>
          <w:sz w:val="21"/>
          <w:szCs w:val="21"/>
        </w:rPr>
        <w:t>四、合同工期</w:t>
      </w:r>
    </w:p>
    <w:p w14:paraId="108CD029">
      <w:pPr>
        <w:pStyle w:val="200"/>
        <w:spacing w:line="360" w:lineRule="auto"/>
        <w:ind w:firstLine="420"/>
        <w:rPr>
          <w:rFonts w:hint="default"/>
          <w:color w:val="000000" w:themeColor="text1"/>
          <w:sz w:val="21"/>
          <w:szCs w:val="21"/>
        </w:rPr>
      </w:pPr>
      <w:r>
        <w:rPr>
          <w:color w:val="000000" w:themeColor="text1"/>
          <w:sz w:val="21"/>
          <w:szCs w:val="21"/>
        </w:rPr>
        <w:t>工期：</w:t>
      </w:r>
      <w:r>
        <w:rPr>
          <w:rFonts w:hint="eastAsia"/>
          <w:color w:val="000000" w:themeColor="text1"/>
          <w:sz w:val="21"/>
          <w:szCs w:val="21"/>
          <w:u w:val="single"/>
        </w:rPr>
        <w:t>自合同签订之日起至2026年12月10日完工</w:t>
      </w:r>
    </w:p>
    <w:p w14:paraId="051A76AF">
      <w:pPr>
        <w:pStyle w:val="200"/>
        <w:spacing w:line="360" w:lineRule="auto"/>
        <w:ind w:firstLine="422"/>
        <w:rPr>
          <w:rFonts w:hint="default"/>
          <w:color w:val="000000" w:themeColor="text1"/>
          <w:sz w:val="21"/>
          <w:szCs w:val="21"/>
        </w:rPr>
      </w:pPr>
      <w:r>
        <w:rPr>
          <w:b/>
          <w:color w:val="000000" w:themeColor="text1"/>
          <w:sz w:val="21"/>
          <w:szCs w:val="21"/>
        </w:rPr>
        <w:t>五、质量标准</w:t>
      </w:r>
    </w:p>
    <w:p w14:paraId="6347DD7B">
      <w:pPr>
        <w:pStyle w:val="200"/>
        <w:spacing w:line="360" w:lineRule="auto"/>
        <w:ind w:firstLine="420"/>
        <w:rPr>
          <w:rFonts w:hint="default"/>
          <w:color w:val="000000" w:themeColor="text1"/>
          <w:sz w:val="21"/>
          <w:szCs w:val="21"/>
        </w:rPr>
      </w:pPr>
      <w:r>
        <w:rPr>
          <w:color w:val="000000" w:themeColor="text1"/>
          <w:sz w:val="21"/>
          <w:szCs w:val="21"/>
        </w:rPr>
        <w:t>工程质量标准：</w:t>
      </w:r>
      <w:r>
        <w:rPr>
          <w:color w:val="000000" w:themeColor="text1"/>
          <w:sz w:val="21"/>
          <w:szCs w:val="21"/>
          <w:u w:val="single"/>
        </w:rPr>
        <w:t>工程质量管理按照《建设工程质量管理条例》（2019年修改）执行，验收标准按照国家颁发的《建筑工程施工质量验收统一标准》（GB50300-2013）及国家现行相关专业有关施工质量验收规范的合格标准</w:t>
      </w:r>
      <w:r>
        <w:rPr>
          <w:color w:val="000000" w:themeColor="text1"/>
          <w:sz w:val="21"/>
          <w:szCs w:val="21"/>
        </w:rPr>
        <w:t>。</w:t>
      </w:r>
    </w:p>
    <w:p w14:paraId="5708A394">
      <w:pPr>
        <w:pStyle w:val="200"/>
        <w:spacing w:line="360" w:lineRule="auto"/>
        <w:ind w:firstLine="210"/>
        <w:rPr>
          <w:rFonts w:hint="default"/>
          <w:color w:val="000000" w:themeColor="text1"/>
          <w:sz w:val="21"/>
          <w:szCs w:val="21"/>
          <w:u w:val="single"/>
        </w:rPr>
      </w:pPr>
      <w:r>
        <w:rPr>
          <w:b/>
          <w:color w:val="000000" w:themeColor="text1"/>
          <w:sz w:val="21"/>
          <w:szCs w:val="21"/>
        </w:rPr>
        <w:t>六、合同（报价）价款</w:t>
      </w:r>
    </w:p>
    <w:p w14:paraId="01785430">
      <w:pPr>
        <w:widowControl/>
        <w:ind w:firstLine="420" w:firstLineChars="200"/>
        <w:jc w:val="left"/>
        <w:rPr>
          <w:rFonts w:hint="eastAsia" w:ascii="宋体" w:hAnsi="宋体" w:cs="宋体"/>
          <w:color w:val="000000" w:themeColor="text1"/>
          <w:szCs w:val="21"/>
          <w:u w:val="single"/>
        </w:rPr>
      </w:pPr>
      <w:r>
        <w:rPr>
          <w:rFonts w:hint="eastAsia" w:ascii="宋体" w:hAnsi="宋体" w:cs="宋体"/>
          <w:color w:val="000000" w:themeColor="text1"/>
          <w:szCs w:val="21"/>
        </w:rPr>
        <w:t>金额（大写）：</w:t>
      </w:r>
      <w:r>
        <w:rPr>
          <w:rFonts w:hint="eastAsia" w:ascii="宋体" w:hAnsi="宋体" w:cs="宋体"/>
          <w:color w:val="000000" w:themeColor="text1"/>
          <w:szCs w:val="21"/>
          <w:u w:val="single"/>
        </w:rPr>
        <w:t xml:space="preserve">                   </w:t>
      </w:r>
      <w:r>
        <w:rPr>
          <w:rFonts w:hint="eastAsia" w:ascii="宋体" w:hAnsi="宋体" w:cs="宋体"/>
          <w:color w:val="000000" w:themeColor="text1"/>
          <w:szCs w:val="21"/>
        </w:rPr>
        <w:t>（人民币）￥：</w:t>
      </w:r>
      <w:r>
        <w:rPr>
          <w:rFonts w:hint="eastAsia" w:ascii="宋体" w:hAnsi="宋体" w:cs="宋体"/>
          <w:color w:val="000000" w:themeColor="text1"/>
          <w:kern w:val="0"/>
          <w:szCs w:val="21"/>
          <w:u w:val="single"/>
        </w:rPr>
        <w:t xml:space="preserve">               元</w:t>
      </w:r>
      <w:r>
        <w:rPr>
          <w:rFonts w:hint="eastAsia" w:ascii="宋体" w:hAnsi="宋体" w:cs="宋体"/>
          <w:color w:val="000000" w:themeColor="text1"/>
          <w:kern w:val="0"/>
          <w:szCs w:val="21"/>
        </w:rPr>
        <w:t>。</w:t>
      </w:r>
    </w:p>
    <w:p w14:paraId="00426CBD">
      <w:pPr>
        <w:pStyle w:val="200"/>
        <w:spacing w:line="360" w:lineRule="auto"/>
        <w:ind w:firstLine="420" w:firstLineChars="200"/>
        <w:rPr>
          <w:rFonts w:ascii="宋体" w:hAnsi="宋体" w:cs="宋体"/>
          <w:color w:val="000000" w:themeColor="text1"/>
          <w:sz w:val="21"/>
          <w:szCs w:val="21"/>
        </w:rPr>
      </w:pPr>
      <w:r>
        <w:rPr>
          <w:rFonts w:ascii="宋体" w:hAnsi="宋体" w:cs="宋体"/>
          <w:color w:val="000000" w:themeColor="text1"/>
          <w:sz w:val="21"/>
          <w:szCs w:val="21"/>
        </w:rPr>
        <w:t>其中不含税金额：</w:t>
      </w:r>
      <w:r>
        <w:rPr>
          <w:rFonts w:ascii="宋体" w:hAnsi="宋体" w:cs="宋体"/>
          <w:color w:val="000000" w:themeColor="text1"/>
          <w:sz w:val="21"/>
          <w:szCs w:val="21"/>
          <w:u w:val="single"/>
        </w:rPr>
        <w:t xml:space="preserve">￥               </w:t>
      </w:r>
      <w:r>
        <w:rPr>
          <w:rFonts w:ascii="宋体" w:hAnsi="宋体" w:cs="宋体"/>
          <w:color w:val="000000" w:themeColor="text1"/>
          <w:sz w:val="21"/>
          <w:szCs w:val="21"/>
        </w:rPr>
        <w:t>，税金：</w:t>
      </w:r>
      <w:r>
        <w:rPr>
          <w:rFonts w:ascii="宋体" w:hAnsi="宋体" w:cs="宋体"/>
          <w:color w:val="000000" w:themeColor="text1"/>
          <w:sz w:val="21"/>
          <w:szCs w:val="21"/>
          <w:u w:val="single"/>
        </w:rPr>
        <w:t xml:space="preserve">￥            </w:t>
      </w:r>
      <w:r>
        <w:rPr>
          <w:rFonts w:ascii="宋体" w:hAnsi="宋体" w:cs="宋体"/>
          <w:color w:val="000000" w:themeColor="text1"/>
          <w:sz w:val="21"/>
          <w:szCs w:val="21"/>
        </w:rPr>
        <w:t>。</w:t>
      </w:r>
    </w:p>
    <w:p w14:paraId="0F524417">
      <w:pPr>
        <w:pStyle w:val="200"/>
        <w:spacing w:line="360" w:lineRule="auto"/>
        <w:ind w:firstLine="420"/>
        <w:rPr>
          <w:rFonts w:hint="default"/>
          <w:color w:val="000000" w:themeColor="text1"/>
          <w:sz w:val="21"/>
          <w:szCs w:val="21"/>
        </w:rPr>
      </w:pPr>
      <w:r>
        <w:rPr>
          <w:rFonts w:ascii="宋体" w:hAnsi="宋体" w:cs="宋体"/>
          <w:color w:val="000000" w:themeColor="text1"/>
          <w:sz w:val="21"/>
          <w:szCs w:val="21"/>
          <w:u w:val="single"/>
        </w:rPr>
        <w:t>其中：安全生产措施费为￥         元；暂列金额为￥                元。</w:t>
      </w:r>
    </w:p>
    <w:p w14:paraId="620AD286">
      <w:pPr>
        <w:pStyle w:val="200"/>
        <w:spacing w:line="360" w:lineRule="auto"/>
        <w:ind w:firstLine="422"/>
        <w:rPr>
          <w:rFonts w:hint="default"/>
          <w:color w:val="000000" w:themeColor="text1"/>
          <w:sz w:val="21"/>
          <w:szCs w:val="21"/>
        </w:rPr>
      </w:pPr>
      <w:r>
        <w:rPr>
          <w:b/>
          <w:color w:val="000000" w:themeColor="text1"/>
          <w:sz w:val="21"/>
          <w:szCs w:val="21"/>
        </w:rPr>
        <w:t>七、组成合同的文件</w:t>
      </w:r>
    </w:p>
    <w:p w14:paraId="543B3A8A">
      <w:pPr>
        <w:pStyle w:val="200"/>
        <w:spacing w:line="360" w:lineRule="auto"/>
        <w:ind w:firstLine="420"/>
        <w:rPr>
          <w:rFonts w:hint="default"/>
          <w:color w:val="000000" w:themeColor="text1"/>
          <w:sz w:val="21"/>
          <w:szCs w:val="21"/>
        </w:rPr>
      </w:pPr>
      <w:r>
        <w:rPr>
          <w:color w:val="000000" w:themeColor="text1"/>
          <w:sz w:val="21"/>
          <w:szCs w:val="21"/>
        </w:rPr>
        <w:t>组成本合同的文件包括：（使用及解释顺序按照专用条款规定）</w:t>
      </w:r>
    </w:p>
    <w:p w14:paraId="7F41B47E">
      <w:pPr>
        <w:pStyle w:val="200"/>
        <w:spacing w:line="360" w:lineRule="auto"/>
        <w:ind w:firstLine="739"/>
        <w:rPr>
          <w:rFonts w:hint="default"/>
          <w:color w:val="000000" w:themeColor="text1"/>
          <w:sz w:val="21"/>
          <w:szCs w:val="21"/>
        </w:rPr>
      </w:pPr>
      <w:r>
        <w:rPr>
          <w:color w:val="000000" w:themeColor="text1"/>
          <w:sz w:val="21"/>
          <w:szCs w:val="21"/>
        </w:rPr>
        <w:t>1.本合同协议书</w:t>
      </w:r>
    </w:p>
    <w:p w14:paraId="16B6495A">
      <w:pPr>
        <w:pStyle w:val="200"/>
        <w:spacing w:line="360" w:lineRule="auto"/>
        <w:ind w:firstLine="739"/>
        <w:rPr>
          <w:rFonts w:hint="default"/>
          <w:color w:val="000000" w:themeColor="text1"/>
          <w:sz w:val="21"/>
          <w:szCs w:val="21"/>
        </w:rPr>
      </w:pPr>
      <w:r>
        <w:rPr>
          <w:color w:val="000000" w:themeColor="text1"/>
          <w:sz w:val="21"/>
          <w:szCs w:val="21"/>
        </w:rPr>
        <w:t>2.中标通知书</w:t>
      </w:r>
    </w:p>
    <w:p w14:paraId="6A28B3AC">
      <w:pPr>
        <w:pStyle w:val="200"/>
        <w:spacing w:line="360" w:lineRule="auto"/>
        <w:ind w:firstLine="739"/>
        <w:rPr>
          <w:rFonts w:hint="default"/>
          <w:color w:val="000000" w:themeColor="text1"/>
          <w:sz w:val="21"/>
          <w:szCs w:val="21"/>
        </w:rPr>
      </w:pPr>
      <w:r>
        <w:rPr>
          <w:color w:val="000000" w:themeColor="text1"/>
          <w:sz w:val="21"/>
          <w:szCs w:val="21"/>
        </w:rPr>
        <w:t>3.乙方响应文件及其附件（含评审过程中的澄清文件和补充资料）</w:t>
      </w:r>
    </w:p>
    <w:p w14:paraId="3681AD3E">
      <w:pPr>
        <w:pStyle w:val="200"/>
        <w:spacing w:line="360" w:lineRule="auto"/>
        <w:ind w:firstLine="739"/>
        <w:rPr>
          <w:rFonts w:hint="default"/>
          <w:color w:val="000000" w:themeColor="text1"/>
          <w:sz w:val="21"/>
          <w:szCs w:val="21"/>
        </w:rPr>
      </w:pPr>
      <w:r>
        <w:rPr>
          <w:color w:val="000000" w:themeColor="text1"/>
          <w:sz w:val="21"/>
          <w:szCs w:val="21"/>
        </w:rPr>
        <w:t>4.竞争性磋商文件（含竞争性磋商文件澄清、修改或补充文件）</w:t>
      </w:r>
    </w:p>
    <w:p w14:paraId="27E0029C">
      <w:pPr>
        <w:pStyle w:val="200"/>
        <w:spacing w:line="360" w:lineRule="auto"/>
        <w:ind w:firstLine="739"/>
        <w:rPr>
          <w:rFonts w:hint="default"/>
          <w:color w:val="000000" w:themeColor="text1"/>
          <w:sz w:val="21"/>
          <w:szCs w:val="21"/>
        </w:rPr>
      </w:pPr>
      <w:r>
        <w:rPr>
          <w:color w:val="000000" w:themeColor="text1"/>
          <w:sz w:val="21"/>
          <w:szCs w:val="21"/>
        </w:rPr>
        <w:t>5.本合同专用条款；本合同通用条款</w:t>
      </w:r>
    </w:p>
    <w:p w14:paraId="57D0E167">
      <w:pPr>
        <w:pStyle w:val="200"/>
        <w:spacing w:line="360" w:lineRule="auto"/>
        <w:ind w:firstLine="739"/>
        <w:rPr>
          <w:rFonts w:hint="default"/>
          <w:color w:val="000000" w:themeColor="text1"/>
          <w:sz w:val="21"/>
          <w:szCs w:val="21"/>
        </w:rPr>
      </w:pPr>
      <w:r>
        <w:rPr>
          <w:color w:val="000000" w:themeColor="text1"/>
          <w:sz w:val="21"/>
          <w:szCs w:val="21"/>
        </w:rPr>
        <w:t>6.洽商、变更等明确双方权利义务的纪要、协议</w:t>
      </w:r>
    </w:p>
    <w:p w14:paraId="0364183E">
      <w:pPr>
        <w:pStyle w:val="200"/>
        <w:spacing w:line="360" w:lineRule="auto"/>
        <w:ind w:firstLine="739"/>
        <w:rPr>
          <w:rFonts w:hint="default"/>
          <w:color w:val="000000" w:themeColor="text1"/>
          <w:sz w:val="21"/>
          <w:szCs w:val="21"/>
        </w:rPr>
      </w:pPr>
      <w:r>
        <w:rPr>
          <w:color w:val="000000" w:themeColor="text1"/>
          <w:sz w:val="21"/>
          <w:szCs w:val="21"/>
        </w:rPr>
        <w:t>7.标准、规范和其他有关技术文件资料、技术要求</w:t>
      </w:r>
    </w:p>
    <w:p w14:paraId="3202C49D">
      <w:pPr>
        <w:pStyle w:val="200"/>
        <w:spacing w:line="360" w:lineRule="auto"/>
        <w:ind w:firstLine="739"/>
        <w:rPr>
          <w:rFonts w:hint="default"/>
          <w:color w:val="000000" w:themeColor="text1"/>
          <w:sz w:val="21"/>
          <w:szCs w:val="21"/>
        </w:rPr>
      </w:pPr>
      <w:r>
        <w:rPr>
          <w:color w:val="000000" w:themeColor="text1"/>
          <w:sz w:val="21"/>
          <w:szCs w:val="21"/>
        </w:rPr>
        <w:t>8.工程量清单或双方确认的预算书及报价书、例会记录、审定的施工方案等。</w:t>
      </w:r>
    </w:p>
    <w:p w14:paraId="2F3D7674">
      <w:pPr>
        <w:pStyle w:val="200"/>
        <w:spacing w:line="360" w:lineRule="auto"/>
        <w:ind w:firstLine="422"/>
        <w:rPr>
          <w:rFonts w:hint="default"/>
          <w:color w:val="000000" w:themeColor="text1"/>
          <w:sz w:val="21"/>
          <w:szCs w:val="21"/>
        </w:rPr>
      </w:pPr>
      <w:r>
        <w:rPr>
          <w:b/>
          <w:color w:val="000000" w:themeColor="text1"/>
          <w:sz w:val="21"/>
          <w:szCs w:val="21"/>
        </w:rPr>
        <w:t>八、本协议书中有关词语含义与本合同《通用条款》《专用条款》中分别赋予它们的定义相同。本合同《通用条款》约定的内容与《专用条款》约定的内容相冲突时，以《专用条款》所约定的内容为准。本合同《通用条款》和《专用条款》约定的内容与双方共同签署的本合同补充与修正文件所约定的内容相冲突时，以双方共同签署的本合同补充与修正文件所约定的内容为准。补充与修正文件不得背离招标响应文件、本协议书及合同的实质性内容，否则补充及修改内容无效。</w:t>
      </w:r>
    </w:p>
    <w:p w14:paraId="63F61B8D">
      <w:pPr>
        <w:pStyle w:val="200"/>
        <w:spacing w:line="360" w:lineRule="auto"/>
        <w:ind w:firstLine="422"/>
        <w:rPr>
          <w:rFonts w:hint="default"/>
          <w:color w:val="000000" w:themeColor="text1"/>
          <w:sz w:val="21"/>
          <w:szCs w:val="21"/>
        </w:rPr>
      </w:pPr>
      <w:r>
        <w:rPr>
          <w:b/>
          <w:color w:val="000000" w:themeColor="text1"/>
          <w:sz w:val="21"/>
          <w:szCs w:val="21"/>
        </w:rPr>
        <w:t>九、乙方向甲方承诺按照合同约定进行施工、竣工并在质量保修期内承担工程质量保修责任。</w:t>
      </w:r>
    </w:p>
    <w:p w14:paraId="738BE123">
      <w:pPr>
        <w:pStyle w:val="200"/>
        <w:spacing w:line="360" w:lineRule="auto"/>
        <w:ind w:firstLine="422"/>
        <w:rPr>
          <w:rFonts w:hint="default"/>
          <w:color w:val="000000" w:themeColor="text1"/>
          <w:sz w:val="21"/>
          <w:szCs w:val="21"/>
        </w:rPr>
      </w:pPr>
      <w:r>
        <w:rPr>
          <w:b/>
          <w:color w:val="000000" w:themeColor="text1"/>
          <w:sz w:val="21"/>
          <w:szCs w:val="21"/>
        </w:rPr>
        <w:t>十、甲方向乙方承诺按照合同约定的期限和方式支付合同价款及其他应当支付的款项。</w:t>
      </w:r>
    </w:p>
    <w:p w14:paraId="5848F1A7">
      <w:pPr>
        <w:pStyle w:val="200"/>
        <w:spacing w:line="360" w:lineRule="auto"/>
        <w:ind w:firstLine="422"/>
        <w:rPr>
          <w:rFonts w:hint="default"/>
          <w:color w:val="000000" w:themeColor="text1"/>
          <w:sz w:val="21"/>
          <w:szCs w:val="21"/>
        </w:rPr>
      </w:pPr>
      <w:r>
        <w:rPr>
          <w:b/>
          <w:color w:val="000000" w:themeColor="text1"/>
          <w:sz w:val="21"/>
          <w:szCs w:val="21"/>
        </w:rPr>
        <w:t>十一、合同生效</w:t>
      </w:r>
    </w:p>
    <w:p w14:paraId="016B69EA">
      <w:pPr>
        <w:pStyle w:val="200"/>
        <w:spacing w:line="360" w:lineRule="auto"/>
        <w:ind w:firstLine="420"/>
        <w:rPr>
          <w:rFonts w:hint="default"/>
          <w:color w:val="000000" w:themeColor="text1"/>
          <w:sz w:val="21"/>
          <w:szCs w:val="21"/>
        </w:rPr>
      </w:pPr>
      <w:r>
        <w:rPr>
          <w:color w:val="000000" w:themeColor="text1"/>
          <w:sz w:val="21"/>
          <w:szCs w:val="21"/>
        </w:rPr>
        <w:t>合同订立时间：</w:t>
      </w:r>
      <w:r>
        <w:rPr>
          <w:color w:val="000000" w:themeColor="text1"/>
          <w:sz w:val="21"/>
          <w:szCs w:val="21"/>
          <w:u w:val="single"/>
        </w:rPr>
        <w:t>2026</w:t>
      </w:r>
      <w:r>
        <w:rPr>
          <w:color w:val="000000" w:themeColor="text1"/>
          <w:sz w:val="21"/>
          <w:szCs w:val="21"/>
        </w:rPr>
        <w:t>年  月  日</w:t>
      </w:r>
    </w:p>
    <w:p w14:paraId="10CAEC1C">
      <w:pPr>
        <w:pStyle w:val="200"/>
        <w:spacing w:line="360" w:lineRule="auto"/>
        <w:ind w:firstLine="420"/>
        <w:rPr>
          <w:rFonts w:hint="eastAsia" w:eastAsia="宋体"/>
          <w:color w:val="000000" w:themeColor="text1"/>
          <w:sz w:val="21"/>
          <w:szCs w:val="21"/>
          <w:lang w:eastAsia="zh-CN"/>
        </w:rPr>
      </w:pPr>
      <w:r>
        <w:rPr>
          <w:color w:val="000000" w:themeColor="text1"/>
          <w:sz w:val="21"/>
          <w:szCs w:val="21"/>
        </w:rPr>
        <w:t>合同订立地点：</w:t>
      </w:r>
      <w:r>
        <w:rPr>
          <w:rFonts w:hint="eastAsia"/>
          <w:color w:val="000000" w:themeColor="text1"/>
          <w:sz w:val="21"/>
          <w:szCs w:val="21"/>
          <w:u w:val="single"/>
        </w:rPr>
        <w:t>广州市越秀区较场西路18号</w:t>
      </w:r>
      <w:r>
        <w:rPr>
          <w:rFonts w:hint="eastAsia"/>
          <w:color w:val="000000" w:themeColor="text1"/>
          <w:sz w:val="21"/>
          <w:szCs w:val="21"/>
          <w:u w:val="single"/>
          <w:lang w:eastAsia="zh-CN"/>
        </w:rPr>
        <w:t>广东省人民体育场</w:t>
      </w:r>
    </w:p>
    <w:p w14:paraId="53D0A731">
      <w:pPr>
        <w:pStyle w:val="200"/>
        <w:spacing w:line="360" w:lineRule="auto"/>
        <w:ind w:firstLine="420"/>
        <w:rPr>
          <w:rFonts w:hint="default"/>
          <w:color w:val="000000" w:themeColor="text1"/>
          <w:sz w:val="21"/>
          <w:szCs w:val="21"/>
        </w:rPr>
      </w:pPr>
      <w:r>
        <w:rPr>
          <w:color w:val="000000" w:themeColor="text1"/>
          <w:sz w:val="21"/>
          <w:szCs w:val="21"/>
        </w:rPr>
        <w:t>本合同双方约定：</w:t>
      </w:r>
      <w:r>
        <w:rPr>
          <w:color w:val="000000" w:themeColor="text1"/>
          <w:sz w:val="21"/>
          <w:szCs w:val="21"/>
          <w:u w:val="single"/>
        </w:rPr>
        <w:t>双方签字盖章</w:t>
      </w:r>
      <w:r>
        <w:rPr>
          <w:color w:val="000000" w:themeColor="text1"/>
          <w:sz w:val="21"/>
          <w:szCs w:val="21"/>
        </w:rPr>
        <w:t>后生效。</w:t>
      </w:r>
    </w:p>
    <w:tbl>
      <w:tblPr>
        <w:tblStyle w:val="49"/>
        <w:tblW w:w="0" w:type="auto"/>
        <w:tblInd w:w="13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16"/>
        <w:gridCol w:w="471"/>
        <w:gridCol w:w="3605"/>
      </w:tblGrid>
      <w:tr w14:paraId="040F34B6">
        <w:tblPrEx>
          <w:tblCellMar>
            <w:top w:w="0" w:type="dxa"/>
            <w:left w:w="108" w:type="dxa"/>
            <w:bottom w:w="0" w:type="dxa"/>
            <w:right w:w="108" w:type="dxa"/>
          </w:tblCellMar>
        </w:tblPrEx>
        <w:tc>
          <w:tcPr>
            <w:tcW w:w="4216"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vAlign w:val="center"/>
          </w:tcPr>
          <w:p w14:paraId="06AAF0E9">
            <w:pPr>
              <w:pStyle w:val="200"/>
              <w:spacing w:line="360" w:lineRule="auto"/>
              <w:ind w:firstLine="739"/>
              <w:jc w:val="both"/>
              <w:rPr>
                <w:rFonts w:hint="eastAsia" w:eastAsia="宋体"/>
                <w:color w:val="000000" w:themeColor="text1"/>
                <w:sz w:val="21"/>
                <w:szCs w:val="21"/>
                <w:lang w:eastAsia="zh-CN"/>
              </w:rPr>
            </w:pPr>
            <w:r>
              <w:rPr>
                <w:color w:val="000000" w:themeColor="text1"/>
                <w:sz w:val="21"/>
                <w:szCs w:val="21"/>
              </w:rPr>
              <w:t>甲方：</w:t>
            </w:r>
            <w:r>
              <w:rPr>
                <w:rFonts w:hint="eastAsia"/>
                <w:color w:val="000000" w:themeColor="text1"/>
                <w:sz w:val="21"/>
                <w:szCs w:val="21"/>
                <w:lang w:eastAsia="zh-CN"/>
              </w:rPr>
              <w:t>广东省人民体育场</w:t>
            </w:r>
          </w:p>
        </w:tc>
        <w:tc>
          <w:tcPr>
            <w:tcW w:w="471"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66E8DE3A">
            <w:pPr>
              <w:pStyle w:val="200"/>
              <w:spacing w:line="360" w:lineRule="auto"/>
              <w:ind w:firstLine="739"/>
              <w:rPr>
                <w:rFonts w:hint="default"/>
                <w:color w:val="000000" w:themeColor="text1"/>
                <w:sz w:val="21"/>
                <w:szCs w:val="21"/>
              </w:rPr>
            </w:pPr>
          </w:p>
        </w:tc>
        <w:tc>
          <w:tcPr>
            <w:tcW w:w="3605"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0EA25122">
            <w:pPr>
              <w:pStyle w:val="200"/>
              <w:spacing w:line="360" w:lineRule="auto"/>
              <w:rPr>
                <w:rFonts w:hint="default"/>
                <w:color w:val="000000" w:themeColor="text1"/>
                <w:sz w:val="21"/>
                <w:szCs w:val="21"/>
              </w:rPr>
            </w:pPr>
            <w:r>
              <w:rPr>
                <w:color w:val="000000" w:themeColor="text1"/>
                <w:sz w:val="21"/>
                <w:szCs w:val="21"/>
              </w:rPr>
              <w:t xml:space="preserve">乙方： </w:t>
            </w:r>
          </w:p>
        </w:tc>
      </w:tr>
      <w:tr w14:paraId="0890BA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216"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vAlign w:val="center"/>
          </w:tcPr>
          <w:p w14:paraId="5665D5CD">
            <w:pPr>
              <w:pStyle w:val="200"/>
              <w:spacing w:line="360" w:lineRule="auto"/>
              <w:ind w:firstLine="739"/>
              <w:jc w:val="both"/>
              <w:rPr>
                <w:rFonts w:hint="default"/>
                <w:color w:val="000000" w:themeColor="text1"/>
                <w:sz w:val="21"/>
                <w:szCs w:val="21"/>
              </w:rPr>
            </w:pPr>
            <w:r>
              <w:rPr>
                <w:color w:val="000000" w:themeColor="text1"/>
                <w:sz w:val="21"/>
                <w:szCs w:val="21"/>
              </w:rPr>
              <w:t>住所：</w:t>
            </w:r>
            <w:r>
              <w:rPr>
                <w:rFonts w:hint="eastAsia"/>
                <w:color w:val="000000" w:themeColor="text1"/>
                <w:sz w:val="21"/>
                <w:szCs w:val="21"/>
              </w:rPr>
              <w:t>广州市越秀区较场西路18号</w:t>
            </w:r>
          </w:p>
        </w:tc>
        <w:tc>
          <w:tcPr>
            <w:tcW w:w="471"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1BC7EF58">
            <w:pPr>
              <w:pStyle w:val="200"/>
              <w:spacing w:line="360" w:lineRule="auto"/>
              <w:ind w:firstLine="739"/>
              <w:rPr>
                <w:rFonts w:hint="default"/>
                <w:color w:val="000000" w:themeColor="text1"/>
                <w:sz w:val="21"/>
                <w:szCs w:val="21"/>
              </w:rPr>
            </w:pPr>
          </w:p>
        </w:tc>
        <w:tc>
          <w:tcPr>
            <w:tcW w:w="3605"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6035BC96">
            <w:pPr>
              <w:pStyle w:val="200"/>
              <w:spacing w:line="360" w:lineRule="auto"/>
              <w:rPr>
                <w:rFonts w:hint="default"/>
                <w:color w:val="000000" w:themeColor="text1"/>
                <w:sz w:val="21"/>
                <w:szCs w:val="21"/>
              </w:rPr>
            </w:pPr>
            <w:r>
              <w:rPr>
                <w:color w:val="000000" w:themeColor="text1"/>
                <w:sz w:val="21"/>
                <w:szCs w:val="21"/>
              </w:rPr>
              <w:t xml:space="preserve">住所： </w:t>
            </w:r>
          </w:p>
        </w:tc>
      </w:tr>
      <w:tr w14:paraId="054F02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216"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vAlign w:val="center"/>
          </w:tcPr>
          <w:p w14:paraId="334EE16B">
            <w:pPr>
              <w:pStyle w:val="200"/>
              <w:spacing w:line="360" w:lineRule="auto"/>
              <w:ind w:firstLine="739"/>
              <w:jc w:val="both"/>
              <w:rPr>
                <w:rFonts w:hint="default"/>
                <w:color w:val="000000" w:themeColor="text1"/>
                <w:sz w:val="21"/>
                <w:szCs w:val="21"/>
              </w:rPr>
            </w:pPr>
            <w:r>
              <w:rPr>
                <w:color w:val="000000" w:themeColor="text1"/>
                <w:sz w:val="21"/>
                <w:szCs w:val="21"/>
              </w:rPr>
              <w:t>法定代表人：</w:t>
            </w:r>
          </w:p>
        </w:tc>
        <w:tc>
          <w:tcPr>
            <w:tcW w:w="471"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742A8C73">
            <w:pPr>
              <w:pStyle w:val="200"/>
              <w:spacing w:line="360" w:lineRule="auto"/>
              <w:ind w:firstLine="739"/>
              <w:rPr>
                <w:rFonts w:hint="default"/>
                <w:color w:val="000000" w:themeColor="text1"/>
                <w:sz w:val="21"/>
                <w:szCs w:val="21"/>
              </w:rPr>
            </w:pPr>
          </w:p>
        </w:tc>
        <w:tc>
          <w:tcPr>
            <w:tcW w:w="3605"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1F5B1C07">
            <w:pPr>
              <w:pStyle w:val="200"/>
              <w:spacing w:line="360" w:lineRule="auto"/>
              <w:rPr>
                <w:rFonts w:hint="default"/>
                <w:color w:val="000000" w:themeColor="text1"/>
                <w:sz w:val="21"/>
                <w:szCs w:val="21"/>
              </w:rPr>
            </w:pPr>
            <w:r>
              <w:rPr>
                <w:color w:val="000000" w:themeColor="text1"/>
                <w:sz w:val="21"/>
                <w:szCs w:val="21"/>
              </w:rPr>
              <w:t>法定代表人：</w:t>
            </w:r>
          </w:p>
        </w:tc>
      </w:tr>
      <w:tr w14:paraId="1E1A70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216"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vAlign w:val="center"/>
          </w:tcPr>
          <w:p w14:paraId="4330E5EA">
            <w:pPr>
              <w:pStyle w:val="200"/>
              <w:spacing w:line="360" w:lineRule="auto"/>
              <w:ind w:firstLine="739"/>
              <w:jc w:val="both"/>
              <w:rPr>
                <w:rFonts w:hint="default"/>
                <w:color w:val="000000" w:themeColor="text1"/>
                <w:sz w:val="21"/>
                <w:szCs w:val="21"/>
              </w:rPr>
            </w:pPr>
            <w:r>
              <w:rPr>
                <w:color w:val="000000" w:themeColor="text1"/>
                <w:sz w:val="21"/>
                <w:szCs w:val="21"/>
              </w:rPr>
              <w:t>委托代理人：</w:t>
            </w:r>
          </w:p>
        </w:tc>
        <w:tc>
          <w:tcPr>
            <w:tcW w:w="471"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45F12058">
            <w:pPr>
              <w:pStyle w:val="200"/>
              <w:spacing w:line="360" w:lineRule="auto"/>
              <w:ind w:firstLine="739"/>
              <w:rPr>
                <w:rFonts w:hint="default"/>
                <w:color w:val="000000" w:themeColor="text1"/>
                <w:sz w:val="21"/>
                <w:szCs w:val="21"/>
              </w:rPr>
            </w:pPr>
          </w:p>
        </w:tc>
        <w:tc>
          <w:tcPr>
            <w:tcW w:w="3605"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4E729DBE">
            <w:pPr>
              <w:pStyle w:val="200"/>
              <w:spacing w:line="360" w:lineRule="auto"/>
              <w:rPr>
                <w:rFonts w:hint="default"/>
                <w:color w:val="000000" w:themeColor="text1"/>
                <w:sz w:val="21"/>
                <w:szCs w:val="21"/>
              </w:rPr>
            </w:pPr>
            <w:r>
              <w:rPr>
                <w:color w:val="000000" w:themeColor="text1"/>
                <w:sz w:val="21"/>
                <w:szCs w:val="21"/>
              </w:rPr>
              <w:t>委托代理人：</w:t>
            </w:r>
          </w:p>
        </w:tc>
      </w:tr>
      <w:tr w14:paraId="239BF9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216"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vAlign w:val="center"/>
          </w:tcPr>
          <w:p w14:paraId="77621B00">
            <w:pPr>
              <w:pStyle w:val="200"/>
              <w:spacing w:line="360" w:lineRule="auto"/>
              <w:ind w:firstLine="739"/>
              <w:jc w:val="both"/>
              <w:rPr>
                <w:rFonts w:hint="default"/>
                <w:color w:val="000000" w:themeColor="text1"/>
                <w:sz w:val="21"/>
                <w:szCs w:val="21"/>
              </w:rPr>
            </w:pPr>
            <w:r>
              <w:rPr>
                <w:color w:val="000000" w:themeColor="text1"/>
                <w:sz w:val="21"/>
                <w:szCs w:val="21"/>
              </w:rPr>
              <w:t>电话：</w:t>
            </w:r>
            <w:r>
              <w:rPr>
                <w:color w:val="FF0000"/>
              </w:rPr>
              <w:t>020-</w:t>
            </w:r>
            <w:r>
              <w:rPr>
                <w:rFonts w:hint="eastAsia"/>
                <w:color w:val="FF0000"/>
                <w:lang w:val="en-US" w:eastAsia="zh-CN"/>
              </w:rPr>
              <w:t>83803327</w:t>
            </w:r>
          </w:p>
        </w:tc>
        <w:tc>
          <w:tcPr>
            <w:tcW w:w="471"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09B2D400">
            <w:pPr>
              <w:pStyle w:val="200"/>
              <w:spacing w:line="360" w:lineRule="auto"/>
              <w:ind w:firstLine="739"/>
              <w:rPr>
                <w:rFonts w:hint="default"/>
                <w:color w:val="000000" w:themeColor="text1"/>
                <w:sz w:val="21"/>
                <w:szCs w:val="21"/>
              </w:rPr>
            </w:pPr>
          </w:p>
        </w:tc>
        <w:tc>
          <w:tcPr>
            <w:tcW w:w="3605"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2C7BC75D">
            <w:pPr>
              <w:pStyle w:val="200"/>
              <w:spacing w:line="360" w:lineRule="auto"/>
              <w:rPr>
                <w:rFonts w:hint="default"/>
                <w:color w:val="000000" w:themeColor="text1"/>
                <w:sz w:val="21"/>
                <w:szCs w:val="21"/>
              </w:rPr>
            </w:pPr>
            <w:r>
              <w:rPr>
                <w:color w:val="000000" w:themeColor="text1"/>
                <w:sz w:val="21"/>
                <w:szCs w:val="21"/>
              </w:rPr>
              <w:t xml:space="preserve">电话:  </w:t>
            </w:r>
          </w:p>
        </w:tc>
      </w:tr>
      <w:tr w14:paraId="0A3DD1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216"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vAlign w:val="center"/>
          </w:tcPr>
          <w:p w14:paraId="31C25E7C">
            <w:pPr>
              <w:pStyle w:val="200"/>
              <w:spacing w:line="360" w:lineRule="auto"/>
              <w:ind w:firstLine="739"/>
              <w:jc w:val="both"/>
              <w:rPr>
                <w:rFonts w:hint="default"/>
                <w:color w:val="000000" w:themeColor="text1"/>
                <w:sz w:val="21"/>
                <w:szCs w:val="21"/>
              </w:rPr>
            </w:pPr>
            <w:r>
              <w:rPr>
                <w:color w:val="000000" w:themeColor="text1"/>
                <w:sz w:val="21"/>
                <w:szCs w:val="21"/>
              </w:rPr>
              <w:t>开户银行：</w:t>
            </w:r>
          </w:p>
        </w:tc>
        <w:tc>
          <w:tcPr>
            <w:tcW w:w="471"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08AF8BF9">
            <w:pPr>
              <w:pStyle w:val="200"/>
              <w:spacing w:line="360" w:lineRule="auto"/>
              <w:ind w:firstLine="739"/>
              <w:rPr>
                <w:rFonts w:hint="default"/>
                <w:color w:val="000000" w:themeColor="text1"/>
                <w:sz w:val="21"/>
                <w:szCs w:val="21"/>
              </w:rPr>
            </w:pPr>
          </w:p>
        </w:tc>
        <w:tc>
          <w:tcPr>
            <w:tcW w:w="3605"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51998987">
            <w:pPr>
              <w:pStyle w:val="200"/>
              <w:spacing w:line="360" w:lineRule="auto"/>
              <w:rPr>
                <w:rFonts w:hint="default"/>
                <w:color w:val="000000" w:themeColor="text1"/>
                <w:sz w:val="21"/>
                <w:szCs w:val="21"/>
              </w:rPr>
            </w:pPr>
            <w:r>
              <w:rPr>
                <w:color w:val="000000" w:themeColor="text1"/>
                <w:sz w:val="21"/>
                <w:szCs w:val="21"/>
              </w:rPr>
              <w:t xml:space="preserve">开户银行： </w:t>
            </w:r>
          </w:p>
        </w:tc>
      </w:tr>
      <w:tr w14:paraId="353ABB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216"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vAlign w:val="center"/>
          </w:tcPr>
          <w:p w14:paraId="008C33E9">
            <w:pPr>
              <w:pStyle w:val="200"/>
              <w:spacing w:line="360" w:lineRule="auto"/>
              <w:ind w:firstLine="739"/>
              <w:jc w:val="both"/>
              <w:rPr>
                <w:rFonts w:hint="default"/>
                <w:color w:val="000000" w:themeColor="text1"/>
                <w:sz w:val="21"/>
                <w:szCs w:val="21"/>
              </w:rPr>
            </w:pPr>
            <w:r>
              <w:rPr>
                <w:color w:val="000000" w:themeColor="text1"/>
                <w:sz w:val="21"/>
                <w:szCs w:val="21"/>
              </w:rPr>
              <w:t>账号：</w:t>
            </w:r>
          </w:p>
        </w:tc>
        <w:tc>
          <w:tcPr>
            <w:tcW w:w="471"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1DB0141D">
            <w:pPr>
              <w:pStyle w:val="200"/>
              <w:spacing w:line="360" w:lineRule="auto"/>
              <w:ind w:firstLine="739"/>
              <w:rPr>
                <w:rFonts w:hint="default"/>
                <w:color w:val="000000" w:themeColor="text1"/>
                <w:sz w:val="21"/>
                <w:szCs w:val="21"/>
              </w:rPr>
            </w:pPr>
          </w:p>
        </w:tc>
        <w:tc>
          <w:tcPr>
            <w:tcW w:w="3605"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0700654C">
            <w:pPr>
              <w:pStyle w:val="200"/>
              <w:spacing w:line="360" w:lineRule="auto"/>
              <w:rPr>
                <w:rFonts w:hint="default"/>
                <w:color w:val="000000" w:themeColor="text1"/>
                <w:sz w:val="21"/>
                <w:szCs w:val="21"/>
              </w:rPr>
            </w:pPr>
            <w:r>
              <w:rPr>
                <w:color w:val="000000" w:themeColor="text1"/>
                <w:sz w:val="21"/>
                <w:szCs w:val="21"/>
              </w:rPr>
              <w:t xml:space="preserve">账号： </w:t>
            </w:r>
          </w:p>
        </w:tc>
      </w:tr>
      <w:tr w14:paraId="035598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216"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vAlign w:val="center"/>
          </w:tcPr>
          <w:p w14:paraId="29394B54">
            <w:pPr>
              <w:pStyle w:val="200"/>
              <w:spacing w:line="360" w:lineRule="auto"/>
              <w:ind w:firstLine="739"/>
              <w:jc w:val="both"/>
              <w:rPr>
                <w:rFonts w:hint="default"/>
                <w:color w:val="000000" w:themeColor="text1"/>
                <w:sz w:val="21"/>
                <w:szCs w:val="21"/>
              </w:rPr>
            </w:pPr>
            <w:r>
              <w:rPr>
                <w:color w:val="000000" w:themeColor="text1"/>
                <w:sz w:val="21"/>
                <w:szCs w:val="21"/>
              </w:rPr>
              <w:t>邮政编码：</w:t>
            </w:r>
          </w:p>
        </w:tc>
        <w:tc>
          <w:tcPr>
            <w:tcW w:w="471"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160B9B77">
            <w:pPr>
              <w:pStyle w:val="200"/>
              <w:spacing w:line="360" w:lineRule="auto"/>
              <w:ind w:firstLine="739"/>
              <w:rPr>
                <w:rFonts w:hint="default"/>
                <w:color w:val="000000" w:themeColor="text1"/>
                <w:sz w:val="21"/>
                <w:szCs w:val="21"/>
              </w:rPr>
            </w:pPr>
          </w:p>
        </w:tc>
        <w:tc>
          <w:tcPr>
            <w:tcW w:w="3605"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5657DA11">
            <w:pPr>
              <w:pStyle w:val="200"/>
              <w:spacing w:line="360" w:lineRule="auto"/>
              <w:rPr>
                <w:rFonts w:hint="default"/>
                <w:color w:val="000000" w:themeColor="text1"/>
                <w:sz w:val="21"/>
                <w:szCs w:val="21"/>
              </w:rPr>
            </w:pPr>
            <w:r>
              <w:rPr>
                <w:color w:val="000000" w:themeColor="text1"/>
                <w:sz w:val="21"/>
                <w:szCs w:val="21"/>
              </w:rPr>
              <w:t>邮政编码：</w:t>
            </w:r>
          </w:p>
        </w:tc>
      </w:tr>
      <w:tr w14:paraId="080CA7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216"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vAlign w:val="center"/>
          </w:tcPr>
          <w:p w14:paraId="05C29282">
            <w:pPr>
              <w:pStyle w:val="200"/>
              <w:spacing w:line="360" w:lineRule="auto"/>
              <w:ind w:firstLine="739"/>
              <w:jc w:val="both"/>
              <w:rPr>
                <w:rFonts w:hint="default"/>
                <w:color w:val="000000" w:themeColor="text1"/>
                <w:sz w:val="21"/>
                <w:szCs w:val="21"/>
              </w:rPr>
            </w:pPr>
            <w:r>
              <w:rPr>
                <w:color w:val="000000" w:themeColor="text1"/>
                <w:sz w:val="21"/>
                <w:szCs w:val="21"/>
              </w:rPr>
              <w:t>统一社会信用代码：</w:t>
            </w:r>
          </w:p>
        </w:tc>
        <w:tc>
          <w:tcPr>
            <w:tcW w:w="471"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147B4897">
            <w:pPr>
              <w:pStyle w:val="200"/>
              <w:spacing w:line="360" w:lineRule="auto"/>
              <w:ind w:firstLine="739"/>
              <w:rPr>
                <w:rFonts w:hint="default"/>
                <w:color w:val="000000" w:themeColor="text1"/>
                <w:sz w:val="21"/>
                <w:szCs w:val="21"/>
              </w:rPr>
            </w:pPr>
          </w:p>
        </w:tc>
        <w:tc>
          <w:tcPr>
            <w:tcW w:w="3605" w:type="dxa"/>
            <w:tcBorders>
              <w:top w:val="single" w:color="auto" w:sz="2" w:space="0"/>
              <w:left w:val="single" w:color="auto" w:sz="2" w:space="0"/>
              <w:bottom w:val="single" w:color="auto" w:sz="2" w:space="0"/>
              <w:right w:val="single" w:color="auto" w:sz="2" w:space="0"/>
            </w:tcBorders>
            <w:tcMar>
              <w:top w:w="0" w:type="dxa"/>
              <w:left w:w="105" w:type="dxa"/>
              <w:bottom w:w="0" w:type="dxa"/>
              <w:right w:w="105" w:type="dxa"/>
            </w:tcMar>
          </w:tcPr>
          <w:p w14:paraId="589C87A5">
            <w:pPr>
              <w:pStyle w:val="200"/>
              <w:spacing w:line="360" w:lineRule="auto"/>
              <w:rPr>
                <w:rFonts w:hint="default"/>
                <w:color w:val="000000" w:themeColor="text1"/>
                <w:sz w:val="21"/>
                <w:szCs w:val="21"/>
              </w:rPr>
            </w:pPr>
            <w:r>
              <w:rPr>
                <w:color w:val="000000" w:themeColor="text1"/>
                <w:sz w:val="21"/>
                <w:szCs w:val="21"/>
              </w:rPr>
              <w:t>统一社会信用代码：</w:t>
            </w:r>
          </w:p>
        </w:tc>
      </w:tr>
    </w:tbl>
    <w:p w14:paraId="6870621A">
      <w:pPr>
        <w:pStyle w:val="200"/>
        <w:spacing w:line="360" w:lineRule="auto"/>
        <w:ind w:firstLine="420"/>
        <w:jc w:val="both"/>
        <w:outlineLvl w:val="0"/>
        <w:rPr>
          <w:rFonts w:hint="default"/>
          <w:color w:val="000000" w:themeColor="text1"/>
        </w:rPr>
      </w:pPr>
      <w:r>
        <w:rPr>
          <w:b/>
          <w:color w:val="000000" w:themeColor="text1"/>
          <w:sz w:val="21"/>
        </w:rPr>
        <w:t>第二部分通用条款</w:t>
      </w:r>
    </w:p>
    <w:p w14:paraId="3A705FE1">
      <w:pPr>
        <w:pStyle w:val="200"/>
        <w:spacing w:before="105" w:after="105" w:line="360" w:lineRule="auto"/>
        <w:ind w:left="255" w:right="30" w:firstLine="420"/>
        <w:rPr>
          <w:rFonts w:hint="default"/>
          <w:color w:val="000000" w:themeColor="text1"/>
        </w:rPr>
      </w:pPr>
      <w:r>
        <w:rPr>
          <w:color w:val="000000" w:themeColor="text1"/>
          <w:sz w:val="21"/>
        </w:rPr>
        <w:t>采用中华人民共和国建设部和国家工商行政管理局颁发的《建设工程施工合同（示范文本）》（GF-2017-0201）的通用条款。</w:t>
      </w:r>
    </w:p>
    <w:p w14:paraId="041B0BD1">
      <w:pPr>
        <w:pStyle w:val="200"/>
        <w:spacing w:before="150" w:after="15" w:line="360" w:lineRule="auto"/>
        <w:ind w:left="225" w:right="390" w:firstLine="210"/>
        <w:outlineLvl w:val="0"/>
        <w:rPr>
          <w:rFonts w:hint="default"/>
          <w:color w:val="000000" w:themeColor="text1"/>
          <w:sz w:val="21"/>
          <w:szCs w:val="21"/>
        </w:rPr>
      </w:pPr>
      <w:r>
        <w:rPr>
          <w:b/>
          <w:color w:val="000000" w:themeColor="text1"/>
          <w:sz w:val="21"/>
          <w:szCs w:val="21"/>
        </w:rPr>
        <w:t>第三部分专用条款</w:t>
      </w:r>
    </w:p>
    <w:p w14:paraId="1CA0F292">
      <w:pPr>
        <w:pStyle w:val="200"/>
        <w:spacing w:line="360" w:lineRule="auto"/>
        <w:ind w:firstLine="420"/>
        <w:jc w:val="both"/>
        <w:rPr>
          <w:rFonts w:hint="default"/>
          <w:color w:val="000000" w:themeColor="text1"/>
          <w:sz w:val="21"/>
          <w:szCs w:val="21"/>
        </w:rPr>
      </w:pPr>
      <w:r>
        <w:rPr>
          <w:b/>
          <w:color w:val="000000" w:themeColor="text1"/>
          <w:sz w:val="21"/>
          <w:szCs w:val="21"/>
        </w:rPr>
        <w:t>一、词语定义及合同文件</w:t>
      </w:r>
    </w:p>
    <w:p w14:paraId="658693DE">
      <w:pPr>
        <w:pStyle w:val="200"/>
        <w:spacing w:line="360" w:lineRule="auto"/>
        <w:ind w:firstLine="422"/>
        <w:rPr>
          <w:rFonts w:hint="default"/>
          <w:color w:val="000000" w:themeColor="text1"/>
          <w:sz w:val="21"/>
          <w:szCs w:val="21"/>
        </w:rPr>
      </w:pPr>
      <w:r>
        <w:rPr>
          <w:b/>
          <w:color w:val="000000" w:themeColor="text1"/>
          <w:sz w:val="21"/>
          <w:szCs w:val="21"/>
        </w:rPr>
        <w:t>1.合同文件及解释顺序</w:t>
      </w:r>
    </w:p>
    <w:p w14:paraId="76E39AC4">
      <w:pPr>
        <w:pStyle w:val="200"/>
        <w:spacing w:line="360" w:lineRule="auto"/>
        <w:ind w:firstLine="420"/>
        <w:rPr>
          <w:rFonts w:hint="default"/>
          <w:color w:val="000000" w:themeColor="text1"/>
          <w:sz w:val="21"/>
          <w:szCs w:val="21"/>
        </w:rPr>
      </w:pPr>
      <w:r>
        <w:rPr>
          <w:color w:val="000000" w:themeColor="text1"/>
          <w:sz w:val="21"/>
          <w:szCs w:val="21"/>
        </w:rPr>
        <w:t>合同文件组成及解释顺序：</w:t>
      </w:r>
      <w:r>
        <w:rPr>
          <w:color w:val="000000" w:themeColor="text1"/>
          <w:sz w:val="21"/>
          <w:szCs w:val="21"/>
          <w:u w:val="single"/>
        </w:rPr>
        <w:t>本合同协议书；中标（成交）通知书；乙方响应文件及其附件（含评审过程中的澄清文件和补充资料）、竞争性磋商文件（含竞争性磋商文件澄清、修改或补充文件）；本合同专用条款；本合同通用条款；洽商、变更等明确双方权利义务的纪要、协议；标准、规范和其他有关技术文件资料、技术要求；工程量清单或双方确认的预算书及报价书、例会记录、审定的施工方案等。</w:t>
      </w:r>
    </w:p>
    <w:p w14:paraId="14B5395B">
      <w:pPr>
        <w:pStyle w:val="200"/>
        <w:spacing w:line="360" w:lineRule="auto"/>
        <w:ind w:firstLine="422"/>
        <w:rPr>
          <w:rFonts w:hint="default"/>
          <w:color w:val="000000" w:themeColor="text1"/>
          <w:sz w:val="21"/>
          <w:szCs w:val="21"/>
        </w:rPr>
      </w:pPr>
      <w:r>
        <w:rPr>
          <w:b/>
          <w:color w:val="000000" w:themeColor="text1"/>
          <w:sz w:val="21"/>
          <w:szCs w:val="21"/>
        </w:rPr>
        <w:t>2.语言文字和适用法律、标准及规范</w:t>
      </w:r>
    </w:p>
    <w:p w14:paraId="07661E1F">
      <w:pPr>
        <w:pStyle w:val="200"/>
        <w:spacing w:line="360" w:lineRule="auto"/>
        <w:ind w:firstLine="420"/>
        <w:rPr>
          <w:rFonts w:hint="default"/>
          <w:color w:val="000000" w:themeColor="text1"/>
          <w:sz w:val="21"/>
          <w:szCs w:val="21"/>
        </w:rPr>
      </w:pPr>
      <w:r>
        <w:rPr>
          <w:color w:val="000000" w:themeColor="text1"/>
          <w:sz w:val="21"/>
          <w:szCs w:val="21"/>
        </w:rPr>
        <w:t>2.,1本合同只使用汉语语言文字。</w:t>
      </w:r>
    </w:p>
    <w:p w14:paraId="739E385E">
      <w:pPr>
        <w:pStyle w:val="200"/>
        <w:spacing w:line="360" w:lineRule="auto"/>
        <w:ind w:firstLine="420"/>
        <w:rPr>
          <w:rFonts w:hint="default"/>
          <w:color w:val="000000" w:themeColor="text1"/>
          <w:sz w:val="21"/>
          <w:szCs w:val="21"/>
        </w:rPr>
      </w:pPr>
      <w:r>
        <w:rPr>
          <w:color w:val="000000" w:themeColor="text1"/>
          <w:sz w:val="21"/>
          <w:szCs w:val="21"/>
        </w:rPr>
        <w:t>2.2适用法律和法规</w:t>
      </w:r>
    </w:p>
    <w:p w14:paraId="17E55554">
      <w:pPr>
        <w:pStyle w:val="200"/>
        <w:spacing w:line="360" w:lineRule="auto"/>
        <w:ind w:firstLine="420"/>
        <w:rPr>
          <w:rFonts w:hint="default"/>
          <w:color w:val="000000" w:themeColor="text1"/>
          <w:sz w:val="21"/>
          <w:szCs w:val="21"/>
        </w:rPr>
      </w:pPr>
      <w:r>
        <w:rPr>
          <w:color w:val="000000" w:themeColor="text1"/>
          <w:sz w:val="21"/>
          <w:szCs w:val="21"/>
        </w:rPr>
        <w:t>需要明示的法律、行政法规：</w:t>
      </w:r>
      <w:r>
        <w:rPr>
          <w:color w:val="000000" w:themeColor="text1"/>
          <w:sz w:val="21"/>
          <w:szCs w:val="21"/>
          <w:u w:val="single"/>
        </w:rPr>
        <w:t>《中华人民共和国民法典》《中华人民共和国建筑法》、《中华人民共和国政府采购法》《建设工程质量管理条例》《广东省建设工程造价管理规定》、《建筑工程施工发包与承包计价管理办法》《关于加强项目经理承接工程管理的通知》、现行有关法律法规等。</w:t>
      </w:r>
    </w:p>
    <w:p w14:paraId="54072FA3">
      <w:pPr>
        <w:pStyle w:val="200"/>
        <w:spacing w:line="360" w:lineRule="auto"/>
        <w:ind w:firstLine="420"/>
        <w:rPr>
          <w:rFonts w:hint="default"/>
          <w:color w:val="000000" w:themeColor="text1"/>
          <w:sz w:val="21"/>
          <w:szCs w:val="21"/>
        </w:rPr>
      </w:pPr>
      <w:r>
        <w:rPr>
          <w:color w:val="000000" w:themeColor="text1"/>
          <w:sz w:val="21"/>
          <w:szCs w:val="21"/>
        </w:rPr>
        <w:t>2.3适用标准、规范</w:t>
      </w:r>
    </w:p>
    <w:p w14:paraId="32BB5BEE">
      <w:pPr>
        <w:pStyle w:val="200"/>
        <w:spacing w:line="360" w:lineRule="auto"/>
        <w:ind w:firstLine="420"/>
        <w:rPr>
          <w:rFonts w:hint="default"/>
          <w:color w:val="000000" w:themeColor="text1"/>
          <w:sz w:val="21"/>
          <w:szCs w:val="21"/>
        </w:rPr>
      </w:pPr>
      <w:r>
        <w:rPr>
          <w:color w:val="000000" w:themeColor="text1"/>
          <w:sz w:val="21"/>
          <w:szCs w:val="21"/>
        </w:rPr>
        <w:t>适用标准、规范的名称：</w:t>
      </w:r>
      <w:r>
        <w:rPr>
          <w:color w:val="000000" w:themeColor="text1"/>
          <w:sz w:val="21"/>
          <w:szCs w:val="21"/>
          <w:u w:val="single"/>
        </w:rPr>
        <w:t>国家及地方现行有关规范、标准。</w:t>
      </w:r>
    </w:p>
    <w:p w14:paraId="58C27986">
      <w:pPr>
        <w:pStyle w:val="200"/>
        <w:spacing w:line="360" w:lineRule="auto"/>
        <w:ind w:firstLine="420"/>
        <w:rPr>
          <w:rFonts w:hint="default"/>
          <w:color w:val="000000" w:themeColor="text1"/>
          <w:sz w:val="21"/>
          <w:szCs w:val="21"/>
        </w:rPr>
      </w:pPr>
      <w:r>
        <w:rPr>
          <w:color w:val="000000" w:themeColor="text1"/>
          <w:sz w:val="21"/>
          <w:szCs w:val="21"/>
        </w:rPr>
        <w:t>甲方提供标准、规范的时间：</w:t>
      </w:r>
      <w:r>
        <w:rPr>
          <w:color w:val="000000" w:themeColor="text1"/>
          <w:sz w:val="21"/>
          <w:szCs w:val="21"/>
          <w:u w:val="single"/>
        </w:rPr>
        <w:t>无</w:t>
      </w:r>
    </w:p>
    <w:p w14:paraId="37BCEF22">
      <w:pPr>
        <w:pStyle w:val="200"/>
        <w:spacing w:line="360" w:lineRule="auto"/>
        <w:ind w:firstLine="420"/>
        <w:rPr>
          <w:rFonts w:hint="default"/>
          <w:color w:val="000000" w:themeColor="text1"/>
          <w:sz w:val="21"/>
          <w:szCs w:val="21"/>
        </w:rPr>
      </w:pPr>
      <w:r>
        <w:rPr>
          <w:color w:val="000000" w:themeColor="text1"/>
          <w:sz w:val="21"/>
          <w:szCs w:val="21"/>
        </w:rPr>
        <w:t>国内没有相应标准、规范时的约定：</w:t>
      </w:r>
      <w:r>
        <w:rPr>
          <w:color w:val="000000" w:themeColor="text1"/>
          <w:sz w:val="21"/>
          <w:szCs w:val="21"/>
          <w:u w:val="single"/>
        </w:rPr>
        <w:t>按通用条款</w:t>
      </w:r>
    </w:p>
    <w:p w14:paraId="662EC2F1">
      <w:pPr>
        <w:pStyle w:val="200"/>
        <w:spacing w:line="360" w:lineRule="auto"/>
        <w:ind w:firstLine="422"/>
        <w:rPr>
          <w:rFonts w:hint="default"/>
          <w:color w:val="000000" w:themeColor="text1"/>
          <w:sz w:val="21"/>
          <w:szCs w:val="21"/>
        </w:rPr>
      </w:pPr>
      <w:r>
        <w:rPr>
          <w:b/>
          <w:color w:val="000000" w:themeColor="text1"/>
          <w:sz w:val="21"/>
          <w:szCs w:val="21"/>
        </w:rPr>
        <w:t>3.图纸</w:t>
      </w:r>
    </w:p>
    <w:p w14:paraId="2AF97E5B">
      <w:pPr>
        <w:pStyle w:val="200"/>
        <w:spacing w:line="360" w:lineRule="auto"/>
        <w:ind w:firstLine="420"/>
        <w:rPr>
          <w:rFonts w:hint="default"/>
          <w:color w:val="000000" w:themeColor="text1"/>
          <w:sz w:val="21"/>
          <w:szCs w:val="21"/>
        </w:rPr>
      </w:pPr>
      <w:r>
        <w:rPr>
          <w:color w:val="000000" w:themeColor="text1"/>
          <w:sz w:val="21"/>
          <w:szCs w:val="21"/>
        </w:rPr>
        <w:t>3.1甲方向乙方提供图纸日期和套数：</w:t>
      </w:r>
      <w:r>
        <w:rPr>
          <w:color w:val="000000" w:themeColor="text1"/>
          <w:sz w:val="21"/>
          <w:szCs w:val="21"/>
          <w:u w:val="single"/>
        </w:rPr>
        <w:t>/。</w:t>
      </w:r>
    </w:p>
    <w:p w14:paraId="407124A0">
      <w:pPr>
        <w:pStyle w:val="200"/>
        <w:spacing w:line="360" w:lineRule="auto"/>
        <w:ind w:firstLine="420"/>
        <w:rPr>
          <w:rFonts w:hint="default"/>
          <w:color w:val="000000" w:themeColor="text1"/>
          <w:sz w:val="21"/>
          <w:szCs w:val="21"/>
        </w:rPr>
      </w:pPr>
      <w:r>
        <w:rPr>
          <w:color w:val="000000" w:themeColor="text1"/>
          <w:sz w:val="21"/>
          <w:szCs w:val="21"/>
        </w:rPr>
        <w:t>甲方对图纸的保密要求</w:t>
      </w:r>
      <w:r>
        <w:rPr>
          <w:color w:val="000000" w:themeColor="text1"/>
          <w:sz w:val="21"/>
          <w:szCs w:val="21"/>
          <w:u w:val="single"/>
        </w:rPr>
        <w:t>：/</w:t>
      </w:r>
    </w:p>
    <w:p w14:paraId="4F96F779">
      <w:pPr>
        <w:pStyle w:val="200"/>
        <w:spacing w:line="360" w:lineRule="auto"/>
        <w:ind w:firstLine="420"/>
        <w:rPr>
          <w:rFonts w:hint="default"/>
          <w:color w:val="000000" w:themeColor="text1"/>
          <w:sz w:val="21"/>
          <w:szCs w:val="21"/>
        </w:rPr>
      </w:pPr>
      <w:r>
        <w:rPr>
          <w:color w:val="000000" w:themeColor="text1"/>
          <w:sz w:val="21"/>
          <w:szCs w:val="21"/>
        </w:rPr>
        <w:t>使用国外图纸的要求及费用承担：</w:t>
      </w:r>
      <w:r>
        <w:rPr>
          <w:color w:val="000000" w:themeColor="text1"/>
          <w:sz w:val="21"/>
          <w:szCs w:val="21"/>
          <w:u w:val="single"/>
        </w:rPr>
        <w:t>无</w:t>
      </w:r>
    </w:p>
    <w:p w14:paraId="6DA0C5A1">
      <w:pPr>
        <w:pStyle w:val="200"/>
        <w:spacing w:line="360" w:lineRule="auto"/>
        <w:ind w:firstLine="422"/>
        <w:rPr>
          <w:rFonts w:hint="default"/>
          <w:color w:val="000000" w:themeColor="text1"/>
          <w:sz w:val="21"/>
          <w:szCs w:val="21"/>
        </w:rPr>
      </w:pPr>
      <w:r>
        <w:rPr>
          <w:b/>
          <w:color w:val="000000" w:themeColor="text1"/>
          <w:sz w:val="21"/>
          <w:szCs w:val="21"/>
        </w:rPr>
        <w:t>二、双方一般权利和义务</w:t>
      </w:r>
    </w:p>
    <w:p w14:paraId="4BCAA82D">
      <w:pPr>
        <w:pStyle w:val="200"/>
        <w:spacing w:line="360" w:lineRule="auto"/>
        <w:ind w:firstLine="422"/>
        <w:rPr>
          <w:rFonts w:hint="default"/>
          <w:color w:val="000000" w:themeColor="text1"/>
          <w:sz w:val="21"/>
          <w:szCs w:val="21"/>
        </w:rPr>
      </w:pPr>
      <w:r>
        <w:rPr>
          <w:b/>
          <w:color w:val="000000" w:themeColor="text1"/>
          <w:sz w:val="21"/>
          <w:szCs w:val="21"/>
        </w:rPr>
        <w:t>4.工程师</w:t>
      </w:r>
    </w:p>
    <w:p w14:paraId="38A29566">
      <w:pPr>
        <w:pStyle w:val="200"/>
        <w:spacing w:line="360" w:lineRule="auto"/>
        <w:ind w:firstLine="420"/>
        <w:rPr>
          <w:rFonts w:hint="default"/>
          <w:color w:val="000000" w:themeColor="text1"/>
          <w:sz w:val="21"/>
          <w:szCs w:val="21"/>
        </w:rPr>
      </w:pPr>
      <w:r>
        <w:rPr>
          <w:color w:val="000000" w:themeColor="text1"/>
          <w:sz w:val="21"/>
          <w:szCs w:val="21"/>
        </w:rPr>
        <w:t>监理单位委派的工程师</w:t>
      </w:r>
    </w:p>
    <w:p w14:paraId="504A35BB">
      <w:pPr>
        <w:pStyle w:val="200"/>
        <w:spacing w:line="360" w:lineRule="auto"/>
        <w:ind w:firstLine="420"/>
        <w:rPr>
          <w:rFonts w:hint="default"/>
          <w:color w:val="000000" w:themeColor="text1"/>
          <w:sz w:val="21"/>
          <w:szCs w:val="21"/>
        </w:rPr>
      </w:pPr>
      <w:r>
        <w:rPr>
          <w:color w:val="000000" w:themeColor="text1"/>
          <w:sz w:val="21"/>
          <w:szCs w:val="21"/>
        </w:rPr>
        <w:t>姓名：</w:t>
      </w:r>
      <w:r>
        <w:rPr>
          <w:color w:val="000000" w:themeColor="text1"/>
          <w:sz w:val="21"/>
          <w:szCs w:val="21"/>
          <w:u w:val="single"/>
        </w:rPr>
        <w:t>按监理合同</w:t>
      </w:r>
      <w:r>
        <w:rPr>
          <w:color w:val="000000" w:themeColor="text1"/>
          <w:sz w:val="21"/>
          <w:szCs w:val="21"/>
        </w:rPr>
        <w:t>职务：</w:t>
      </w:r>
      <w:r>
        <w:rPr>
          <w:color w:val="000000" w:themeColor="text1"/>
          <w:sz w:val="21"/>
          <w:szCs w:val="21"/>
          <w:u w:val="single"/>
        </w:rPr>
        <w:t>按监理合同</w:t>
      </w:r>
    </w:p>
    <w:p w14:paraId="49FC324E">
      <w:pPr>
        <w:pStyle w:val="200"/>
        <w:spacing w:line="360" w:lineRule="auto"/>
        <w:ind w:firstLine="420"/>
        <w:rPr>
          <w:rFonts w:hint="default"/>
          <w:color w:val="000000" w:themeColor="text1"/>
          <w:sz w:val="21"/>
          <w:szCs w:val="21"/>
        </w:rPr>
      </w:pPr>
      <w:r>
        <w:rPr>
          <w:color w:val="000000" w:themeColor="text1"/>
          <w:sz w:val="21"/>
          <w:szCs w:val="21"/>
        </w:rPr>
        <w:t>甲方委托的职权：</w:t>
      </w:r>
      <w:r>
        <w:rPr>
          <w:color w:val="000000" w:themeColor="text1"/>
          <w:sz w:val="21"/>
          <w:szCs w:val="21"/>
          <w:u w:val="single"/>
        </w:rPr>
        <w:t>按监理合同</w:t>
      </w:r>
    </w:p>
    <w:p w14:paraId="6B22BF56">
      <w:pPr>
        <w:pStyle w:val="200"/>
        <w:spacing w:line="360" w:lineRule="auto"/>
        <w:ind w:firstLine="420"/>
        <w:rPr>
          <w:rFonts w:hint="default"/>
          <w:color w:val="000000" w:themeColor="text1"/>
          <w:sz w:val="21"/>
          <w:szCs w:val="21"/>
        </w:rPr>
      </w:pPr>
      <w:r>
        <w:rPr>
          <w:color w:val="000000" w:themeColor="text1"/>
          <w:sz w:val="21"/>
          <w:szCs w:val="21"/>
        </w:rPr>
        <w:t>需要取得甲方批准才能行使的职权：</w:t>
      </w:r>
      <w:r>
        <w:rPr>
          <w:color w:val="000000" w:themeColor="text1"/>
          <w:sz w:val="21"/>
          <w:szCs w:val="21"/>
          <w:u w:val="single"/>
        </w:rPr>
        <w:t>按监理合同及监理规范</w:t>
      </w:r>
    </w:p>
    <w:p w14:paraId="2F1340C0">
      <w:pPr>
        <w:pStyle w:val="200"/>
        <w:spacing w:line="360" w:lineRule="auto"/>
        <w:ind w:firstLine="422"/>
        <w:rPr>
          <w:rFonts w:hint="default"/>
          <w:color w:val="000000" w:themeColor="text1"/>
          <w:sz w:val="21"/>
          <w:szCs w:val="21"/>
        </w:rPr>
      </w:pPr>
      <w:r>
        <w:rPr>
          <w:b/>
          <w:color w:val="000000" w:themeColor="text1"/>
          <w:sz w:val="21"/>
          <w:szCs w:val="21"/>
        </w:rPr>
        <w:t>5.项目负责人</w:t>
      </w:r>
    </w:p>
    <w:p w14:paraId="10A7DEFE">
      <w:pPr>
        <w:pStyle w:val="200"/>
        <w:spacing w:line="360" w:lineRule="auto"/>
        <w:rPr>
          <w:rFonts w:hint="default"/>
          <w:color w:val="000000" w:themeColor="text1"/>
          <w:sz w:val="21"/>
          <w:szCs w:val="21"/>
        </w:rPr>
      </w:pPr>
      <w:r>
        <w:rPr>
          <w:color w:val="000000" w:themeColor="text1"/>
          <w:sz w:val="21"/>
          <w:szCs w:val="21"/>
        </w:rPr>
        <w:t>姓名：</w:t>
      </w:r>
      <w:r>
        <w:rPr>
          <w:rFonts w:hint="eastAsia"/>
          <w:color w:val="000000" w:themeColor="text1"/>
          <w:sz w:val="21"/>
          <w:szCs w:val="21"/>
          <w:lang w:val="en-US" w:eastAsia="zh-CN"/>
        </w:rPr>
        <w:t xml:space="preserve">      </w:t>
      </w:r>
      <w:r>
        <w:rPr>
          <w:color w:val="000000" w:themeColor="text1"/>
          <w:sz w:val="21"/>
          <w:szCs w:val="21"/>
        </w:rPr>
        <w:t>，职务：项目经理。</w:t>
      </w:r>
      <w:r>
        <w:rPr>
          <w:color w:val="000000" w:themeColor="text1"/>
          <w:sz w:val="21"/>
          <w:szCs w:val="21"/>
          <w:u w:val="single"/>
        </w:rPr>
        <w:t>在乙方授权下代表乙方全权处理工程一切事务并按合同的通用条款第三条内容执行。</w:t>
      </w:r>
    </w:p>
    <w:p w14:paraId="13227691">
      <w:pPr>
        <w:pStyle w:val="200"/>
        <w:spacing w:line="360" w:lineRule="auto"/>
        <w:ind w:firstLine="422"/>
        <w:rPr>
          <w:rFonts w:hint="default"/>
          <w:color w:val="000000" w:themeColor="text1"/>
          <w:sz w:val="21"/>
          <w:szCs w:val="21"/>
        </w:rPr>
      </w:pPr>
      <w:r>
        <w:rPr>
          <w:b/>
          <w:color w:val="000000" w:themeColor="text1"/>
          <w:sz w:val="21"/>
          <w:szCs w:val="21"/>
        </w:rPr>
        <w:t>6.甲方工作</w:t>
      </w:r>
    </w:p>
    <w:p w14:paraId="2C2B464F">
      <w:pPr>
        <w:pStyle w:val="200"/>
        <w:spacing w:line="360" w:lineRule="auto"/>
        <w:ind w:firstLine="420"/>
        <w:rPr>
          <w:rFonts w:hint="default"/>
          <w:color w:val="000000" w:themeColor="text1"/>
          <w:sz w:val="21"/>
          <w:szCs w:val="21"/>
        </w:rPr>
      </w:pPr>
      <w:r>
        <w:rPr>
          <w:color w:val="000000" w:themeColor="text1"/>
          <w:sz w:val="21"/>
          <w:szCs w:val="21"/>
        </w:rPr>
        <w:t>6.1甲方应按约定的时间和要求完成以下工作：</w:t>
      </w:r>
    </w:p>
    <w:p w14:paraId="13350FEE">
      <w:pPr>
        <w:pStyle w:val="200"/>
        <w:spacing w:line="360" w:lineRule="auto"/>
        <w:ind w:firstLine="420"/>
        <w:rPr>
          <w:rFonts w:hint="default"/>
          <w:color w:val="000000" w:themeColor="text1"/>
          <w:sz w:val="21"/>
          <w:szCs w:val="21"/>
        </w:rPr>
      </w:pPr>
      <w:r>
        <w:rPr>
          <w:color w:val="000000" w:themeColor="text1"/>
          <w:sz w:val="21"/>
          <w:szCs w:val="21"/>
        </w:rPr>
        <w:t>（1）施工场地具备施工条件的要求及完成的时间：</w:t>
      </w:r>
      <w:r>
        <w:rPr>
          <w:color w:val="000000" w:themeColor="text1"/>
          <w:sz w:val="21"/>
          <w:szCs w:val="21"/>
          <w:u w:val="single"/>
        </w:rPr>
        <w:t>进场前十天完成前期工作，并具备开工条件。</w:t>
      </w:r>
    </w:p>
    <w:p w14:paraId="75B0DF05">
      <w:pPr>
        <w:pStyle w:val="200"/>
        <w:spacing w:line="360" w:lineRule="auto"/>
        <w:ind w:firstLine="420"/>
        <w:rPr>
          <w:rFonts w:hint="default"/>
          <w:color w:val="000000" w:themeColor="text1"/>
          <w:sz w:val="21"/>
          <w:szCs w:val="21"/>
        </w:rPr>
      </w:pPr>
      <w:r>
        <w:rPr>
          <w:color w:val="000000" w:themeColor="text1"/>
          <w:sz w:val="21"/>
          <w:szCs w:val="21"/>
        </w:rPr>
        <w:t>（2）将施工所需的水、电、电讯线路接至施工场地的时间、地点和供应要求：</w:t>
      </w:r>
      <w:r>
        <w:rPr>
          <w:color w:val="000000" w:themeColor="text1"/>
          <w:sz w:val="21"/>
          <w:szCs w:val="21"/>
          <w:u w:val="single"/>
        </w:rPr>
        <w:t>开工前十天内施工用水、用电接至施工场地边缘，乙方根据施工需要自行解决施工场内的水电管线，并按甲方水电管理规定缴交水电费用。</w:t>
      </w:r>
    </w:p>
    <w:p w14:paraId="1D68C08C">
      <w:pPr>
        <w:pStyle w:val="200"/>
        <w:spacing w:line="360" w:lineRule="auto"/>
        <w:ind w:firstLine="420"/>
        <w:rPr>
          <w:rFonts w:hint="default"/>
          <w:color w:val="000000" w:themeColor="text1"/>
          <w:sz w:val="21"/>
          <w:szCs w:val="21"/>
        </w:rPr>
      </w:pPr>
      <w:r>
        <w:rPr>
          <w:color w:val="000000" w:themeColor="text1"/>
          <w:sz w:val="21"/>
          <w:szCs w:val="21"/>
        </w:rPr>
        <w:t>（3）施工场地与公共道路的通道开通时间和要求：</w:t>
      </w:r>
      <w:r>
        <w:rPr>
          <w:color w:val="000000" w:themeColor="text1"/>
          <w:sz w:val="21"/>
          <w:szCs w:val="21"/>
          <w:u w:val="single"/>
        </w:rPr>
        <w:t>按甲方的有关规定执行。</w:t>
      </w:r>
    </w:p>
    <w:p w14:paraId="56AF8CE8">
      <w:pPr>
        <w:pStyle w:val="200"/>
        <w:spacing w:line="360" w:lineRule="auto"/>
        <w:ind w:firstLine="420"/>
        <w:rPr>
          <w:rFonts w:hint="default"/>
          <w:color w:val="000000" w:themeColor="text1"/>
          <w:sz w:val="21"/>
          <w:szCs w:val="21"/>
        </w:rPr>
      </w:pPr>
      <w:r>
        <w:rPr>
          <w:color w:val="000000" w:themeColor="text1"/>
          <w:sz w:val="21"/>
          <w:szCs w:val="21"/>
        </w:rPr>
        <w:t>（4）工程地质和地下管线资料的提供时间：</w:t>
      </w:r>
      <w:r>
        <w:rPr>
          <w:color w:val="000000" w:themeColor="text1"/>
          <w:sz w:val="21"/>
          <w:szCs w:val="21"/>
          <w:u w:val="single"/>
        </w:rPr>
        <w:t>无。</w:t>
      </w:r>
    </w:p>
    <w:p w14:paraId="27BD7627">
      <w:pPr>
        <w:pStyle w:val="200"/>
        <w:spacing w:line="360" w:lineRule="auto"/>
        <w:ind w:firstLine="420"/>
        <w:rPr>
          <w:rFonts w:hint="default"/>
          <w:color w:val="000000" w:themeColor="text1"/>
          <w:sz w:val="21"/>
          <w:szCs w:val="21"/>
        </w:rPr>
      </w:pPr>
      <w:r>
        <w:rPr>
          <w:color w:val="000000" w:themeColor="text1"/>
          <w:sz w:val="21"/>
          <w:szCs w:val="21"/>
        </w:rPr>
        <w:t>（5）由甲方办理的施工所需证件、批件的名称和完成时间：</w:t>
      </w:r>
      <w:r>
        <w:rPr>
          <w:color w:val="000000" w:themeColor="text1"/>
          <w:sz w:val="21"/>
          <w:szCs w:val="21"/>
          <w:u w:val="single"/>
        </w:rPr>
        <w:t>开工前五天办好施工所需证件。</w:t>
      </w:r>
    </w:p>
    <w:p w14:paraId="2A6A6FCA">
      <w:pPr>
        <w:pStyle w:val="200"/>
        <w:spacing w:line="360" w:lineRule="auto"/>
        <w:ind w:firstLine="420"/>
        <w:rPr>
          <w:rFonts w:hint="default"/>
          <w:color w:val="000000" w:themeColor="text1"/>
          <w:sz w:val="21"/>
          <w:szCs w:val="21"/>
        </w:rPr>
      </w:pPr>
      <w:r>
        <w:rPr>
          <w:color w:val="000000" w:themeColor="text1"/>
          <w:sz w:val="21"/>
          <w:szCs w:val="21"/>
        </w:rPr>
        <w:t>（6）水准点与坐标控制点交验要求：</w:t>
      </w:r>
      <w:r>
        <w:rPr>
          <w:color w:val="000000" w:themeColor="text1"/>
          <w:sz w:val="21"/>
          <w:szCs w:val="21"/>
          <w:u w:val="single"/>
        </w:rPr>
        <w:t>无。</w:t>
      </w:r>
    </w:p>
    <w:p w14:paraId="504F6602">
      <w:pPr>
        <w:pStyle w:val="200"/>
        <w:spacing w:line="360" w:lineRule="auto"/>
        <w:ind w:firstLine="420"/>
        <w:rPr>
          <w:rFonts w:hint="default"/>
          <w:color w:val="000000" w:themeColor="text1"/>
          <w:sz w:val="21"/>
          <w:szCs w:val="21"/>
        </w:rPr>
      </w:pPr>
      <w:r>
        <w:rPr>
          <w:color w:val="000000" w:themeColor="text1"/>
          <w:sz w:val="21"/>
          <w:szCs w:val="21"/>
        </w:rPr>
        <w:t>（7）图纸会审和设计交底时间：</w:t>
      </w:r>
      <w:r>
        <w:rPr>
          <w:color w:val="000000" w:themeColor="text1"/>
          <w:sz w:val="21"/>
          <w:szCs w:val="21"/>
          <w:u w:val="single"/>
        </w:rPr>
        <w:t>甲方自定时间。</w:t>
      </w:r>
    </w:p>
    <w:p w14:paraId="11093B76">
      <w:pPr>
        <w:pStyle w:val="200"/>
        <w:spacing w:line="360" w:lineRule="auto"/>
        <w:ind w:firstLine="420"/>
        <w:rPr>
          <w:rFonts w:hint="default"/>
          <w:color w:val="000000" w:themeColor="text1"/>
          <w:sz w:val="21"/>
          <w:szCs w:val="21"/>
        </w:rPr>
      </w:pPr>
      <w:r>
        <w:rPr>
          <w:color w:val="000000" w:themeColor="text1"/>
          <w:sz w:val="21"/>
          <w:szCs w:val="21"/>
        </w:rPr>
        <w:t>（8）协调处理施工场地周围地下管线和邻近建筑物、构筑物（含文物保护建筑）、古树名木保护工作：</w:t>
      </w:r>
      <w:r>
        <w:rPr>
          <w:color w:val="000000" w:themeColor="text1"/>
          <w:sz w:val="21"/>
          <w:szCs w:val="21"/>
          <w:u w:val="single"/>
        </w:rPr>
        <w:t>及时与有关方面联系，协调处理。</w:t>
      </w:r>
    </w:p>
    <w:p w14:paraId="2A3AE474">
      <w:pPr>
        <w:pStyle w:val="200"/>
        <w:spacing w:line="360" w:lineRule="auto"/>
        <w:ind w:firstLine="420"/>
        <w:rPr>
          <w:rFonts w:hint="default"/>
          <w:color w:val="000000" w:themeColor="text1"/>
          <w:sz w:val="21"/>
          <w:szCs w:val="21"/>
        </w:rPr>
      </w:pPr>
      <w:r>
        <w:rPr>
          <w:color w:val="000000" w:themeColor="text1"/>
          <w:sz w:val="21"/>
          <w:szCs w:val="21"/>
        </w:rPr>
        <w:t>（9）双方约定甲方应做的其他工作：</w:t>
      </w:r>
      <w:r>
        <w:rPr>
          <w:rFonts w:hint="eastAsia"/>
          <w:color w:val="000000" w:themeColor="text1"/>
          <w:sz w:val="21"/>
          <w:szCs w:val="21"/>
          <w:u w:val="single"/>
        </w:rPr>
        <w:t>办公、吃住场所由乙方自行解决，甲方仅协助办理进场等协调事项</w:t>
      </w:r>
      <w:r>
        <w:rPr>
          <w:color w:val="000000" w:themeColor="text1"/>
          <w:sz w:val="21"/>
          <w:szCs w:val="21"/>
          <w:u w:val="single"/>
        </w:rPr>
        <w:t>，</w:t>
      </w:r>
      <w:r>
        <w:rPr>
          <w:rFonts w:hint="eastAsia"/>
          <w:color w:val="000000" w:themeColor="text1"/>
          <w:sz w:val="21"/>
          <w:szCs w:val="21"/>
          <w:u w:val="single"/>
          <w:lang w:val="en-US" w:eastAsia="zh-CN"/>
        </w:rPr>
        <w:t>且</w:t>
      </w:r>
      <w:r>
        <w:rPr>
          <w:color w:val="000000" w:themeColor="text1"/>
          <w:sz w:val="21"/>
          <w:szCs w:val="21"/>
          <w:u w:val="single"/>
        </w:rPr>
        <w:t>上述场所的安全责任（包括但不限于用电、消防、人身及财产安全等）由乙方自行承担。乙方入驻上述办公场所前，已检查确认无安全隐患，符合安全生产条件。</w:t>
      </w:r>
    </w:p>
    <w:p w14:paraId="305AEDAA">
      <w:pPr>
        <w:pStyle w:val="200"/>
        <w:spacing w:line="360" w:lineRule="auto"/>
        <w:ind w:firstLine="420"/>
        <w:rPr>
          <w:rFonts w:hint="default"/>
          <w:color w:val="000000" w:themeColor="text1"/>
          <w:sz w:val="21"/>
          <w:szCs w:val="21"/>
        </w:rPr>
      </w:pPr>
      <w:r>
        <w:rPr>
          <w:color w:val="000000" w:themeColor="text1"/>
          <w:sz w:val="21"/>
          <w:szCs w:val="21"/>
        </w:rPr>
        <w:t>6.2甲方委托乙方办理的工作：（</w:t>
      </w:r>
      <w:r>
        <w:rPr>
          <w:color w:val="000000" w:themeColor="text1"/>
          <w:sz w:val="21"/>
          <w:szCs w:val="21"/>
          <w:u w:val="single"/>
        </w:rPr>
        <w:t>1）协助施工许可证等证件的办理；（2）协助竣工验收和资料归档。</w:t>
      </w:r>
    </w:p>
    <w:p w14:paraId="2B5C5D17">
      <w:pPr>
        <w:pStyle w:val="200"/>
        <w:spacing w:line="360" w:lineRule="auto"/>
        <w:ind w:firstLine="422"/>
        <w:rPr>
          <w:rFonts w:hint="default"/>
          <w:color w:val="000000" w:themeColor="text1"/>
          <w:sz w:val="21"/>
          <w:szCs w:val="21"/>
        </w:rPr>
      </w:pPr>
      <w:r>
        <w:rPr>
          <w:b/>
          <w:color w:val="000000" w:themeColor="text1"/>
          <w:sz w:val="21"/>
          <w:szCs w:val="21"/>
        </w:rPr>
        <w:t>7.乙方工作</w:t>
      </w:r>
    </w:p>
    <w:p w14:paraId="116BF607">
      <w:pPr>
        <w:pStyle w:val="200"/>
        <w:spacing w:line="360" w:lineRule="auto"/>
        <w:ind w:firstLine="420"/>
        <w:rPr>
          <w:rFonts w:hint="default"/>
          <w:color w:val="000000" w:themeColor="text1"/>
          <w:sz w:val="21"/>
          <w:szCs w:val="21"/>
        </w:rPr>
      </w:pPr>
      <w:r>
        <w:rPr>
          <w:color w:val="000000" w:themeColor="text1"/>
          <w:sz w:val="21"/>
          <w:szCs w:val="21"/>
        </w:rPr>
        <w:t>7.1乙方应按约定时间和要求，完成以下工作：</w:t>
      </w:r>
    </w:p>
    <w:p w14:paraId="75CA26A2">
      <w:pPr>
        <w:pStyle w:val="200"/>
        <w:spacing w:line="360" w:lineRule="auto"/>
        <w:ind w:firstLine="420"/>
        <w:rPr>
          <w:rFonts w:hint="default"/>
          <w:color w:val="000000" w:themeColor="text1"/>
          <w:sz w:val="21"/>
          <w:szCs w:val="21"/>
        </w:rPr>
      </w:pPr>
      <w:r>
        <w:rPr>
          <w:color w:val="000000" w:themeColor="text1"/>
          <w:sz w:val="21"/>
          <w:szCs w:val="21"/>
        </w:rPr>
        <w:t>（1）参加甲方组织的施工现场交底，于开工前10天提交施工方案、进度计划以及人员配备资料（包括专业技术人员、专业资格证书、项目负责人执业证书、安全考核合格证书等）和进度计划给甲方审定。</w:t>
      </w:r>
    </w:p>
    <w:p w14:paraId="6739089D">
      <w:pPr>
        <w:pStyle w:val="200"/>
        <w:spacing w:line="360" w:lineRule="auto"/>
        <w:ind w:firstLine="420"/>
        <w:rPr>
          <w:rFonts w:hint="default"/>
          <w:color w:val="000000" w:themeColor="text1"/>
          <w:sz w:val="21"/>
          <w:szCs w:val="21"/>
        </w:rPr>
      </w:pPr>
      <w:r>
        <w:rPr>
          <w:color w:val="000000" w:themeColor="text1"/>
          <w:sz w:val="21"/>
          <w:szCs w:val="21"/>
        </w:rPr>
        <w:t>（2）严格执行施工规范、安全操作规程、防火安全规定、环境保护规定。严格按照做法说明进行施工，做好各项质量检查记录。参加竣工验收，编制工程结算。</w:t>
      </w:r>
    </w:p>
    <w:p w14:paraId="120C614E">
      <w:pPr>
        <w:pStyle w:val="200"/>
        <w:spacing w:line="360" w:lineRule="auto"/>
        <w:ind w:firstLine="420"/>
        <w:rPr>
          <w:rFonts w:hint="default"/>
          <w:color w:val="000000" w:themeColor="text1"/>
          <w:sz w:val="21"/>
          <w:szCs w:val="21"/>
        </w:rPr>
      </w:pPr>
      <w:r>
        <w:rPr>
          <w:color w:val="000000" w:themeColor="text1"/>
          <w:sz w:val="21"/>
          <w:szCs w:val="21"/>
        </w:rPr>
        <w:t>（3）承担施工安全保卫工作及非夜间施工照明的责任和要求</w:t>
      </w:r>
      <w:r>
        <w:rPr>
          <w:color w:val="000000" w:themeColor="text1"/>
          <w:sz w:val="21"/>
          <w:szCs w:val="21"/>
          <w:u w:val="single"/>
        </w:rPr>
        <w:t>：做好施工现场人员、材料、器材的保卫工作。负责施工现场及现场合理范围内的安全保障，做好安全施工的防范措施。</w:t>
      </w:r>
    </w:p>
    <w:p w14:paraId="7FFDA0E2">
      <w:pPr>
        <w:pStyle w:val="200"/>
        <w:spacing w:line="360" w:lineRule="auto"/>
        <w:ind w:firstLine="420"/>
        <w:rPr>
          <w:rFonts w:hint="default"/>
          <w:color w:val="000000" w:themeColor="text1"/>
          <w:sz w:val="21"/>
          <w:szCs w:val="21"/>
        </w:rPr>
      </w:pPr>
      <w:r>
        <w:rPr>
          <w:color w:val="000000" w:themeColor="text1"/>
          <w:sz w:val="21"/>
          <w:szCs w:val="21"/>
        </w:rPr>
        <w:t>（4）向甲方提供的办公及设施的要求：</w:t>
      </w:r>
      <w:r>
        <w:rPr>
          <w:color w:val="000000" w:themeColor="text1"/>
          <w:sz w:val="21"/>
          <w:szCs w:val="21"/>
          <w:u w:val="single"/>
        </w:rPr>
        <w:t>甲方及乙方双方协商处理。</w:t>
      </w:r>
    </w:p>
    <w:p w14:paraId="4011FD1B">
      <w:pPr>
        <w:pStyle w:val="200"/>
        <w:spacing w:line="360" w:lineRule="auto"/>
        <w:ind w:firstLine="420"/>
        <w:rPr>
          <w:rFonts w:hint="default"/>
          <w:color w:val="000000" w:themeColor="text1"/>
          <w:sz w:val="21"/>
          <w:szCs w:val="21"/>
        </w:rPr>
      </w:pPr>
      <w:r>
        <w:rPr>
          <w:color w:val="000000" w:themeColor="text1"/>
          <w:sz w:val="21"/>
          <w:szCs w:val="21"/>
        </w:rPr>
        <w:t>（5）需乙方办理的有关施工场地交通、环卫、施工排水排污接驳和施工噪音管理等手续：</w:t>
      </w:r>
      <w:r>
        <w:rPr>
          <w:color w:val="000000" w:themeColor="text1"/>
          <w:sz w:val="21"/>
          <w:szCs w:val="21"/>
          <w:u w:val="single"/>
        </w:rPr>
        <w:t>按有关行政主管部门规定办理，同时需到甲方的保卫、计生等部门办理有关手续。</w:t>
      </w:r>
    </w:p>
    <w:p w14:paraId="0D27CA28">
      <w:pPr>
        <w:pStyle w:val="200"/>
        <w:spacing w:line="360" w:lineRule="auto"/>
        <w:ind w:firstLine="420"/>
        <w:rPr>
          <w:rFonts w:hint="default"/>
          <w:color w:val="000000" w:themeColor="text1"/>
          <w:sz w:val="21"/>
          <w:szCs w:val="21"/>
        </w:rPr>
      </w:pPr>
      <w:r>
        <w:rPr>
          <w:color w:val="000000" w:themeColor="text1"/>
          <w:sz w:val="21"/>
          <w:szCs w:val="21"/>
        </w:rPr>
        <w:t>（6）已完工程成品保护的特殊要求及费用承担：</w:t>
      </w:r>
      <w:r>
        <w:rPr>
          <w:color w:val="000000" w:themeColor="text1"/>
          <w:sz w:val="21"/>
          <w:szCs w:val="21"/>
          <w:u w:val="single"/>
        </w:rPr>
        <w:t>工程交付使用前，工程成品保护由乙方负责。</w:t>
      </w:r>
    </w:p>
    <w:p w14:paraId="4A830FBC">
      <w:pPr>
        <w:pStyle w:val="200"/>
        <w:spacing w:line="360" w:lineRule="auto"/>
        <w:ind w:firstLine="420"/>
        <w:rPr>
          <w:rFonts w:hint="default"/>
          <w:color w:val="000000" w:themeColor="text1"/>
          <w:sz w:val="21"/>
          <w:szCs w:val="21"/>
        </w:rPr>
      </w:pPr>
      <w:r>
        <w:rPr>
          <w:color w:val="000000" w:themeColor="text1"/>
          <w:sz w:val="21"/>
          <w:szCs w:val="21"/>
        </w:rPr>
        <w:t>（7）施工场地周围地下管线和邻近建筑物、构筑物（含文物保护建筑）、古树名木的保护要求及费用承担：</w:t>
      </w:r>
      <w:r>
        <w:rPr>
          <w:color w:val="000000" w:themeColor="text1"/>
          <w:sz w:val="21"/>
          <w:szCs w:val="21"/>
          <w:u w:val="single"/>
        </w:rPr>
        <w:t>由乙方负责保护，因乙方原因保护不当造成邻近建筑物、构筑物等的损坏，由乙方承担由此发生的费用与责任。</w:t>
      </w:r>
    </w:p>
    <w:p w14:paraId="20FF89C6">
      <w:pPr>
        <w:pStyle w:val="200"/>
        <w:spacing w:line="360" w:lineRule="auto"/>
        <w:ind w:firstLine="420"/>
        <w:rPr>
          <w:rFonts w:hint="default"/>
          <w:color w:val="000000" w:themeColor="text1"/>
          <w:sz w:val="21"/>
          <w:szCs w:val="21"/>
        </w:rPr>
      </w:pPr>
      <w:r>
        <w:rPr>
          <w:color w:val="000000" w:themeColor="text1"/>
          <w:sz w:val="21"/>
          <w:szCs w:val="21"/>
        </w:rPr>
        <w:t>（8）</w:t>
      </w:r>
      <w:r>
        <w:rPr>
          <w:color w:val="000000" w:themeColor="text1"/>
          <w:sz w:val="21"/>
          <w:szCs w:val="21"/>
          <w:u w:val="single"/>
        </w:rPr>
        <w:t>乙方应对施工范围内计划保留的原有建筑物配套设施，包括但不限于暗埋管线、通风设施、给排水设施、供电设施、办公设施、家具等，进行必要保护。因乙方原因保护不当造成上述财物损坏，乙方承担由此发生的费用与责任。</w:t>
      </w:r>
    </w:p>
    <w:p w14:paraId="065528AE">
      <w:pPr>
        <w:pStyle w:val="200"/>
        <w:spacing w:line="360" w:lineRule="auto"/>
        <w:ind w:firstLine="420"/>
        <w:rPr>
          <w:rFonts w:hint="default"/>
          <w:color w:val="000000" w:themeColor="text1"/>
          <w:sz w:val="21"/>
          <w:szCs w:val="21"/>
        </w:rPr>
      </w:pPr>
      <w:r>
        <w:rPr>
          <w:color w:val="000000" w:themeColor="text1"/>
          <w:sz w:val="21"/>
          <w:szCs w:val="21"/>
        </w:rPr>
        <w:t>（9）</w:t>
      </w:r>
      <w:r>
        <w:rPr>
          <w:color w:val="000000" w:themeColor="text1"/>
          <w:sz w:val="21"/>
          <w:szCs w:val="21"/>
          <w:u w:val="single"/>
        </w:rPr>
        <w:t>施工场地清洁卫生的要求：施工期间按有关行政主管部门的规定执行，符合</w:t>
      </w:r>
      <w:r>
        <w:rPr>
          <w:rFonts w:hint="eastAsia"/>
          <w:color w:val="000000" w:themeColor="text1"/>
          <w:sz w:val="21"/>
          <w:szCs w:val="21"/>
          <w:u w:val="single"/>
          <w:lang w:val="en-US" w:eastAsia="zh-CN"/>
        </w:rPr>
        <w:t>广州</w:t>
      </w:r>
      <w:r>
        <w:rPr>
          <w:color w:val="000000" w:themeColor="text1"/>
          <w:sz w:val="21"/>
          <w:szCs w:val="21"/>
          <w:u w:val="single"/>
        </w:rPr>
        <w:t>市安全生产文明施工优良标准要求。竣工后接到甲方书面退场通知5天内按甲方指示拆除临时建筑、设施、清走器材、剩余材料和淤泥渣土，施工范围内的场地平整清洁以及大楼内地板、内外墙、洁具的清洁，并以通过甲方验收合格为标准。如逾期不予拆除和清理，甲方有权安排其他单位完成，所需费用从结算款中扣除，履约保证金不予退回。</w:t>
      </w:r>
    </w:p>
    <w:p w14:paraId="0C065416">
      <w:pPr>
        <w:pStyle w:val="200"/>
        <w:spacing w:line="360" w:lineRule="auto"/>
        <w:ind w:firstLine="420"/>
        <w:rPr>
          <w:rFonts w:hint="default"/>
          <w:color w:val="000000" w:themeColor="text1"/>
          <w:sz w:val="21"/>
          <w:szCs w:val="21"/>
        </w:rPr>
      </w:pPr>
      <w:r>
        <w:rPr>
          <w:color w:val="000000" w:themeColor="text1"/>
          <w:sz w:val="21"/>
          <w:szCs w:val="21"/>
          <w:u w:val="single"/>
        </w:rPr>
        <w:t>（10）分包配合：配合消防验收工作。</w:t>
      </w:r>
    </w:p>
    <w:p w14:paraId="69D47E4C">
      <w:pPr>
        <w:pStyle w:val="200"/>
        <w:spacing w:line="360" w:lineRule="auto"/>
        <w:ind w:firstLine="420"/>
        <w:rPr>
          <w:rFonts w:hint="default"/>
          <w:color w:val="000000" w:themeColor="text1"/>
          <w:sz w:val="21"/>
          <w:szCs w:val="21"/>
        </w:rPr>
      </w:pPr>
      <w:r>
        <w:rPr>
          <w:color w:val="000000" w:themeColor="text1"/>
          <w:sz w:val="21"/>
          <w:szCs w:val="21"/>
        </w:rPr>
        <w:t>（11）双方约定乙方应做的其他工作：</w:t>
      </w:r>
      <w:r>
        <w:rPr>
          <w:rFonts w:ascii="MS Mincho" w:hAnsi="MS Mincho" w:eastAsia="MS Mincho" w:cs="MS Mincho"/>
          <w:color w:val="000000" w:themeColor="text1"/>
          <w:sz w:val="21"/>
          <w:szCs w:val="21"/>
          <w:u w:val="single"/>
        </w:rPr>
        <w:t>⁄</w:t>
      </w:r>
    </w:p>
    <w:p w14:paraId="17FE0D31">
      <w:pPr>
        <w:pStyle w:val="200"/>
        <w:spacing w:line="360" w:lineRule="auto"/>
        <w:ind w:firstLine="422"/>
        <w:rPr>
          <w:rFonts w:hint="default"/>
          <w:color w:val="000000" w:themeColor="text1"/>
          <w:sz w:val="21"/>
          <w:szCs w:val="21"/>
        </w:rPr>
      </w:pPr>
      <w:r>
        <w:rPr>
          <w:b/>
          <w:color w:val="000000" w:themeColor="text1"/>
          <w:sz w:val="21"/>
          <w:szCs w:val="21"/>
        </w:rPr>
        <w:t>三、施工组织设计和工期</w:t>
      </w:r>
    </w:p>
    <w:p w14:paraId="084CD3A4">
      <w:pPr>
        <w:pStyle w:val="200"/>
        <w:spacing w:line="360" w:lineRule="auto"/>
        <w:ind w:firstLine="422"/>
        <w:rPr>
          <w:rFonts w:hint="default"/>
          <w:color w:val="000000" w:themeColor="text1"/>
          <w:sz w:val="21"/>
          <w:szCs w:val="21"/>
        </w:rPr>
      </w:pPr>
      <w:r>
        <w:rPr>
          <w:b/>
          <w:color w:val="000000" w:themeColor="text1"/>
          <w:sz w:val="21"/>
          <w:szCs w:val="21"/>
        </w:rPr>
        <w:t>8.进度计划</w:t>
      </w:r>
    </w:p>
    <w:p w14:paraId="065FEEF5">
      <w:pPr>
        <w:pStyle w:val="200"/>
        <w:spacing w:line="360" w:lineRule="auto"/>
        <w:ind w:firstLine="420"/>
        <w:rPr>
          <w:rFonts w:hint="default"/>
          <w:color w:val="000000" w:themeColor="text1"/>
          <w:sz w:val="21"/>
          <w:szCs w:val="21"/>
        </w:rPr>
      </w:pPr>
      <w:r>
        <w:rPr>
          <w:color w:val="000000" w:themeColor="text1"/>
          <w:sz w:val="21"/>
          <w:szCs w:val="21"/>
        </w:rPr>
        <w:t>8.1乙方提供施工组织设计（施工方案）和进度计划的时间：</w:t>
      </w:r>
      <w:r>
        <w:rPr>
          <w:color w:val="000000" w:themeColor="text1"/>
          <w:sz w:val="21"/>
          <w:szCs w:val="21"/>
          <w:u w:val="single"/>
        </w:rPr>
        <w:t>中标通知书送达后5天内。</w:t>
      </w:r>
    </w:p>
    <w:p w14:paraId="295EDF35">
      <w:pPr>
        <w:pStyle w:val="200"/>
        <w:spacing w:line="360" w:lineRule="auto"/>
        <w:ind w:firstLine="420"/>
        <w:rPr>
          <w:rFonts w:hint="default"/>
          <w:color w:val="000000" w:themeColor="text1"/>
          <w:sz w:val="21"/>
          <w:szCs w:val="21"/>
        </w:rPr>
      </w:pPr>
      <w:r>
        <w:rPr>
          <w:color w:val="000000" w:themeColor="text1"/>
          <w:sz w:val="21"/>
          <w:szCs w:val="21"/>
        </w:rPr>
        <w:t>工程师确认的时间：</w:t>
      </w:r>
      <w:r>
        <w:rPr>
          <w:color w:val="000000" w:themeColor="text1"/>
          <w:sz w:val="21"/>
          <w:szCs w:val="21"/>
          <w:u w:val="single"/>
        </w:rPr>
        <w:t>收件后五天内。</w:t>
      </w:r>
    </w:p>
    <w:p w14:paraId="37A5C28E">
      <w:pPr>
        <w:pStyle w:val="200"/>
        <w:spacing w:line="360" w:lineRule="auto"/>
        <w:ind w:firstLine="420"/>
        <w:rPr>
          <w:rFonts w:hint="default"/>
          <w:color w:val="000000" w:themeColor="text1"/>
          <w:sz w:val="21"/>
          <w:szCs w:val="21"/>
        </w:rPr>
      </w:pPr>
      <w:r>
        <w:rPr>
          <w:color w:val="000000" w:themeColor="text1"/>
          <w:sz w:val="21"/>
          <w:szCs w:val="21"/>
        </w:rPr>
        <w:t>8.2群体工程中有关进度计划的要求：</w:t>
      </w:r>
      <w:r>
        <w:rPr>
          <w:color w:val="000000" w:themeColor="text1"/>
          <w:sz w:val="21"/>
          <w:szCs w:val="21"/>
          <w:u w:val="single"/>
        </w:rPr>
        <w:t>无</w:t>
      </w:r>
    </w:p>
    <w:p w14:paraId="6D25944E">
      <w:pPr>
        <w:pStyle w:val="200"/>
        <w:spacing w:line="360" w:lineRule="auto"/>
        <w:ind w:firstLine="422"/>
        <w:rPr>
          <w:rFonts w:hint="default"/>
          <w:color w:val="000000" w:themeColor="text1"/>
          <w:sz w:val="21"/>
          <w:szCs w:val="21"/>
        </w:rPr>
      </w:pPr>
      <w:r>
        <w:rPr>
          <w:b/>
          <w:color w:val="000000" w:themeColor="text1"/>
          <w:sz w:val="21"/>
          <w:szCs w:val="21"/>
        </w:rPr>
        <w:t>9.工程工期</w:t>
      </w:r>
    </w:p>
    <w:p w14:paraId="55B7628E">
      <w:pPr>
        <w:pStyle w:val="200"/>
        <w:spacing w:line="360" w:lineRule="auto"/>
        <w:ind w:firstLine="420"/>
        <w:rPr>
          <w:rFonts w:hint="default"/>
          <w:color w:val="000000" w:themeColor="text1"/>
          <w:sz w:val="21"/>
          <w:szCs w:val="21"/>
          <w:u w:val="single"/>
        </w:rPr>
      </w:pPr>
      <w:r>
        <w:rPr>
          <w:color w:val="000000" w:themeColor="text1"/>
          <w:sz w:val="21"/>
          <w:szCs w:val="21"/>
        </w:rPr>
        <w:t>9.1</w:t>
      </w:r>
      <w:r>
        <w:rPr>
          <w:color w:val="000000" w:themeColor="text1"/>
          <w:sz w:val="21"/>
          <w:szCs w:val="21"/>
          <w:u w:val="single"/>
        </w:rPr>
        <w:t>甲方要求比合同约定的工期提前竣工时，应征得乙方同意，并支付乙方因赶工采取的措施费用。</w:t>
      </w:r>
    </w:p>
    <w:p w14:paraId="774CC2EA">
      <w:pPr>
        <w:pStyle w:val="200"/>
        <w:spacing w:line="360" w:lineRule="auto"/>
        <w:ind w:firstLine="420"/>
        <w:rPr>
          <w:rFonts w:hint="default"/>
          <w:color w:val="000000" w:themeColor="text1"/>
          <w:sz w:val="21"/>
          <w:szCs w:val="21"/>
          <w:u w:val="single"/>
        </w:rPr>
      </w:pPr>
      <w:r>
        <w:rPr>
          <w:color w:val="000000" w:themeColor="text1"/>
          <w:sz w:val="21"/>
          <w:szCs w:val="21"/>
        </w:rPr>
        <w:t>9.2</w:t>
      </w:r>
      <w:r>
        <w:rPr>
          <w:color w:val="000000" w:themeColor="text1"/>
          <w:sz w:val="21"/>
          <w:szCs w:val="21"/>
          <w:u w:val="single"/>
        </w:rPr>
        <w:t>因政府或有关部门的行为或不可抗力，导致无法动工、影响工期的，可根据具体情况顺延工期。</w:t>
      </w:r>
    </w:p>
    <w:p w14:paraId="56DE8956">
      <w:pPr>
        <w:pStyle w:val="200"/>
        <w:spacing w:line="360" w:lineRule="auto"/>
        <w:ind w:firstLine="420"/>
        <w:rPr>
          <w:rFonts w:hint="default"/>
          <w:color w:val="000000" w:themeColor="text1"/>
          <w:sz w:val="21"/>
          <w:szCs w:val="21"/>
          <w:u w:val="single"/>
        </w:rPr>
      </w:pPr>
      <w:r>
        <w:rPr>
          <w:color w:val="000000" w:themeColor="text1"/>
          <w:sz w:val="21"/>
          <w:szCs w:val="21"/>
          <w:u w:val="single"/>
        </w:rPr>
        <w:t>9.3因乙方责任，不能按期开工或中途无故停工，影响工期，工期不顺延。</w:t>
      </w:r>
    </w:p>
    <w:p w14:paraId="32478BAC">
      <w:pPr>
        <w:pStyle w:val="200"/>
        <w:spacing w:line="360" w:lineRule="auto"/>
        <w:ind w:firstLine="420"/>
        <w:rPr>
          <w:rFonts w:hint="default"/>
          <w:color w:val="000000" w:themeColor="text1"/>
          <w:sz w:val="21"/>
          <w:szCs w:val="21"/>
        </w:rPr>
      </w:pPr>
      <w:r>
        <w:rPr>
          <w:color w:val="000000" w:themeColor="text1"/>
          <w:sz w:val="21"/>
          <w:szCs w:val="21"/>
          <w:u w:val="single"/>
        </w:rPr>
        <w:t>9.4因设计变更或非乙方原因造成的停电、停水、停气及不可抗力因素影响，导致停工8小时以上（一周内累计计算），工期相应顺延。如发生上述所述情况，乙方应在事发后24小时内告知甲方，并提供足够证据予以证实，否则甲方将不接受乙方擅自顺延工期的做法。经甲方现场代表签证后，工期作相应顺延，并用书面形式确定顺延期限。</w:t>
      </w:r>
    </w:p>
    <w:p w14:paraId="7DC620BE">
      <w:pPr>
        <w:pStyle w:val="200"/>
        <w:spacing w:line="360" w:lineRule="auto"/>
        <w:ind w:firstLine="420"/>
        <w:rPr>
          <w:rFonts w:hint="default"/>
          <w:color w:val="000000" w:themeColor="text1"/>
          <w:sz w:val="21"/>
          <w:szCs w:val="21"/>
        </w:rPr>
      </w:pPr>
      <w:r>
        <w:rPr>
          <w:color w:val="000000" w:themeColor="text1"/>
          <w:sz w:val="21"/>
          <w:szCs w:val="21"/>
        </w:rPr>
        <w:t>9.5双方约定工期顺延的其他情况：</w:t>
      </w:r>
      <w:r>
        <w:rPr>
          <w:color w:val="000000" w:themeColor="text1"/>
          <w:sz w:val="21"/>
          <w:szCs w:val="21"/>
          <w:u w:val="single"/>
        </w:rPr>
        <w:t>若因甲方原因而拖延，按监理工程师、甲方签证顺延，但因工期顺延发生的间接费不予增加。因乙方原因而拖延工期，则按本合同专用条款第9.3条规定执行。</w:t>
      </w:r>
    </w:p>
    <w:p w14:paraId="34E3225E">
      <w:pPr>
        <w:pStyle w:val="200"/>
        <w:spacing w:line="360" w:lineRule="auto"/>
        <w:ind w:firstLine="420"/>
        <w:rPr>
          <w:rFonts w:hint="default"/>
          <w:color w:val="000000" w:themeColor="text1"/>
          <w:sz w:val="21"/>
          <w:szCs w:val="21"/>
        </w:rPr>
      </w:pPr>
      <w:r>
        <w:rPr>
          <w:color w:val="000000" w:themeColor="text1"/>
          <w:sz w:val="21"/>
          <w:szCs w:val="21"/>
        </w:rPr>
        <w:t>9.6工期处罚：</w:t>
      </w:r>
      <w:r>
        <w:rPr>
          <w:color w:val="000000" w:themeColor="text1"/>
          <w:sz w:val="21"/>
          <w:szCs w:val="21"/>
          <w:u w:val="single"/>
        </w:rPr>
        <w:t>工期每拖延一天支付违约金5000.00元。违约金从乙方的工程款中扣除。乙方的实际施工现场推进工期与乙方所提供的技术施工组织设计中的施工进度控制表的单项工序出现偏差超过1/3临界危险工期时，甲方以书面形式通知乙方，如乙方7日内尚无具体整改调整工程进度的应变措施，甲方有权采取一切有效的强硬措施介入乙方的现场施工管理，以确保工程工期顺利推进，并由乙方负责由此引起的一切经济责任。</w:t>
      </w:r>
    </w:p>
    <w:p w14:paraId="08AA480B">
      <w:pPr>
        <w:pStyle w:val="200"/>
        <w:widowControl w:val="0"/>
        <w:spacing w:line="360" w:lineRule="auto"/>
        <w:ind w:firstLine="420"/>
        <w:rPr>
          <w:rFonts w:hint="default"/>
          <w:b/>
          <w:bCs/>
          <w:color w:val="000000" w:themeColor="text1"/>
          <w:sz w:val="21"/>
          <w:szCs w:val="21"/>
        </w:rPr>
      </w:pPr>
      <w:r>
        <w:rPr>
          <w:b/>
          <w:bCs/>
          <w:color w:val="000000" w:themeColor="text1"/>
          <w:sz w:val="21"/>
          <w:szCs w:val="21"/>
        </w:rPr>
        <w:t>四、质量与验收</w:t>
      </w:r>
    </w:p>
    <w:p w14:paraId="079A83F3">
      <w:pPr>
        <w:pStyle w:val="200"/>
        <w:widowControl w:val="0"/>
        <w:spacing w:line="360" w:lineRule="auto"/>
        <w:ind w:firstLine="420"/>
        <w:rPr>
          <w:rFonts w:hint="default"/>
          <w:color w:val="000000" w:themeColor="text1"/>
          <w:sz w:val="21"/>
          <w:szCs w:val="21"/>
          <w:u w:val="single"/>
        </w:rPr>
      </w:pPr>
      <w:r>
        <w:rPr>
          <w:color w:val="000000" w:themeColor="text1"/>
          <w:sz w:val="21"/>
          <w:szCs w:val="21"/>
          <w:u w:val="single"/>
        </w:rPr>
        <w:t>本工程以设计变更和参照《建筑工程施工质量验收统一标准》（GB50300-2013）、《建筑装饰装修工程质量验收标准》（GB50210-2018）等国家制订的施工及验收规范为质量评定验收标准。并达到合格标准。</w:t>
      </w:r>
    </w:p>
    <w:p w14:paraId="4DC4AC5C">
      <w:pPr>
        <w:pStyle w:val="200"/>
        <w:widowControl w:val="0"/>
        <w:spacing w:line="360" w:lineRule="auto"/>
        <w:ind w:firstLine="420"/>
        <w:rPr>
          <w:rFonts w:hint="default"/>
          <w:color w:val="000000" w:themeColor="text1"/>
          <w:sz w:val="21"/>
          <w:szCs w:val="21"/>
          <w:u w:val="single"/>
        </w:rPr>
      </w:pPr>
      <w:r>
        <w:rPr>
          <w:color w:val="000000" w:themeColor="text1"/>
          <w:sz w:val="21"/>
          <w:szCs w:val="21"/>
          <w:u w:val="single"/>
        </w:rPr>
        <w:t>甲、乙双方应及时办理工程的检查与验收手续。乙方应于验收前24小时通知甲方，甲方代表接到通知后24小时内应到现场检验，认可签证后，方可进行下一道工序施工。若甲方要求复验时，乙方应按要求办理复验。若复验合格，甲方应承担复验费用，由此造成停工，工期顺延；若复验不合格，其复验及返工费用由乙方承担，但工期也不予顺延。</w:t>
      </w:r>
    </w:p>
    <w:p w14:paraId="0D153046">
      <w:pPr>
        <w:pStyle w:val="200"/>
        <w:widowControl w:val="0"/>
        <w:spacing w:line="360" w:lineRule="auto"/>
        <w:ind w:firstLine="420"/>
        <w:rPr>
          <w:rFonts w:hint="default"/>
          <w:color w:val="000000" w:themeColor="text1"/>
          <w:sz w:val="21"/>
          <w:szCs w:val="21"/>
          <w:u w:val="single"/>
        </w:rPr>
      </w:pPr>
      <w:r>
        <w:rPr>
          <w:color w:val="000000" w:themeColor="text1"/>
          <w:sz w:val="21"/>
          <w:szCs w:val="21"/>
          <w:u w:val="single"/>
        </w:rPr>
        <w:t>由于乙方原因造成质量事故，其返工费用由乙方承担，工期不顺延。</w:t>
      </w:r>
    </w:p>
    <w:p w14:paraId="00E9A1A9">
      <w:pPr>
        <w:pStyle w:val="200"/>
        <w:widowControl w:val="0"/>
        <w:spacing w:line="360" w:lineRule="auto"/>
        <w:ind w:firstLine="420"/>
        <w:rPr>
          <w:rFonts w:hint="default"/>
          <w:color w:val="000000" w:themeColor="text1"/>
          <w:sz w:val="21"/>
          <w:szCs w:val="21"/>
        </w:rPr>
      </w:pPr>
      <w:r>
        <w:rPr>
          <w:color w:val="000000" w:themeColor="text1"/>
          <w:sz w:val="21"/>
          <w:szCs w:val="21"/>
        </w:rPr>
        <w:t>工程具备竣工验收条件，乙方按国家工程竣工验收有关规定，向甲方提供完整竣工资料及竣工验收报告。如工程具备验收资格，甲方收到竣工验收报告后七天内组织有关单位验收。经验收后如质量不合格的，由乙方在限定的期限返修后再进行验收，直至符合要求为止。</w:t>
      </w:r>
    </w:p>
    <w:p w14:paraId="1DEB74AA">
      <w:pPr>
        <w:pStyle w:val="200"/>
        <w:widowControl w:val="0"/>
        <w:spacing w:line="360" w:lineRule="auto"/>
        <w:ind w:firstLine="420"/>
        <w:rPr>
          <w:rFonts w:hint="default"/>
          <w:color w:val="000000" w:themeColor="text1"/>
          <w:sz w:val="21"/>
          <w:szCs w:val="21"/>
        </w:rPr>
      </w:pPr>
      <w:r>
        <w:rPr>
          <w:color w:val="000000" w:themeColor="text1"/>
          <w:sz w:val="21"/>
          <w:szCs w:val="21"/>
        </w:rPr>
        <w:t>工程竣工合格后三天验收各方在竣工验收报告上签字确认。乙方在竣工验收合格后7天内向甲方提交竣工验收资料。</w:t>
      </w:r>
    </w:p>
    <w:p w14:paraId="6CE74DEF">
      <w:pPr>
        <w:pStyle w:val="200"/>
        <w:spacing w:line="360" w:lineRule="auto"/>
        <w:ind w:firstLine="422"/>
        <w:rPr>
          <w:rFonts w:hint="default"/>
          <w:color w:val="000000" w:themeColor="text1"/>
          <w:sz w:val="21"/>
          <w:szCs w:val="21"/>
        </w:rPr>
      </w:pPr>
      <w:r>
        <w:rPr>
          <w:b/>
          <w:color w:val="000000" w:themeColor="text1"/>
          <w:sz w:val="21"/>
          <w:szCs w:val="21"/>
        </w:rPr>
        <w:t>五、安全施工</w:t>
      </w:r>
    </w:p>
    <w:p w14:paraId="00A5CDAA">
      <w:pPr>
        <w:pStyle w:val="200"/>
        <w:spacing w:line="360" w:lineRule="auto"/>
        <w:ind w:firstLine="629"/>
        <w:rPr>
          <w:rFonts w:hint="default"/>
          <w:color w:val="000000" w:themeColor="text1"/>
          <w:sz w:val="21"/>
          <w:szCs w:val="21"/>
        </w:rPr>
      </w:pPr>
      <w:r>
        <w:rPr>
          <w:color w:val="000000" w:themeColor="text1"/>
          <w:sz w:val="21"/>
          <w:szCs w:val="21"/>
          <w:u w:val="single"/>
        </w:rPr>
        <w:t>承包方应保证文明施工、安全生产，并按《建设工程安全生产管理条例》《建筑施工安全检查标准》JGJ 59-2011执行，保证文明施工、安全生产，因施工安全措施不当而引起的一切工伤意外或引起发包方人员及其他人员意外的一切经济损失和责任均由承包方负全部责任。</w:t>
      </w:r>
    </w:p>
    <w:p w14:paraId="73CFA9FA">
      <w:pPr>
        <w:pStyle w:val="200"/>
        <w:spacing w:line="360" w:lineRule="auto"/>
        <w:ind w:firstLine="422" w:firstLineChars="200"/>
        <w:rPr>
          <w:rFonts w:hint="default"/>
          <w:color w:val="000000" w:themeColor="text1"/>
          <w:sz w:val="21"/>
          <w:szCs w:val="21"/>
        </w:rPr>
      </w:pPr>
      <w:r>
        <w:rPr>
          <w:b/>
          <w:color w:val="000000" w:themeColor="text1"/>
          <w:sz w:val="21"/>
          <w:szCs w:val="21"/>
        </w:rPr>
        <w:t>六、合同价款与支付</w:t>
      </w:r>
    </w:p>
    <w:p w14:paraId="00B8D702">
      <w:pPr>
        <w:pStyle w:val="200"/>
        <w:spacing w:line="360" w:lineRule="auto"/>
        <w:ind w:firstLine="422"/>
        <w:rPr>
          <w:rFonts w:hint="default"/>
          <w:color w:val="000000" w:themeColor="text1"/>
          <w:sz w:val="21"/>
          <w:szCs w:val="21"/>
        </w:rPr>
      </w:pPr>
      <w:r>
        <w:rPr>
          <w:b/>
          <w:color w:val="000000" w:themeColor="text1"/>
          <w:sz w:val="21"/>
          <w:szCs w:val="21"/>
        </w:rPr>
        <w:t>10.合同价款及调整</w:t>
      </w:r>
    </w:p>
    <w:p w14:paraId="4E1D180E">
      <w:pPr>
        <w:pStyle w:val="200"/>
        <w:spacing w:line="360" w:lineRule="auto"/>
        <w:ind w:firstLine="420"/>
        <w:rPr>
          <w:rFonts w:hint="default"/>
          <w:color w:val="000000" w:themeColor="text1"/>
          <w:sz w:val="21"/>
          <w:szCs w:val="21"/>
        </w:rPr>
      </w:pPr>
      <w:r>
        <w:rPr>
          <w:color w:val="000000" w:themeColor="text1"/>
          <w:sz w:val="21"/>
          <w:szCs w:val="21"/>
        </w:rPr>
        <w:t>10.1本合同价款采用</w:t>
      </w:r>
      <w:r>
        <w:rPr>
          <w:color w:val="000000" w:themeColor="text1"/>
          <w:sz w:val="21"/>
          <w:szCs w:val="21"/>
          <w:u w:val="single"/>
        </w:rPr>
        <w:t>综合单价包干</w:t>
      </w:r>
      <w:r>
        <w:rPr>
          <w:color w:val="000000" w:themeColor="text1"/>
          <w:sz w:val="21"/>
          <w:szCs w:val="21"/>
        </w:rPr>
        <w:t>方式确定。</w:t>
      </w:r>
    </w:p>
    <w:p w14:paraId="4D30B0FF">
      <w:pPr>
        <w:pStyle w:val="200"/>
        <w:spacing w:line="360" w:lineRule="auto"/>
        <w:ind w:firstLine="420"/>
        <w:rPr>
          <w:rFonts w:hint="default"/>
          <w:color w:val="000000" w:themeColor="text1"/>
          <w:sz w:val="21"/>
          <w:szCs w:val="21"/>
        </w:rPr>
      </w:pPr>
      <w:r>
        <w:rPr>
          <w:color w:val="000000" w:themeColor="text1"/>
          <w:sz w:val="21"/>
          <w:szCs w:val="21"/>
        </w:rPr>
        <w:t>10. 2双方约定合同价款的其他调整因素：</w:t>
      </w:r>
    </w:p>
    <w:p w14:paraId="6002F8C2">
      <w:pPr>
        <w:pStyle w:val="200"/>
        <w:spacing w:line="360" w:lineRule="auto"/>
        <w:ind w:firstLine="426"/>
        <w:rPr>
          <w:rFonts w:hint="default"/>
          <w:color w:val="000000" w:themeColor="text1"/>
          <w:sz w:val="21"/>
          <w:szCs w:val="21"/>
        </w:rPr>
      </w:pPr>
      <w:r>
        <w:rPr>
          <w:color w:val="000000" w:themeColor="text1"/>
          <w:sz w:val="21"/>
          <w:szCs w:val="21"/>
          <w:u w:val="single"/>
        </w:rPr>
        <w:t>（1）采用综合单价包干合同，合同价款中包括的风险范围，按以下方式调整。</w:t>
      </w:r>
    </w:p>
    <w:p w14:paraId="6D0E074F">
      <w:pPr>
        <w:pStyle w:val="200"/>
        <w:spacing w:line="360" w:lineRule="auto"/>
        <w:ind w:firstLine="420"/>
        <w:rPr>
          <w:rFonts w:hint="default"/>
          <w:color w:val="000000" w:themeColor="text1"/>
          <w:sz w:val="21"/>
          <w:szCs w:val="21"/>
        </w:rPr>
      </w:pPr>
      <w:r>
        <w:rPr>
          <w:color w:val="000000" w:themeColor="text1"/>
          <w:sz w:val="21"/>
          <w:szCs w:val="21"/>
          <w:u w:val="single"/>
        </w:rPr>
        <w:t>（2）本工程按照甲方提供统一的《分部分项工程和单价措施项目清单与计价表》，采用工程量清单计价格式，在工程结算时，</w:t>
      </w:r>
      <w:r>
        <w:rPr>
          <w:rFonts w:hint="eastAsia"/>
          <w:color w:val="000000" w:themeColor="text1"/>
          <w:sz w:val="21"/>
          <w:szCs w:val="21"/>
          <w:u w:val="single"/>
        </w:rPr>
        <w:t>按实际完成的工程量结算，结算金额以造价咨询机构审核为准，结算金额不得高于合同价</w:t>
      </w:r>
      <w:r>
        <w:rPr>
          <w:color w:val="000000" w:themeColor="text1"/>
          <w:sz w:val="21"/>
          <w:szCs w:val="21"/>
          <w:u w:val="single"/>
        </w:rPr>
        <w:t>。不可竞争性费用包括但不限于 1、安全生产措施费；2、暂列金额或预留金；3、暂估价。本工程浮动系数为        ，以下同。当工程量清单项目中工程量的增加超过10%时，超过10%的部分结算单价甲方保留按照本合同“第10.2（3）③条款”重新定价的权力；在工程结算时，对于不利于甲方的不平衡报价的项目，甲方保留按照本合同专用条款“第10.2（3）③条款”对其更正或二次定价的权利。</w:t>
      </w:r>
    </w:p>
    <w:p w14:paraId="4E3B63ED">
      <w:pPr>
        <w:pStyle w:val="200"/>
        <w:spacing w:line="360" w:lineRule="auto"/>
        <w:ind w:firstLine="420"/>
        <w:rPr>
          <w:rFonts w:hint="default"/>
          <w:color w:val="000000" w:themeColor="text1"/>
          <w:sz w:val="21"/>
          <w:szCs w:val="21"/>
        </w:rPr>
      </w:pPr>
      <w:r>
        <w:rPr>
          <w:color w:val="000000" w:themeColor="text1"/>
          <w:sz w:val="21"/>
          <w:szCs w:val="21"/>
          <w:u w:val="single"/>
        </w:rPr>
        <w:t>（3）中标的《分部分项工程和单价措施项目清单与计价表》以外的工程项目（含暂估价项目或因修改变更等情况出现的工程变更），按以下方法处理：</w:t>
      </w:r>
    </w:p>
    <w:p w14:paraId="5775493F">
      <w:pPr>
        <w:pStyle w:val="200"/>
        <w:spacing w:line="360" w:lineRule="auto"/>
        <w:ind w:firstLine="420"/>
        <w:rPr>
          <w:rFonts w:hint="default"/>
          <w:color w:val="000000" w:themeColor="text1"/>
          <w:sz w:val="21"/>
          <w:szCs w:val="21"/>
        </w:rPr>
      </w:pPr>
      <w:r>
        <w:rPr>
          <w:color w:val="000000" w:themeColor="text1"/>
          <w:sz w:val="21"/>
          <w:szCs w:val="21"/>
          <w:u w:val="single"/>
        </w:rPr>
        <w:t>①中标的响应文件《分部分项工程和单价措施项目清单与计价表》中已有的项目，综合单价按乙方的中标综合单价执行，工程量按实结算。</w:t>
      </w:r>
    </w:p>
    <w:p w14:paraId="4987E109">
      <w:pPr>
        <w:pStyle w:val="200"/>
        <w:spacing w:line="360" w:lineRule="auto"/>
        <w:ind w:firstLine="420"/>
        <w:rPr>
          <w:rFonts w:hint="default"/>
          <w:color w:val="000000" w:themeColor="text1"/>
          <w:sz w:val="21"/>
          <w:szCs w:val="21"/>
          <w:u w:val="single"/>
        </w:rPr>
      </w:pPr>
      <w:r>
        <w:rPr>
          <w:color w:val="000000" w:themeColor="text1"/>
          <w:sz w:val="21"/>
          <w:szCs w:val="21"/>
        </w:rPr>
        <w:t>②</w:t>
      </w:r>
      <w:r>
        <w:rPr>
          <w:color w:val="000000" w:themeColor="text1"/>
          <w:sz w:val="21"/>
          <w:szCs w:val="21"/>
          <w:u w:val="single"/>
        </w:rPr>
        <w:t>中标的响应文件《分部分项工程和单价措施项目清单与计价表》中已有类似项目的综合单价，则按类似项目的综合单价对相应子目、消耗量、单价等进行调整换算，原管理费、利润水平不变。如中标的响应文件《分部分项工程和单价措施项目清单与计价表》中类似项目的综合单价有两个以上，则由发包人按消耗量最少、管理费和利润取费最低的优先顺序选择类似项目综合单价进行换算。如换算时出现类似项目中没有的材料单价，按</w:t>
      </w:r>
      <w:r>
        <w:rPr>
          <w:rFonts w:hint="eastAsia"/>
          <w:color w:val="000000" w:themeColor="text1"/>
          <w:sz w:val="21"/>
          <w:szCs w:val="21"/>
          <w:u w:val="single"/>
          <w:lang w:eastAsia="zh-CN"/>
        </w:rPr>
        <w:t>广州</w:t>
      </w:r>
      <w:r>
        <w:rPr>
          <w:color w:val="000000" w:themeColor="text1"/>
          <w:sz w:val="21"/>
          <w:szCs w:val="21"/>
          <w:u w:val="single"/>
        </w:rPr>
        <w:t>市建设工程造价服务中心颁布的同期建设工程主要建筑材料市场价格指数等造价信息执行，若该文件中没有的材料单价由承包人报监理单位审核、发包人审定确定最终材料价格。经过上述计算的综合单价乘以浮动系数作为结算综合单价。</w:t>
      </w:r>
    </w:p>
    <w:p w14:paraId="7CD0E65D">
      <w:pPr>
        <w:pStyle w:val="200"/>
        <w:spacing w:line="360" w:lineRule="auto"/>
        <w:ind w:firstLine="420"/>
        <w:rPr>
          <w:rFonts w:hint="default"/>
          <w:color w:val="000000" w:themeColor="text1"/>
          <w:sz w:val="21"/>
          <w:szCs w:val="21"/>
        </w:rPr>
      </w:pPr>
      <w:r>
        <w:rPr>
          <w:color w:val="000000" w:themeColor="text1"/>
          <w:sz w:val="21"/>
          <w:szCs w:val="21"/>
          <w:u w:val="single"/>
        </w:rPr>
        <w:t>当工程量清单项目中工程量的变化幅度在10%以外时，其结算单价按甲方重新审核单价执行；对于不利于甲方的不平衡报价的项目，结算单价按甲方重新审核单价执行。</w:t>
      </w:r>
    </w:p>
    <w:p w14:paraId="752284A7">
      <w:pPr>
        <w:pStyle w:val="200"/>
        <w:spacing w:line="360" w:lineRule="auto"/>
        <w:ind w:firstLine="420"/>
        <w:rPr>
          <w:rFonts w:hint="default"/>
          <w:color w:val="000000" w:themeColor="text1"/>
          <w:sz w:val="21"/>
          <w:szCs w:val="21"/>
        </w:rPr>
      </w:pPr>
      <w:r>
        <w:rPr>
          <w:color w:val="000000" w:themeColor="text1"/>
          <w:sz w:val="21"/>
          <w:szCs w:val="21"/>
          <w:u w:val="single"/>
        </w:rPr>
        <w:t>③中标的响应文件《分部分项工程和单价措施项目清单与计价表》中既没有相同也没有类似项目的，按《广东省建设工程计价依据》（2018）、</w:t>
      </w:r>
      <w:r>
        <w:rPr>
          <w:color w:val="000000" w:themeColor="text1"/>
          <w:sz w:val="21"/>
          <w:szCs w:val="21"/>
          <w:u w:val="single"/>
          <w:shd w:val="clear" w:color="auto" w:fill="FFFFFF"/>
        </w:rPr>
        <w:t>《建设工程工程量清单计价标准》（GB/T50500-2024）、《通用安装工程工程量计算规范》（GB50856-2024）、《房屋建筑与装饰工程工程量计算规范》（GB50854-2024）、《市政工程工程量计算规范》（GB50857-2024）、</w:t>
      </w:r>
      <w:r>
        <w:rPr>
          <w:color w:val="000000" w:themeColor="text1"/>
          <w:sz w:val="21"/>
          <w:szCs w:val="21"/>
          <w:u w:val="single"/>
        </w:rPr>
        <w:t>《广东省建筑与装饰工程综合定额（2018）》《广东省安装工程综合定额（2018）》《广东省市政工程综合定额（2018）》及建设主管部门颁发的最新的有关计价标准（按施工时期）为基准，有浮动范围的收费系数按最低值计取，主材按甲方审定的价格作为结算价，计算出税前造价后，按乙方中标价对比招标控制价下浮率下浮（本工程下浮率为：        ），计算变更合同价款，但施工前必须报监理审核，甲方审定。</w:t>
      </w:r>
    </w:p>
    <w:p w14:paraId="4847F912">
      <w:pPr>
        <w:pStyle w:val="200"/>
        <w:spacing w:line="360" w:lineRule="auto"/>
        <w:ind w:firstLine="420" w:firstLineChars="200"/>
        <w:rPr>
          <w:rFonts w:ascii="宋体" w:hAnsi="宋体"/>
          <w:color w:val="000000" w:themeColor="text1"/>
          <w:sz w:val="24"/>
          <w:szCs w:val="24"/>
        </w:rPr>
      </w:pPr>
      <w:r>
        <w:rPr>
          <w:color w:val="000000" w:themeColor="text1"/>
          <w:sz w:val="21"/>
          <w:szCs w:val="21"/>
          <w:u w:val="single"/>
        </w:rPr>
        <w:t>a）中标的响应文件《分部分项工程和单价措施项目清单与计价表》中没有的项目甲方确定主材价格的办法：A、对于报价中已有的材料，按报价主材单价（报价书中同一材料出现不同价格时，取其低者）；B、对于报价书中已有的材料，乙方在市场上未能采购到该材料的，若采购时甲方已提供参考品牌的，由甲方在报价参考品牌中选定材料，主材价格按报价主材单价（报价书中同一材料出现不同价格时，取其低者）；C、对报价中没有的材料，按</w:t>
      </w:r>
      <w:r>
        <w:rPr>
          <w:rFonts w:hint="eastAsia"/>
          <w:color w:val="000000" w:themeColor="text1"/>
          <w:sz w:val="21"/>
          <w:szCs w:val="21"/>
          <w:u w:val="single"/>
          <w:lang w:eastAsia="zh-CN"/>
        </w:rPr>
        <w:t>广州</w:t>
      </w:r>
      <w:r>
        <w:rPr>
          <w:color w:val="000000" w:themeColor="text1"/>
          <w:sz w:val="21"/>
          <w:szCs w:val="21"/>
          <w:u w:val="single"/>
        </w:rPr>
        <w:t>市建设工程造价服务中心颁布的同期建设工程主要建筑材料市场价格指数等造价信息执行，若该文件中没有的材料单价由承包人报监理单位审核、发包人审定确定最终材料价格。</w:t>
      </w:r>
    </w:p>
    <w:p w14:paraId="0C2B11DE">
      <w:pPr>
        <w:pStyle w:val="200"/>
        <w:spacing w:line="360" w:lineRule="auto"/>
        <w:ind w:firstLine="420"/>
        <w:rPr>
          <w:rFonts w:hint="default"/>
          <w:color w:val="000000" w:themeColor="text1"/>
          <w:sz w:val="21"/>
          <w:szCs w:val="21"/>
        </w:rPr>
      </w:pPr>
      <w:r>
        <w:rPr>
          <w:color w:val="000000" w:themeColor="text1"/>
          <w:sz w:val="21"/>
          <w:szCs w:val="21"/>
          <w:u w:val="single"/>
        </w:rPr>
        <w:t>b）若报价书中列出的主要材料在规格、型号、厂家、品牌、颜色等方面不能满足甲方使用要求的，若采购时甲方已提供参考品牌的，由甲方在报价参考品牌中选定材料，主材价格按报价主材单价不变；若采购时甲方未提供参考品牌的，按甲方和监理工程师市场询价确定。</w:t>
      </w:r>
    </w:p>
    <w:p w14:paraId="6B591B75">
      <w:pPr>
        <w:pStyle w:val="200"/>
        <w:spacing w:line="360" w:lineRule="auto"/>
        <w:ind w:firstLine="420"/>
        <w:rPr>
          <w:rFonts w:hint="default"/>
          <w:color w:val="000000" w:themeColor="text1"/>
          <w:sz w:val="21"/>
          <w:szCs w:val="21"/>
        </w:rPr>
      </w:pPr>
      <w:r>
        <w:rPr>
          <w:color w:val="000000" w:themeColor="text1"/>
          <w:sz w:val="21"/>
          <w:szCs w:val="21"/>
          <w:u w:val="single"/>
        </w:rPr>
        <w:t>c）乙方必须确保所报价材料能按报价书承诺的规格型号、品牌、厂家、产地采购并在本项目中使用。原则上不能变更承诺的规格型号、品牌、厂家、产地，如届时未能采购到所报价材料，需按甲方了解到的主材市场价格并考虑乙方违约责任后重新核价才可使用。</w:t>
      </w:r>
    </w:p>
    <w:p w14:paraId="547F3EFB">
      <w:pPr>
        <w:pStyle w:val="200"/>
        <w:spacing w:line="360" w:lineRule="auto"/>
        <w:ind w:firstLine="420"/>
        <w:rPr>
          <w:rFonts w:hint="default"/>
          <w:color w:val="000000" w:themeColor="text1"/>
          <w:sz w:val="21"/>
          <w:szCs w:val="21"/>
        </w:rPr>
      </w:pPr>
      <w:r>
        <w:rPr>
          <w:color w:val="000000" w:themeColor="text1"/>
          <w:sz w:val="21"/>
          <w:szCs w:val="21"/>
          <w:u w:val="single"/>
        </w:rPr>
        <w:t>d）设计变更、工程增减部分必须于该工程完成后一周内办理书面手续（变更通知或签证），逾期未办理的，甲方有权不予承认。工程部分项目取消或减少工程量的，乙方在送审的结算资料中应如实提供，不得遗漏，否则视为不诚信，若发生此类不诚信的事情，则乙方应支付该部分工程造价的10%的违约金。</w:t>
      </w:r>
    </w:p>
    <w:p w14:paraId="309FF72E">
      <w:pPr>
        <w:pStyle w:val="200"/>
        <w:spacing w:line="360" w:lineRule="auto"/>
        <w:ind w:firstLine="525"/>
        <w:rPr>
          <w:rFonts w:hint="default"/>
          <w:color w:val="000000" w:themeColor="text1"/>
          <w:sz w:val="21"/>
          <w:szCs w:val="21"/>
        </w:rPr>
      </w:pPr>
      <w:r>
        <w:rPr>
          <w:color w:val="000000" w:themeColor="text1"/>
          <w:sz w:val="21"/>
          <w:szCs w:val="21"/>
          <w:u w:val="single"/>
        </w:rPr>
        <w:t>（4）甲方可根据工程实际需要增加或减少部分工程或工作内容，有权对《分部分项工程和单价措施项目清单与计价表》中提供暂估价的主要材料或设备及清单中漏项的或后来新增加的材料或设备进行厂家和价格的确定，主要材料设备由乙方供货，结算时按实结算，乙方不得拒绝或要求调整其他任何单价及收取其他任何费用。</w:t>
      </w:r>
    </w:p>
    <w:p w14:paraId="03DA6AF1">
      <w:pPr>
        <w:pStyle w:val="200"/>
        <w:spacing w:line="360" w:lineRule="auto"/>
        <w:ind w:firstLine="525"/>
        <w:rPr>
          <w:rFonts w:hint="default"/>
          <w:color w:val="000000" w:themeColor="text1"/>
          <w:sz w:val="21"/>
          <w:szCs w:val="21"/>
        </w:rPr>
      </w:pPr>
      <w:r>
        <w:rPr>
          <w:color w:val="000000" w:themeColor="text1"/>
          <w:sz w:val="21"/>
          <w:szCs w:val="21"/>
          <w:u w:val="single"/>
        </w:rPr>
        <w:t>（5）甲方可根据工程实际需要对《分部分项工程和单价措施项目清单与计价表》或答疑文件中所提供的材料规格、暂定厂家和品牌等进行变更，变更后，乙方按照竞争性磋商文件规定的计价办法、定额、报价时期的材料、暂定的厂家和品牌所对应的采购控制价中材料价等，按工程中标下浮率下浮后退回变更部分的材料价格，按变更后所确定的材料规格、厂家和品牌等及竞争性磋商文件规定的计价办法、定额、相应施工时期的材料批复价等计价，中标下浮率为中标价相对于招标控制价的下浮率，乙方不得拒绝或要求调整其他任何单价及收取其他任何费用。</w:t>
      </w:r>
    </w:p>
    <w:p w14:paraId="6D45611C">
      <w:pPr>
        <w:pStyle w:val="200"/>
        <w:spacing w:line="360" w:lineRule="auto"/>
        <w:ind w:firstLine="525"/>
        <w:rPr>
          <w:rFonts w:hint="default"/>
          <w:color w:val="000000" w:themeColor="text1"/>
          <w:sz w:val="21"/>
          <w:szCs w:val="21"/>
          <w:u w:val="single"/>
        </w:rPr>
      </w:pPr>
      <w:r>
        <w:rPr>
          <w:color w:val="000000" w:themeColor="text1"/>
          <w:sz w:val="21"/>
          <w:szCs w:val="21"/>
          <w:u w:val="single"/>
        </w:rPr>
        <w:t>（6）甲方有权对乙方拟分包队伍实力、信誉、业绩及履约能力进行审查，甲方对拟分包队伍有异议的，有权不予认可，乙方不得使用该分包队伍，应限期另行遴选合格分包单位报送甲方确认。若乙方逾期仍无法提供符合甲方要求的分包单位，造成项目工期、履约风险的，视为乙方违约；甲方有权委托第三方实施该部分工作，对应部分工程款按原合同单价从乙方合同价款中予以扣除，乙方不得再就该部分计取任何费用，由此产生全部额外损失由乙方承担。</w:t>
      </w:r>
    </w:p>
    <w:p w14:paraId="19AB6CE7">
      <w:pPr>
        <w:pStyle w:val="200"/>
        <w:spacing w:line="360" w:lineRule="auto"/>
        <w:ind w:firstLine="525"/>
        <w:rPr>
          <w:rFonts w:hint="default"/>
          <w:color w:val="000000" w:themeColor="text1"/>
          <w:sz w:val="21"/>
          <w:szCs w:val="21"/>
        </w:rPr>
      </w:pPr>
      <w:r>
        <w:rPr>
          <w:color w:val="000000" w:themeColor="text1"/>
          <w:sz w:val="21"/>
          <w:szCs w:val="21"/>
          <w:u w:val="single"/>
        </w:rPr>
        <w:t>（7）本工程工期紧迫，专业工程交叉施工机会多，乙方应充分考虑各工种、专业队伍之间以及可能出现的分包队伍的配合协作问题所需时间和费用，甲方对此类事项只做联络协调，乙方不得据此向甲方提出工期和费用的索赔。</w:t>
      </w:r>
    </w:p>
    <w:p w14:paraId="607DABF6">
      <w:pPr>
        <w:pStyle w:val="200"/>
        <w:spacing w:line="360" w:lineRule="auto"/>
        <w:ind w:firstLine="525"/>
        <w:rPr>
          <w:rFonts w:hint="default"/>
          <w:color w:val="000000" w:themeColor="text1"/>
          <w:sz w:val="21"/>
          <w:szCs w:val="21"/>
        </w:rPr>
      </w:pPr>
      <w:r>
        <w:rPr>
          <w:color w:val="000000" w:themeColor="text1"/>
          <w:sz w:val="21"/>
          <w:szCs w:val="21"/>
          <w:u w:val="single"/>
        </w:rPr>
        <w:t>（8）施工主要材料的供应：为避免施工主要材料供应不及时导致工程延误，本工程施工的主要材料如因乙方原因造成材料供应不及时（采购、保管、运输、进场见证检验、提供合格证明等）导致关键工序延迟1周，甲方有权选择由甲方供货方式直至确定合格材料为止。乙方不得以任何理由提出拒绝，也不得以任何理由就甲方提供材料事件向甲方提出工期和费用索赔。</w:t>
      </w:r>
    </w:p>
    <w:p w14:paraId="503AF899">
      <w:pPr>
        <w:pStyle w:val="200"/>
        <w:spacing w:line="360" w:lineRule="auto"/>
        <w:ind w:firstLine="525"/>
        <w:rPr>
          <w:rFonts w:hint="default"/>
          <w:color w:val="000000" w:themeColor="text1"/>
          <w:sz w:val="21"/>
          <w:szCs w:val="21"/>
          <w:u w:val="single"/>
        </w:rPr>
      </w:pPr>
      <w:r>
        <w:rPr>
          <w:color w:val="000000" w:themeColor="text1"/>
          <w:sz w:val="21"/>
          <w:szCs w:val="21"/>
          <w:u w:val="single"/>
        </w:rPr>
        <w:t>（9）措施项目费结算时不作调整。安全防护、文明施工措施费使用办法按《广东省建设厅建筑工程安全防护、文明施工措施费用管理办法》（粤建管字〔2007〕39号），专款专用，金额为人民币           元。</w:t>
      </w:r>
    </w:p>
    <w:p w14:paraId="015FE592">
      <w:pPr>
        <w:pStyle w:val="200"/>
        <w:spacing w:line="360" w:lineRule="auto"/>
        <w:ind w:firstLine="525"/>
        <w:rPr>
          <w:rFonts w:hint="default"/>
          <w:color w:val="000000" w:themeColor="text1"/>
          <w:sz w:val="21"/>
          <w:szCs w:val="21"/>
        </w:rPr>
      </w:pPr>
      <w:r>
        <w:rPr>
          <w:color w:val="000000" w:themeColor="text1"/>
          <w:sz w:val="21"/>
          <w:szCs w:val="21"/>
          <w:u w:val="single"/>
        </w:rPr>
        <w:t>（10）工程质量检测由甲方委托具有相应资质</w:t>
      </w:r>
      <w:bookmarkStart w:id="22" w:name="_GoBack"/>
      <w:bookmarkEnd w:id="22"/>
      <w:r>
        <w:rPr>
          <w:color w:val="000000" w:themeColor="text1"/>
          <w:sz w:val="21"/>
          <w:szCs w:val="21"/>
          <w:u w:val="single"/>
        </w:rPr>
        <w:t>的检测机构进行检测。</w:t>
      </w:r>
    </w:p>
    <w:p w14:paraId="56F6B94D">
      <w:pPr>
        <w:pStyle w:val="200"/>
        <w:spacing w:line="360" w:lineRule="auto"/>
        <w:ind w:firstLine="525"/>
        <w:rPr>
          <w:rFonts w:hint="default"/>
          <w:color w:val="000000" w:themeColor="text1"/>
          <w:sz w:val="21"/>
          <w:szCs w:val="21"/>
        </w:rPr>
      </w:pPr>
      <w:r>
        <w:rPr>
          <w:color w:val="000000" w:themeColor="text1"/>
          <w:sz w:val="21"/>
          <w:szCs w:val="21"/>
          <w:u w:val="single"/>
        </w:rPr>
        <w:t>（11）算术错误的更正问题：</w:t>
      </w:r>
    </w:p>
    <w:p w14:paraId="522F9FB5">
      <w:pPr>
        <w:pStyle w:val="200"/>
        <w:spacing w:line="360" w:lineRule="auto"/>
        <w:ind w:firstLine="525"/>
        <w:rPr>
          <w:rFonts w:hint="default"/>
          <w:color w:val="000000" w:themeColor="text1"/>
          <w:sz w:val="21"/>
          <w:szCs w:val="21"/>
        </w:rPr>
      </w:pPr>
      <w:r>
        <w:rPr>
          <w:color w:val="000000" w:themeColor="text1"/>
          <w:sz w:val="21"/>
          <w:szCs w:val="21"/>
          <w:u w:val="single"/>
        </w:rPr>
        <w:t>A.如果数字表示的金额和用文字表示的金额不一致时，应以文字表示的金额为准；</w:t>
      </w:r>
    </w:p>
    <w:p w14:paraId="080EB4CE">
      <w:pPr>
        <w:pStyle w:val="200"/>
        <w:spacing w:line="360" w:lineRule="auto"/>
        <w:ind w:firstLine="525"/>
        <w:rPr>
          <w:rFonts w:hint="default"/>
          <w:color w:val="000000" w:themeColor="text1"/>
          <w:sz w:val="21"/>
          <w:szCs w:val="21"/>
        </w:rPr>
      </w:pPr>
      <w:r>
        <w:rPr>
          <w:color w:val="000000" w:themeColor="text1"/>
          <w:sz w:val="21"/>
          <w:szCs w:val="21"/>
          <w:u w:val="single"/>
        </w:rPr>
        <w:t>B.经甲方算术复核后的乙方报价与其成交价不一致时，按就低不就高原则确定其最终合同价；</w:t>
      </w:r>
    </w:p>
    <w:p w14:paraId="373AF257">
      <w:pPr>
        <w:pStyle w:val="200"/>
        <w:spacing w:line="360" w:lineRule="auto"/>
        <w:ind w:firstLine="525"/>
        <w:rPr>
          <w:rFonts w:hint="default"/>
          <w:color w:val="000000" w:themeColor="text1"/>
          <w:sz w:val="21"/>
          <w:szCs w:val="21"/>
        </w:rPr>
      </w:pPr>
      <w:r>
        <w:rPr>
          <w:color w:val="000000" w:themeColor="text1"/>
          <w:sz w:val="21"/>
          <w:szCs w:val="21"/>
          <w:u w:val="single"/>
        </w:rPr>
        <w:t>C.当单价与数量均符合竞争性磋商文件要求时，若单价与数量的乘积与合价不一致时，按就低不就高原则确定修改单价或合价。当单价与数量的乘积小于合价，以单价为准，修改合价，除非甲方认为单价有明显的小数点错误，此时应以标出的合价为准，并修改单价；当单价与数量的乘积大于合价，以合价为准，修改单价；</w:t>
      </w:r>
    </w:p>
    <w:p w14:paraId="6B6FD396">
      <w:pPr>
        <w:pStyle w:val="200"/>
        <w:spacing w:line="360" w:lineRule="auto"/>
        <w:ind w:firstLine="525"/>
        <w:rPr>
          <w:rFonts w:hint="default"/>
          <w:color w:val="000000" w:themeColor="text1"/>
          <w:sz w:val="21"/>
          <w:szCs w:val="21"/>
        </w:rPr>
      </w:pPr>
      <w:r>
        <w:rPr>
          <w:color w:val="000000" w:themeColor="text1"/>
          <w:sz w:val="21"/>
          <w:szCs w:val="21"/>
          <w:u w:val="single"/>
        </w:rPr>
        <w:t>D.当合价、金额累加错误时，按就低不就高原则，如果累加修正值小于原累加值，则按累加修正值；如果累加修正值大于原累加值，则按原累加值；</w:t>
      </w:r>
    </w:p>
    <w:p w14:paraId="3C15157B">
      <w:pPr>
        <w:pStyle w:val="200"/>
        <w:spacing w:line="360" w:lineRule="auto"/>
        <w:ind w:firstLine="525"/>
        <w:rPr>
          <w:rFonts w:hint="default"/>
          <w:color w:val="000000" w:themeColor="text1"/>
          <w:sz w:val="21"/>
          <w:szCs w:val="21"/>
        </w:rPr>
      </w:pPr>
      <w:r>
        <w:rPr>
          <w:color w:val="000000" w:themeColor="text1"/>
          <w:sz w:val="21"/>
          <w:szCs w:val="21"/>
          <w:u w:val="single"/>
        </w:rPr>
        <w:t>E.如果乙方的有关规费、所有暂估价、暂列金额等未按竞争性磋商文件规定的金额填写的，由甲方按照竞争性磋商文件规定的金额进行修正；</w:t>
      </w:r>
    </w:p>
    <w:p w14:paraId="0FE5F06B">
      <w:pPr>
        <w:pStyle w:val="200"/>
        <w:spacing w:line="360" w:lineRule="auto"/>
        <w:ind w:firstLine="525"/>
        <w:rPr>
          <w:rFonts w:hint="default"/>
          <w:color w:val="000000" w:themeColor="text1"/>
          <w:sz w:val="21"/>
          <w:szCs w:val="21"/>
        </w:rPr>
      </w:pPr>
      <w:r>
        <w:rPr>
          <w:color w:val="000000" w:themeColor="text1"/>
          <w:sz w:val="21"/>
          <w:szCs w:val="21"/>
          <w:u w:val="single"/>
        </w:rPr>
        <w:t>F.①分部分项工程量比竞争性磋商文件少、单位比竞争性磋商文件小或错误时，以竞争性磋商文件的工程量或单位为准，合价不变，修改综合单价。分部分项工程量比竞争性磋商文件多或单位比竞争性磋商文件大时，工程量、单位、综合单价及合价均不作修改；②分部分项项目漏项的，则该漏项费用视为已分配在其他项目中，不再修改；③分部分项工程量清单中的综合单价与综合单价分析表中的综合单价不一致时，以价低者为准；④分部分项工程量计价表中的项目编码或项目名称或计量单位或工程数量缺省或不填时，由甲方以竞争性磋商文件中甲方工程量清单为准进行修正；若同时缺省或不填项目编码和项目名称，则该项按增项处理；⑤分部分项项目增项的，不予修改；⑥其他竞争性磋商文件规定需要修改的，均以就低不就高原则进行修改；</w:t>
      </w:r>
    </w:p>
    <w:p w14:paraId="0344FF75">
      <w:pPr>
        <w:pStyle w:val="200"/>
        <w:spacing w:line="360" w:lineRule="auto"/>
        <w:ind w:firstLine="525"/>
        <w:rPr>
          <w:rFonts w:hint="default"/>
          <w:color w:val="000000" w:themeColor="text1"/>
          <w:sz w:val="21"/>
          <w:szCs w:val="21"/>
        </w:rPr>
      </w:pPr>
      <w:r>
        <w:rPr>
          <w:color w:val="000000" w:themeColor="text1"/>
          <w:sz w:val="21"/>
          <w:szCs w:val="21"/>
          <w:u w:val="single"/>
        </w:rPr>
        <w:t>G.按就低不就高原则，当修正后报价小于原报价，总价按修正后报价；当修正后报价大于原报价，总价按原报价，并以本合同专用条款附件形式载明在结算价中扣除修正报价与原报价的差额。</w:t>
      </w:r>
    </w:p>
    <w:p w14:paraId="0908E308">
      <w:pPr>
        <w:pStyle w:val="200"/>
        <w:spacing w:line="360" w:lineRule="auto"/>
        <w:ind w:firstLine="525"/>
        <w:rPr>
          <w:rFonts w:hint="default"/>
          <w:color w:val="000000" w:themeColor="text1"/>
          <w:sz w:val="21"/>
          <w:szCs w:val="21"/>
        </w:rPr>
      </w:pPr>
      <w:r>
        <w:rPr>
          <w:color w:val="000000" w:themeColor="text1"/>
          <w:sz w:val="21"/>
          <w:szCs w:val="21"/>
          <w:u w:val="single"/>
        </w:rPr>
        <w:t>10.3双方约定合同价款的其他调整因素：成交价为合同价，但由于工程变更致使合同价增减超过±10%范围时，应签订补充合同调整合同价。</w:t>
      </w:r>
    </w:p>
    <w:p w14:paraId="34FA4DE0">
      <w:pPr>
        <w:pStyle w:val="200"/>
        <w:spacing w:line="360" w:lineRule="auto"/>
        <w:ind w:firstLine="525"/>
        <w:rPr>
          <w:rFonts w:hint="default"/>
          <w:color w:val="000000" w:themeColor="text1"/>
          <w:sz w:val="21"/>
          <w:szCs w:val="21"/>
        </w:rPr>
      </w:pPr>
      <w:r>
        <w:rPr>
          <w:b/>
          <w:color w:val="000000" w:themeColor="text1"/>
          <w:sz w:val="21"/>
          <w:szCs w:val="21"/>
          <w:u w:val="single"/>
        </w:rPr>
        <w:t>11.工程预付款</w:t>
      </w:r>
    </w:p>
    <w:p w14:paraId="0DBF4FBA">
      <w:pPr>
        <w:pStyle w:val="200"/>
        <w:spacing w:line="360" w:lineRule="auto"/>
        <w:ind w:firstLine="525"/>
        <w:rPr>
          <w:rFonts w:hint="default"/>
          <w:color w:val="000000" w:themeColor="text1"/>
          <w:sz w:val="21"/>
          <w:szCs w:val="21"/>
        </w:rPr>
      </w:pPr>
      <w:r>
        <w:rPr>
          <w:rFonts w:hint="eastAsia"/>
          <w:b/>
          <w:color w:val="000000" w:themeColor="text1"/>
          <w:sz w:val="21"/>
          <w:szCs w:val="21"/>
          <w:u w:val="single"/>
          <w:lang w:val="en-US" w:eastAsia="zh-CN"/>
        </w:rPr>
        <w:t>按采购文件约定</w:t>
      </w:r>
    </w:p>
    <w:p w14:paraId="7F625148">
      <w:pPr>
        <w:pStyle w:val="200"/>
        <w:spacing w:line="360" w:lineRule="auto"/>
        <w:ind w:firstLine="525"/>
        <w:rPr>
          <w:rFonts w:hint="default"/>
          <w:color w:val="000000" w:themeColor="text1"/>
          <w:sz w:val="21"/>
          <w:szCs w:val="21"/>
        </w:rPr>
      </w:pPr>
      <w:r>
        <w:rPr>
          <w:b/>
          <w:color w:val="000000" w:themeColor="text1"/>
          <w:sz w:val="21"/>
          <w:szCs w:val="21"/>
          <w:u w:val="single"/>
        </w:rPr>
        <w:t>12.工程量确认</w:t>
      </w:r>
    </w:p>
    <w:p w14:paraId="79D538A1">
      <w:pPr>
        <w:pStyle w:val="200"/>
        <w:spacing w:line="360" w:lineRule="auto"/>
        <w:ind w:firstLine="420"/>
        <w:rPr>
          <w:rFonts w:hint="default"/>
          <w:color w:val="000000" w:themeColor="text1"/>
          <w:sz w:val="21"/>
          <w:szCs w:val="21"/>
        </w:rPr>
      </w:pPr>
      <w:r>
        <w:rPr>
          <w:color w:val="000000" w:themeColor="text1"/>
          <w:sz w:val="21"/>
          <w:szCs w:val="21"/>
        </w:rPr>
        <w:t>乙方向工程师提交已完工程量报告的时间：</w:t>
      </w:r>
      <w:r>
        <w:rPr>
          <w:color w:val="000000" w:themeColor="text1"/>
          <w:sz w:val="21"/>
          <w:szCs w:val="21"/>
          <w:u w:val="single"/>
        </w:rPr>
        <w:t>乙方于每周周五前向工程师提交当周已完工程量报告。经甲方核定的工程量作为工程款支付的依据。（具体甲方与乙方双方协定）</w:t>
      </w:r>
    </w:p>
    <w:p w14:paraId="03EA73E6">
      <w:pPr>
        <w:pStyle w:val="200"/>
        <w:spacing w:line="360" w:lineRule="auto"/>
        <w:ind w:firstLine="422"/>
        <w:rPr>
          <w:rFonts w:hint="default"/>
          <w:color w:val="000000" w:themeColor="text1"/>
          <w:sz w:val="21"/>
          <w:szCs w:val="21"/>
        </w:rPr>
      </w:pPr>
      <w:r>
        <w:rPr>
          <w:b/>
          <w:color w:val="000000" w:themeColor="text1"/>
          <w:sz w:val="21"/>
          <w:szCs w:val="21"/>
        </w:rPr>
        <w:t>13.工程款（进度款）支付</w:t>
      </w:r>
    </w:p>
    <w:p w14:paraId="61A6F218">
      <w:pPr>
        <w:pStyle w:val="200"/>
        <w:widowControl w:val="0"/>
        <w:spacing w:line="360" w:lineRule="auto"/>
        <w:ind w:firstLine="525"/>
        <w:rPr>
          <w:rFonts w:hint="default" w:eastAsia="宋体"/>
          <w:b/>
          <w:color w:val="000000" w:themeColor="text1"/>
          <w:sz w:val="21"/>
          <w:szCs w:val="21"/>
          <w:u w:val="single"/>
          <w:lang w:val="en-US" w:eastAsia="zh-CN"/>
        </w:rPr>
      </w:pPr>
      <w:r>
        <w:rPr>
          <w:rFonts w:hint="eastAsia"/>
          <w:b/>
          <w:color w:val="000000" w:themeColor="text1"/>
          <w:sz w:val="21"/>
          <w:szCs w:val="21"/>
          <w:u w:val="single"/>
          <w:lang w:val="en-US" w:eastAsia="zh-CN"/>
        </w:rPr>
        <w:t>按采购文件约定</w:t>
      </w:r>
    </w:p>
    <w:p w14:paraId="5CA2652C">
      <w:pPr>
        <w:pStyle w:val="200"/>
        <w:spacing w:line="360" w:lineRule="auto"/>
        <w:ind w:firstLine="422"/>
        <w:rPr>
          <w:rFonts w:hint="default"/>
          <w:color w:val="000000" w:themeColor="text1"/>
          <w:sz w:val="21"/>
          <w:szCs w:val="21"/>
        </w:rPr>
      </w:pPr>
      <w:r>
        <w:rPr>
          <w:b/>
          <w:color w:val="000000" w:themeColor="text1"/>
          <w:sz w:val="21"/>
          <w:szCs w:val="21"/>
        </w:rPr>
        <w:t>七、材料设备供应</w:t>
      </w:r>
    </w:p>
    <w:p w14:paraId="5D103CBF">
      <w:pPr>
        <w:pStyle w:val="200"/>
        <w:spacing w:line="360" w:lineRule="auto"/>
        <w:ind w:firstLine="422"/>
        <w:rPr>
          <w:rFonts w:hint="default"/>
          <w:color w:val="000000" w:themeColor="text1"/>
          <w:sz w:val="21"/>
          <w:szCs w:val="21"/>
        </w:rPr>
      </w:pPr>
      <w:r>
        <w:rPr>
          <w:b/>
          <w:color w:val="000000" w:themeColor="text1"/>
          <w:sz w:val="21"/>
          <w:szCs w:val="21"/>
        </w:rPr>
        <w:t>14.甲方供应材料设备</w:t>
      </w:r>
    </w:p>
    <w:p w14:paraId="52F75D94">
      <w:pPr>
        <w:pStyle w:val="200"/>
        <w:spacing w:line="360" w:lineRule="auto"/>
        <w:ind w:firstLine="420"/>
        <w:rPr>
          <w:rFonts w:hint="default"/>
          <w:color w:val="000000" w:themeColor="text1"/>
          <w:sz w:val="21"/>
          <w:szCs w:val="21"/>
        </w:rPr>
      </w:pPr>
      <w:r>
        <w:rPr>
          <w:color w:val="000000" w:themeColor="text1"/>
          <w:sz w:val="21"/>
          <w:szCs w:val="21"/>
        </w:rPr>
        <w:t>14.1甲方供应的材料设备与一览表不符时，双方约定甲方承担责任如下：</w:t>
      </w:r>
    </w:p>
    <w:p w14:paraId="76CDC9B5">
      <w:pPr>
        <w:pStyle w:val="200"/>
        <w:spacing w:line="360" w:lineRule="auto"/>
        <w:ind w:firstLine="420"/>
        <w:rPr>
          <w:rFonts w:hint="default"/>
          <w:color w:val="000000" w:themeColor="text1"/>
          <w:sz w:val="21"/>
          <w:szCs w:val="21"/>
        </w:rPr>
      </w:pPr>
      <w:r>
        <w:rPr>
          <w:color w:val="000000" w:themeColor="text1"/>
          <w:sz w:val="21"/>
          <w:szCs w:val="21"/>
        </w:rPr>
        <w:t>（1）材料设备单价与一览表不符：</w:t>
      </w:r>
      <w:r>
        <w:rPr>
          <w:color w:val="000000" w:themeColor="text1"/>
          <w:sz w:val="21"/>
          <w:szCs w:val="21"/>
          <w:u w:val="single"/>
        </w:rPr>
        <w:t>无</w:t>
      </w:r>
    </w:p>
    <w:p w14:paraId="4FC027E1">
      <w:pPr>
        <w:pStyle w:val="200"/>
        <w:spacing w:line="360" w:lineRule="auto"/>
        <w:ind w:firstLine="420"/>
        <w:rPr>
          <w:rFonts w:hint="default"/>
          <w:color w:val="000000" w:themeColor="text1"/>
          <w:sz w:val="21"/>
          <w:szCs w:val="21"/>
        </w:rPr>
      </w:pPr>
      <w:r>
        <w:rPr>
          <w:color w:val="000000" w:themeColor="text1"/>
          <w:sz w:val="21"/>
          <w:szCs w:val="21"/>
        </w:rPr>
        <w:t>（2）材料设备的品种、规格、型号、质量等级与一览表不符：</w:t>
      </w:r>
      <w:r>
        <w:rPr>
          <w:color w:val="000000" w:themeColor="text1"/>
          <w:sz w:val="21"/>
          <w:szCs w:val="21"/>
          <w:u w:val="single"/>
        </w:rPr>
        <w:t>无</w:t>
      </w:r>
    </w:p>
    <w:p w14:paraId="19C6B7C9">
      <w:pPr>
        <w:pStyle w:val="200"/>
        <w:spacing w:line="360" w:lineRule="auto"/>
        <w:ind w:firstLine="420"/>
        <w:rPr>
          <w:rFonts w:hint="default"/>
          <w:color w:val="000000" w:themeColor="text1"/>
          <w:sz w:val="21"/>
          <w:szCs w:val="21"/>
        </w:rPr>
      </w:pPr>
      <w:r>
        <w:rPr>
          <w:color w:val="000000" w:themeColor="text1"/>
          <w:sz w:val="21"/>
          <w:szCs w:val="21"/>
        </w:rPr>
        <w:t>（3）乙方可代为调剂串换的材料：</w:t>
      </w:r>
      <w:r>
        <w:rPr>
          <w:color w:val="000000" w:themeColor="text1"/>
          <w:sz w:val="21"/>
          <w:szCs w:val="21"/>
          <w:u w:val="single"/>
        </w:rPr>
        <w:t>无</w:t>
      </w:r>
    </w:p>
    <w:p w14:paraId="778553B6">
      <w:pPr>
        <w:pStyle w:val="200"/>
        <w:spacing w:line="360" w:lineRule="auto"/>
        <w:ind w:firstLine="420"/>
        <w:rPr>
          <w:rFonts w:hint="default"/>
          <w:color w:val="000000" w:themeColor="text1"/>
          <w:sz w:val="21"/>
          <w:szCs w:val="21"/>
        </w:rPr>
      </w:pPr>
      <w:r>
        <w:rPr>
          <w:color w:val="000000" w:themeColor="text1"/>
          <w:sz w:val="21"/>
          <w:szCs w:val="21"/>
        </w:rPr>
        <w:t>（4）到货地点与一览表不符：</w:t>
      </w:r>
      <w:r>
        <w:rPr>
          <w:color w:val="000000" w:themeColor="text1"/>
          <w:sz w:val="21"/>
          <w:szCs w:val="21"/>
          <w:u w:val="single"/>
        </w:rPr>
        <w:t>无</w:t>
      </w:r>
    </w:p>
    <w:p w14:paraId="50E96813">
      <w:pPr>
        <w:pStyle w:val="200"/>
        <w:spacing w:line="360" w:lineRule="auto"/>
        <w:ind w:firstLine="420"/>
        <w:rPr>
          <w:rFonts w:hint="default"/>
          <w:color w:val="000000" w:themeColor="text1"/>
          <w:sz w:val="21"/>
          <w:szCs w:val="21"/>
        </w:rPr>
      </w:pPr>
      <w:r>
        <w:rPr>
          <w:color w:val="000000" w:themeColor="text1"/>
          <w:sz w:val="21"/>
          <w:szCs w:val="21"/>
        </w:rPr>
        <w:t>（5）供应数量与一览表不符：</w:t>
      </w:r>
      <w:r>
        <w:rPr>
          <w:color w:val="000000" w:themeColor="text1"/>
          <w:sz w:val="21"/>
          <w:szCs w:val="21"/>
          <w:u w:val="single"/>
        </w:rPr>
        <w:t>无</w:t>
      </w:r>
    </w:p>
    <w:p w14:paraId="254A7D97">
      <w:pPr>
        <w:pStyle w:val="200"/>
        <w:spacing w:line="360" w:lineRule="auto"/>
        <w:ind w:firstLine="420"/>
        <w:rPr>
          <w:rFonts w:hint="default"/>
          <w:color w:val="000000" w:themeColor="text1"/>
          <w:sz w:val="21"/>
          <w:szCs w:val="21"/>
        </w:rPr>
      </w:pPr>
      <w:r>
        <w:rPr>
          <w:color w:val="000000" w:themeColor="text1"/>
          <w:sz w:val="21"/>
          <w:szCs w:val="21"/>
        </w:rPr>
        <w:t>（6）到货时间与一览表不符：</w:t>
      </w:r>
      <w:r>
        <w:rPr>
          <w:color w:val="000000" w:themeColor="text1"/>
          <w:sz w:val="21"/>
          <w:szCs w:val="21"/>
          <w:u w:val="single"/>
        </w:rPr>
        <w:t>无</w:t>
      </w:r>
    </w:p>
    <w:p w14:paraId="35C0D7C8">
      <w:pPr>
        <w:pStyle w:val="200"/>
        <w:spacing w:line="360" w:lineRule="auto"/>
        <w:ind w:firstLine="420"/>
        <w:rPr>
          <w:rFonts w:hint="default"/>
          <w:color w:val="000000" w:themeColor="text1"/>
          <w:sz w:val="21"/>
          <w:szCs w:val="21"/>
        </w:rPr>
      </w:pPr>
      <w:r>
        <w:rPr>
          <w:color w:val="000000" w:themeColor="text1"/>
          <w:sz w:val="21"/>
          <w:szCs w:val="21"/>
        </w:rPr>
        <w:t>14.2甲方供应材料设备的结算方法：</w:t>
      </w:r>
      <w:r>
        <w:rPr>
          <w:color w:val="000000" w:themeColor="text1"/>
          <w:sz w:val="21"/>
          <w:szCs w:val="21"/>
          <w:u w:val="single"/>
        </w:rPr>
        <w:t>无</w:t>
      </w:r>
    </w:p>
    <w:p w14:paraId="4222E9E6">
      <w:pPr>
        <w:pStyle w:val="200"/>
        <w:spacing w:line="360" w:lineRule="auto"/>
        <w:ind w:firstLine="422"/>
        <w:rPr>
          <w:rFonts w:hint="default"/>
          <w:color w:val="000000" w:themeColor="text1"/>
          <w:sz w:val="21"/>
          <w:szCs w:val="21"/>
        </w:rPr>
      </w:pPr>
      <w:r>
        <w:rPr>
          <w:b/>
          <w:color w:val="000000" w:themeColor="text1"/>
          <w:sz w:val="21"/>
          <w:szCs w:val="21"/>
        </w:rPr>
        <w:t>15.乙方采购材料设备</w:t>
      </w:r>
    </w:p>
    <w:p w14:paraId="5073F904">
      <w:pPr>
        <w:pStyle w:val="200"/>
        <w:spacing w:line="360" w:lineRule="auto"/>
        <w:ind w:firstLine="420"/>
        <w:rPr>
          <w:rFonts w:hint="default"/>
          <w:color w:val="000000" w:themeColor="text1"/>
          <w:sz w:val="21"/>
          <w:szCs w:val="21"/>
        </w:rPr>
      </w:pPr>
      <w:r>
        <w:rPr>
          <w:color w:val="000000" w:themeColor="text1"/>
          <w:sz w:val="21"/>
          <w:szCs w:val="21"/>
        </w:rPr>
        <w:t>乙方采购材料设备的约定：</w:t>
      </w:r>
    </w:p>
    <w:p w14:paraId="0C24EDD7">
      <w:pPr>
        <w:pStyle w:val="200"/>
        <w:spacing w:line="360" w:lineRule="auto"/>
        <w:ind w:firstLine="525"/>
        <w:rPr>
          <w:rFonts w:hint="default"/>
          <w:color w:val="000000" w:themeColor="text1"/>
          <w:sz w:val="21"/>
          <w:szCs w:val="21"/>
        </w:rPr>
      </w:pPr>
      <w:r>
        <w:rPr>
          <w:color w:val="000000" w:themeColor="text1"/>
          <w:sz w:val="21"/>
          <w:szCs w:val="21"/>
          <w:u w:val="single"/>
        </w:rPr>
        <w:t>本工程使用的工程材料，须有建材质检部门的检验报告和厂家的产品合格证书，甲方保留对本工程使用的主要材料品质和工程质量确认审查的权力。</w:t>
      </w:r>
    </w:p>
    <w:p w14:paraId="7FC50D58">
      <w:pPr>
        <w:pStyle w:val="200"/>
        <w:spacing w:line="360" w:lineRule="auto"/>
        <w:ind w:firstLine="525"/>
        <w:rPr>
          <w:rFonts w:hint="default"/>
          <w:color w:val="000000" w:themeColor="text1"/>
          <w:sz w:val="21"/>
          <w:szCs w:val="21"/>
        </w:rPr>
      </w:pPr>
      <w:r>
        <w:rPr>
          <w:color w:val="000000" w:themeColor="text1"/>
          <w:sz w:val="21"/>
          <w:szCs w:val="21"/>
          <w:u w:val="single"/>
        </w:rPr>
        <w:t>甲方有权对工程量清单中提供的材料或设备的暂定价、暂定厂家、品牌进行变更及价格的确定，结算时按本合同专用条款第10.2条结算。</w:t>
      </w:r>
    </w:p>
    <w:p w14:paraId="459DEAAB">
      <w:pPr>
        <w:pStyle w:val="200"/>
        <w:spacing w:line="360" w:lineRule="auto"/>
        <w:ind w:firstLine="525"/>
        <w:rPr>
          <w:rFonts w:hint="default"/>
          <w:color w:val="000000" w:themeColor="text1"/>
          <w:sz w:val="21"/>
          <w:szCs w:val="21"/>
        </w:rPr>
      </w:pPr>
      <w:r>
        <w:rPr>
          <w:color w:val="000000" w:themeColor="text1"/>
          <w:sz w:val="21"/>
          <w:szCs w:val="21"/>
          <w:u w:val="single"/>
        </w:rPr>
        <w:t>本工程使用的工程材料，订货前，乙方应提供生产厂家的合格证书及试验报告，主要材料、设备等须提供样板，经工程监理人及甲方确认，符合工程要求，方可使用。如发生货不对板，甲方有权拒用，并由乙方承担损失。若未经甲方同意，乙方擅自变更材料、设备品牌，并已用于工程中的合格品，一经发现视作乙方免费。</w:t>
      </w:r>
    </w:p>
    <w:p w14:paraId="56408C25">
      <w:pPr>
        <w:pStyle w:val="200"/>
        <w:spacing w:line="360" w:lineRule="auto"/>
        <w:ind w:firstLine="525"/>
        <w:rPr>
          <w:rFonts w:hint="default"/>
          <w:color w:val="000000" w:themeColor="text1"/>
          <w:sz w:val="21"/>
          <w:szCs w:val="21"/>
        </w:rPr>
      </w:pPr>
      <w:r>
        <w:rPr>
          <w:color w:val="000000" w:themeColor="text1"/>
          <w:sz w:val="21"/>
          <w:szCs w:val="21"/>
          <w:u w:val="single"/>
        </w:rPr>
        <w:t>为甲方供货并安装。若材料和设备的品牌需要变更，须报经甲方同意确认，并且所更换的品牌及质量等不能低于原品牌。</w:t>
      </w:r>
    </w:p>
    <w:p w14:paraId="054D421C">
      <w:pPr>
        <w:pStyle w:val="200"/>
        <w:spacing w:line="360" w:lineRule="auto"/>
        <w:ind w:firstLine="525"/>
        <w:rPr>
          <w:rFonts w:hint="default"/>
          <w:color w:val="000000" w:themeColor="text1"/>
          <w:sz w:val="21"/>
          <w:szCs w:val="21"/>
        </w:rPr>
      </w:pPr>
      <w:r>
        <w:rPr>
          <w:b/>
          <w:color w:val="000000" w:themeColor="text1"/>
          <w:sz w:val="21"/>
          <w:szCs w:val="21"/>
          <w:u w:val="single"/>
        </w:rPr>
        <w:t>八、工程变更</w:t>
      </w:r>
    </w:p>
    <w:p w14:paraId="7FEDD767">
      <w:pPr>
        <w:pStyle w:val="200"/>
        <w:spacing w:line="360" w:lineRule="auto"/>
        <w:ind w:firstLine="525"/>
        <w:rPr>
          <w:rFonts w:hint="default"/>
          <w:color w:val="000000" w:themeColor="text1"/>
          <w:sz w:val="21"/>
          <w:szCs w:val="21"/>
        </w:rPr>
      </w:pPr>
      <w:r>
        <w:rPr>
          <w:color w:val="000000" w:themeColor="text1"/>
          <w:sz w:val="21"/>
          <w:szCs w:val="21"/>
          <w:u w:val="single"/>
        </w:rPr>
        <w:t>按通用条款第十条变更中有关工程变更的规定及甲方所制定的工程变更管理办法执行。当出现设计变更、业主要求、以及会议纪要中允许调整的项目时，乙方须在发生后7天内将调整原因、金额（包括变更后增加或减少的工程量清单）以书面形式通知发包方，否则可视为乙方免费提供该项服务。</w:t>
      </w:r>
    </w:p>
    <w:p w14:paraId="626D8333">
      <w:pPr>
        <w:pStyle w:val="200"/>
        <w:spacing w:line="360" w:lineRule="auto"/>
        <w:ind w:firstLine="422"/>
        <w:rPr>
          <w:rFonts w:hint="default"/>
          <w:color w:val="000000" w:themeColor="text1"/>
          <w:sz w:val="21"/>
          <w:szCs w:val="21"/>
        </w:rPr>
      </w:pPr>
      <w:r>
        <w:rPr>
          <w:b/>
          <w:color w:val="000000" w:themeColor="text1"/>
          <w:sz w:val="21"/>
          <w:szCs w:val="21"/>
          <w:u w:val="single"/>
        </w:rPr>
        <w:t>工程量变更：施工过程中，如出现甲方提供的《分部分项工程和单价措施项目清单与计价表》中项目工程量变化幅度超过10%的，乙方有义务主动、及时书面申报此部分项目内容，且需经项目监理单位、项目使用单位书面确认同意后方可开展施工。结算单价详见第10.2条款。</w:t>
      </w:r>
    </w:p>
    <w:p w14:paraId="1E4F343D">
      <w:pPr>
        <w:pStyle w:val="200"/>
        <w:spacing w:line="360" w:lineRule="auto"/>
        <w:ind w:firstLine="422"/>
        <w:rPr>
          <w:rFonts w:hint="default"/>
          <w:color w:val="000000" w:themeColor="text1"/>
          <w:sz w:val="21"/>
          <w:szCs w:val="21"/>
        </w:rPr>
      </w:pPr>
      <w:r>
        <w:rPr>
          <w:b/>
          <w:color w:val="000000" w:themeColor="text1"/>
          <w:sz w:val="21"/>
          <w:szCs w:val="21"/>
        </w:rPr>
        <w:t>九、竣工验收与结算</w:t>
      </w:r>
    </w:p>
    <w:p w14:paraId="5F93D389">
      <w:pPr>
        <w:pStyle w:val="200"/>
        <w:spacing w:line="360" w:lineRule="auto"/>
        <w:ind w:firstLine="422"/>
        <w:rPr>
          <w:rFonts w:hint="default"/>
          <w:color w:val="000000" w:themeColor="text1"/>
          <w:sz w:val="21"/>
          <w:szCs w:val="21"/>
        </w:rPr>
      </w:pPr>
      <w:r>
        <w:rPr>
          <w:b/>
          <w:color w:val="000000" w:themeColor="text1"/>
          <w:sz w:val="21"/>
          <w:szCs w:val="21"/>
        </w:rPr>
        <w:t>16.竣工验收</w:t>
      </w:r>
    </w:p>
    <w:p w14:paraId="452724A2">
      <w:pPr>
        <w:pStyle w:val="200"/>
        <w:spacing w:line="360" w:lineRule="auto"/>
        <w:ind w:firstLine="420"/>
        <w:rPr>
          <w:rFonts w:hint="default"/>
          <w:color w:val="000000" w:themeColor="text1"/>
          <w:sz w:val="21"/>
          <w:szCs w:val="21"/>
        </w:rPr>
      </w:pPr>
      <w:r>
        <w:rPr>
          <w:color w:val="000000" w:themeColor="text1"/>
          <w:sz w:val="21"/>
          <w:szCs w:val="21"/>
        </w:rPr>
        <w:t>16.1乙方提供完整竣工资料的约定：</w:t>
      </w:r>
      <w:r>
        <w:rPr>
          <w:color w:val="000000" w:themeColor="text1"/>
          <w:sz w:val="21"/>
          <w:szCs w:val="21"/>
          <w:u w:val="single"/>
        </w:rPr>
        <w:t>四套（含相应电子版）。</w:t>
      </w:r>
    </w:p>
    <w:p w14:paraId="09B529FB">
      <w:pPr>
        <w:pStyle w:val="200"/>
        <w:spacing w:line="360" w:lineRule="auto"/>
        <w:ind w:firstLine="420"/>
        <w:rPr>
          <w:rFonts w:hint="default"/>
          <w:color w:val="000000" w:themeColor="text1"/>
          <w:sz w:val="21"/>
          <w:szCs w:val="21"/>
        </w:rPr>
      </w:pPr>
      <w:r>
        <w:rPr>
          <w:color w:val="000000" w:themeColor="text1"/>
          <w:sz w:val="21"/>
          <w:szCs w:val="21"/>
        </w:rPr>
        <w:t>16.2中间交工工程的范围和竣工时间：</w:t>
      </w:r>
      <w:r>
        <w:rPr>
          <w:color w:val="000000" w:themeColor="text1"/>
          <w:sz w:val="21"/>
          <w:szCs w:val="21"/>
          <w:u w:val="single"/>
        </w:rPr>
        <w:t>按批准的计划时间执行。</w:t>
      </w:r>
    </w:p>
    <w:p w14:paraId="06182E78">
      <w:pPr>
        <w:pStyle w:val="200"/>
        <w:spacing w:line="360" w:lineRule="auto"/>
        <w:ind w:firstLine="420"/>
        <w:rPr>
          <w:rFonts w:hint="default"/>
          <w:color w:val="000000" w:themeColor="text1"/>
          <w:sz w:val="21"/>
          <w:szCs w:val="21"/>
        </w:rPr>
      </w:pPr>
      <w:r>
        <w:rPr>
          <w:color w:val="000000" w:themeColor="text1"/>
          <w:sz w:val="21"/>
          <w:szCs w:val="21"/>
        </w:rPr>
        <w:t>16.3</w:t>
      </w:r>
      <w:r>
        <w:rPr>
          <w:color w:val="000000" w:themeColor="text1"/>
          <w:sz w:val="21"/>
          <w:szCs w:val="21"/>
          <w:u w:val="single"/>
        </w:rPr>
        <w:t>竣工验收时乙方提供本工程使用的注意事项、设备的操作规程、维护保养的相关资料等给甲方。</w:t>
      </w:r>
    </w:p>
    <w:p w14:paraId="68BB727B">
      <w:pPr>
        <w:pStyle w:val="200"/>
        <w:spacing w:line="360" w:lineRule="auto"/>
        <w:ind w:firstLine="422"/>
        <w:rPr>
          <w:rFonts w:hint="default"/>
          <w:color w:val="000000" w:themeColor="text1"/>
          <w:sz w:val="21"/>
          <w:szCs w:val="21"/>
        </w:rPr>
      </w:pPr>
      <w:r>
        <w:rPr>
          <w:b/>
          <w:color w:val="000000" w:themeColor="text1"/>
          <w:sz w:val="21"/>
          <w:szCs w:val="21"/>
        </w:rPr>
        <w:t>17.竣工结算</w:t>
      </w:r>
    </w:p>
    <w:p w14:paraId="7A23BE0F">
      <w:pPr>
        <w:pStyle w:val="200"/>
        <w:spacing w:line="360" w:lineRule="auto"/>
        <w:ind w:firstLine="420"/>
        <w:rPr>
          <w:rFonts w:hint="default"/>
          <w:color w:val="000000" w:themeColor="text1"/>
          <w:sz w:val="21"/>
          <w:szCs w:val="21"/>
          <w:highlight w:val="yellow"/>
          <w:u w:val="single"/>
        </w:rPr>
      </w:pPr>
      <w:r>
        <w:rPr>
          <w:color w:val="000000" w:themeColor="text1"/>
          <w:sz w:val="21"/>
          <w:szCs w:val="21"/>
          <w:u w:val="single"/>
        </w:rPr>
        <w:t>17.1</w:t>
      </w:r>
      <w:r>
        <w:rPr>
          <w:rFonts w:ascii="宋体" w:hAnsi="宋体" w:cs="宋体"/>
          <w:color w:val="000000" w:themeColor="text1"/>
          <w:sz w:val="21"/>
          <w:szCs w:val="21"/>
        </w:rPr>
        <w:t>乙方应在工程竣工验收合格后15天内，或所有工程变更办理完（如有）向甲方和监理人提交竣工结算申请单，包括但不限于：工程结算书、工程量计算书、工程竣工资料、工程签证、材料设备审批单、材料设备质量证明材料等其他结算材料（含纸质版、电子版）。本工程结算由甲方有关部门或甲方委托的项目造价审核单位或其他有权部门进行审核</w:t>
      </w:r>
      <w:r>
        <w:rPr>
          <w:color w:val="000000" w:themeColor="text1"/>
          <w:sz w:val="21"/>
          <w:szCs w:val="21"/>
        </w:rPr>
        <w:t>。</w:t>
      </w:r>
    </w:p>
    <w:p w14:paraId="483F3C6F">
      <w:pPr>
        <w:pStyle w:val="200"/>
        <w:spacing w:line="360" w:lineRule="auto"/>
        <w:ind w:firstLine="420"/>
        <w:rPr>
          <w:rFonts w:hint="default"/>
          <w:color w:val="000000" w:themeColor="text1"/>
          <w:sz w:val="21"/>
          <w:szCs w:val="21"/>
          <w:u w:val="single"/>
        </w:rPr>
      </w:pPr>
      <w:r>
        <w:rPr>
          <w:color w:val="000000" w:themeColor="text1"/>
          <w:sz w:val="21"/>
          <w:szCs w:val="21"/>
          <w:u w:val="single"/>
        </w:rPr>
        <w:t>17.2甲方在收到乙方提交的竣工结算材料后28天内完成结算审核，并经有关部门审核确认结算价后10个工作日内无息付清工程结算款扣除乙方应付的违约金、赔偿金及应由乙方交纳的各项费用等。</w:t>
      </w:r>
    </w:p>
    <w:p w14:paraId="04B2A773">
      <w:pPr>
        <w:pStyle w:val="200"/>
        <w:spacing w:line="360" w:lineRule="auto"/>
        <w:ind w:firstLine="420"/>
        <w:rPr>
          <w:rFonts w:hint="default"/>
          <w:color w:val="000000" w:themeColor="text1"/>
          <w:sz w:val="21"/>
          <w:szCs w:val="21"/>
          <w:u w:val="single"/>
        </w:rPr>
      </w:pPr>
      <w:r>
        <w:rPr>
          <w:color w:val="000000" w:themeColor="text1"/>
          <w:sz w:val="21"/>
          <w:szCs w:val="21"/>
          <w:u w:val="single"/>
        </w:rPr>
        <w:t>17.3乙方必须按实际情况报送工程结算，报送的结算造价对比审定的结算造价之差若大于8％时，结算审核费用（甲方委托造价事务所审核工程结算的）由乙方承担。</w:t>
      </w:r>
    </w:p>
    <w:p w14:paraId="54CE86EC">
      <w:pPr>
        <w:pStyle w:val="200"/>
        <w:spacing w:line="360" w:lineRule="auto"/>
        <w:ind w:firstLine="422"/>
        <w:rPr>
          <w:rFonts w:hint="default"/>
          <w:color w:val="000000" w:themeColor="text1"/>
          <w:sz w:val="21"/>
          <w:szCs w:val="21"/>
        </w:rPr>
      </w:pPr>
      <w:r>
        <w:rPr>
          <w:b/>
          <w:color w:val="000000" w:themeColor="text1"/>
          <w:sz w:val="21"/>
          <w:szCs w:val="21"/>
        </w:rPr>
        <w:t>十、违约、索赔和争议</w:t>
      </w:r>
    </w:p>
    <w:p w14:paraId="121AE2A8">
      <w:pPr>
        <w:pStyle w:val="200"/>
        <w:spacing w:line="360" w:lineRule="auto"/>
        <w:ind w:firstLine="422"/>
        <w:rPr>
          <w:rFonts w:hint="default"/>
          <w:color w:val="000000" w:themeColor="text1"/>
          <w:sz w:val="21"/>
          <w:szCs w:val="21"/>
        </w:rPr>
      </w:pPr>
      <w:r>
        <w:rPr>
          <w:b/>
          <w:color w:val="000000" w:themeColor="text1"/>
          <w:sz w:val="21"/>
          <w:szCs w:val="21"/>
        </w:rPr>
        <w:t>18.违约</w:t>
      </w:r>
    </w:p>
    <w:p w14:paraId="7C071151">
      <w:pPr>
        <w:pStyle w:val="200"/>
        <w:spacing w:line="360" w:lineRule="auto"/>
        <w:ind w:firstLine="420"/>
        <w:rPr>
          <w:rFonts w:hint="default"/>
          <w:color w:val="000000" w:themeColor="text1"/>
          <w:sz w:val="21"/>
          <w:szCs w:val="21"/>
        </w:rPr>
      </w:pPr>
      <w:r>
        <w:rPr>
          <w:color w:val="000000" w:themeColor="text1"/>
          <w:sz w:val="21"/>
          <w:szCs w:val="21"/>
        </w:rPr>
        <w:t>18.2本合同中关于乙方违约的具体责任如下：</w:t>
      </w:r>
    </w:p>
    <w:p w14:paraId="363040BF">
      <w:pPr>
        <w:pStyle w:val="200"/>
        <w:spacing w:line="360" w:lineRule="auto"/>
        <w:ind w:firstLine="420"/>
        <w:rPr>
          <w:rFonts w:hint="default"/>
          <w:color w:val="000000" w:themeColor="text1"/>
          <w:sz w:val="21"/>
          <w:szCs w:val="21"/>
        </w:rPr>
      </w:pPr>
      <w:r>
        <w:rPr>
          <w:color w:val="000000" w:themeColor="text1"/>
          <w:sz w:val="21"/>
          <w:szCs w:val="21"/>
          <w:u w:val="single"/>
        </w:rPr>
        <w:t>乙方未能按约定工期要求（本工程施工总工期为</w:t>
      </w:r>
      <w:r>
        <w:rPr>
          <w:rFonts w:hint="eastAsia"/>
          <w:color w:val="FF0000"/>
          <w:sz w:val="21"/>
          <w:szCs w:val="21"/>
          <w:u w:val="single"/>
        </w:rPr>
        <w:t>自合同签订之日起至2026年12月10日完工</w:t>
      </w:r>
      <w:r>
        <w:rPr>
          <w:color w:val="000000" w:themeColor="text1"/>
          <w:sz w:val="21"/>
          <w:szCs w:val="21"/>
          <w:u w:val="single"/>
        </w:rPr>
        <w:t>；若因乙方原因造成工期延误，乙方应负违约责任，每延期一天支付违约金5000元，违约金从承包人的工程款中扣除，工期违约金最高不超过合同价的30%。逾期超过30日的，发包人有权提前解除本合同。提前解除合同的通知送达承包人时即生效。若仍不足以弥补发包人的经济损失的，发包人有权进一步向承包人索赔。</w:t>
      </w:r>
    </w:p>
    <w:p w14:paraId="74309DA6">
      <w:pPr>
        <w:pStyle w:val="200"/>
        <w:widowControl w:val="0"/>
        <w:spacing w:line="360" w:lineRule="auto"/>
        <w:ind w:firstLine="450"/>
        <w:rPr>
          <w:rFonts w:hint="default"/>
          <w:color w:val="000000" w:themeColor="text1"/>
          <w:sz w:val="21"/>
          <w:szCs w:val="21"/>
          <w:u w:val="single"/>
        </w:rPr>
      </w:pPr>
      <w:r>
        <w:rPr>
          <w:color w:val="000000" w:themeColor="text1"/>
          <w:sz w:val="21"/>
          <w:szCs w:val="21"/>
          <w:u w:val="single"/>
        </w:rPr>
        <w:t>工程验收时未达到《建筑工程施工质量验收统一标准》（GB50300-2013）等国家及省市的有关规范或标准的合格等级或该工程未能通过甲方进行的项目验收，乙方除按照相关质量标准进行返工，并承担返工费用外，甲方不予退回履约保证金，并按结算价的2％向甲方支付违约金。</w:t>
      </w:r>
    </w:p>
    <w:p w14:paraId="081CE756">
      <w:pPr>
        <w:pStyle w:val="200"/>
        <w:widowControl w:val="0"/>
        <w:spacing w:line="360" w:lineRule="auto"/>
        <w:ind w:firstLine="450"/>
        <w:rPr>
          <w:rFonts w:hint="default"/>
          <w:color w:val="000000" w:themeColor="text1"/>
          <w:sz w:val="21"/>
          <w:szCs w:val="21"/>
          <w:u w:val="single"/>
        </w:rPr>
      </w:pPr>
      <w:r>
        <w:rPr>
          <w:color w:val="000000" w:themeColor="text1"/>
          <w:sz w:val="21"/>
          <w:szCs w:val="21"/>
          <w:u w:val="single"/>
        </w:rPr>
        <w:t>乙方发生下列条款的任何一条，甲方有权声明终止本合同的全部或一部分：（1）依照国家有关法律法规的规定，宣告破产、倒闭，与债权人达成协议；（2）办理清算；（3）办理公司的重整；（4）与其他公司进行合并；（5）经甲方确认已经丧失偿还债务的能力；（6）严重违反合同重要条款约定。</w:t>
      </w:r>
    </w:p>
    <w:p w14:paraId="57E395CC">
      <w:pPr>
        <w:pStyle w:val="200"/>
        <w:widowControl w:val="0"/>
        <w:spacing w:line="360" w:lineRule="auto"/>
        <w:ind w:firstLine="420"/>
        <w:rPr>
          <w:rFonts w:hint="default"/>
          <w:color w:val="000000" w:themeColor="text1"/>
          <w:sz w:val="21"/>
          <w:szCs w:val="21"/>
          <w:u w:val="single"/>
        </w:rPr>
      </w:pPr>
      <w:r>
        <w:rPr>
          <w:color w:val="000000" w:themeColor="text1"/>
          <w:sz w:val="21"/>
          <w:szCs w:val="21"/>
          <w:u w:val="single"/>
        </w:rPr>
        <w:t>18.3因一方原因，合同无法继续履行时，应通知对方，办理合同终止协议，并由责任方赔偿对方由此造成的经济损失。</w:t>
      </w:r>
    </w:p>
    <w:p w14:paraId="50F69EDB">
      <w:pPr>
        <w:pStyle w:val="200"/>
        <w:widowControl w:val="0"/>
        <w:spacing w:line="360" w:lineRule="auto"/>
        <w:ind w:firstLine="420"/>
        <w:rPr>
          <w:rFonts w:hint="default"/>
          <w:color w:val="000000" w:themeColor="text1"/>
          <w:sz w:val="21"/>
          <w:szCs w:val="21"/>
          <w:u w:val="single"/>
        </w:rPr>
      </w:pPr>
      <w:r>
        <w:rPr>
          <w:color w:val="000000" w:themeColor="text1"/>
          <w:sz w:val="21"/>
          <w:szCs w:val="21"/>
          <w:u w:val="single"/>
        </w:rPr>
        <w:t>18.4本合同依照合同规定而全部或一部分终止后，乙方应在收到甲方书面通知后，在规定时间内撤走所有人员与工具及器械等。否则乙方放在工地上的工具、器械等将被认定为废弃物，甲方有权处理，处理费用由乙方支付。</w:t>
      </w:r>
    </w:p>
    <w:p w14:paraId="2039190B">
      <w:pPr>
        <w:pStyle w:val="200"/>
        <w:spacing w:line="360" w:lineRule="auto"/>
        <w:ind w:firstLine="420"/>
        <w:rPr>
          <w:rFonts w:hint="default"/>
          <w:color w:val="000000" w:themeColor="text1"/>
          <w:sz w:val="21"/>
          <w:szCs w:val="21"/>
        </w:rPr>
      </w:pPr>
      <w:r>
        <w:rPr>
          <w:b/>
          <w:color w:val="000000" w:themeColor="text1"/>
          <w:sz w:val="21"/>
          <w:szCs w:val="21"/>
        </w:rPr>
        <w:t>19.争议</w:t>
      </w:r>
    </w:p>
    <w:p w14:paraId="49827A89">
      <w:pPr>
        <w:pStyle w:val="200"/>
        <w:spacing w:line="360" w:lineRule="auto"/>
        <w:ind w:firstLine="420"/>
        <w:rPr>
          <w:rFonts w:hint="default"/>
          <w:color w:val="000000" w:themeColor="text1"/>
          <w:sz w:val="21"/>
          <w:szCs w:val="21"/>
        </w:rPr>
      </w:pPr>
      <w:r>
        <w:rPr>
          <w:color w:val="000000" w:themeColor="text1"/>
          <w:sz w:val="21"/>
          <w:szCs w:val="21"/>
        </w:rPr>
        <w:t>双方约定，在履行合同过程中产生争议时：应首先通过友好协商解决；如果协商或调解不能解决争议，则向</w:t>
      </w:r>
      <w:r>
        <w:rPr>
          <w:color w:val="000000" w:themeColor="text1"/>
          <w:sz w:val="21"/>
          <w:szCs w:val="21"/>
          <w:u w:val="single"/>
        </w:rPr>
        <w:t>工程所在地</w:t>
      </w:r>
      <w:r>
        <w:rPr>
          <w:color w:val="000000" w:themeColor="text1"/>
          <w:sz w:val="21"/>
          <w:szCs w:val="21"/>
        </w:rPr>
        <w:t>人民法院提交诉讼解决。</w:t>
      </w:r>
    </w:p>
    <w:p w14:paraId="2DA3B4CF">
      <w:pPr>
        <w:pStyle w:val="200"/>
        <w:spacing w:line="360" w:lineRule="auto"/>
        <w:ind w:firstLine="422"/>
        <w:rPr>
          <w:rFonts w:hint="default"/>
          <w:color w:val="000000" w:themeColor="text1"/>
          <w:sz w:val="21"/>
          <w:szCs w:val="21"/>
        </w:rPr>
      </w:pPr>
      <w:r>
        <w:rPr>
          <w:b/>
          <w:color w:val="000000" w:themeColor="text1"/>
          <w:sz w:val="21"/>
          <w:szCs w:val="21"/>
        </w:rPr>
        <w:t>十一、其他</w:t>
      </w:r>
    </w:p>
    <w:p w14:paraId="7C5C3745">
      <w:pPr>
        <w:pStyle w:val="200"/>
        <w:spacing w:line="360" w:lineRule="auto"/>
        <w:ind w:firstLine="422"/>
        <w:rPr>
          <w:rFonts w:hint="default"/>
          <w:color w:val="000000" w:themeColor="text1"/>
          <w:sz w:val="21"/>
          <w:szCs w:val="21"/>
        </w:rPr>
      </w:pPr>
      <w:r>
        <w:rPr>
          <w:b/>
          <w:color w:val="000000" w:themeColor="text1"/>
          <w:sz w:val="21"/>
          <w:szCs w:val="21"/>
        </w:rPr>
        <w:t>20.合同份数</w:t>
      </w:r>
    </w:p>
    <w:p w14:paraId="78C15C9B">
      <w:pPr>
        <w:pStyle w:val="200"/>
        <w:spacing w:line="360" w:lineRule="auto"/>
        <w:ind w:firstLine="420"/>
        <w:rPr>
          <w:rFonts w:hint="default"/>
          <w:color w:val="000000" w:themeColor="text1"/>
          <w:sz w:val="21"/>
          <w:szCs w:val="21"/>
        </w:rPr>
      </w:pPr>
      <w:r>
        <w:rPr>
          <w:color w:val="000000" w:themeColor="text1"/>
          <w:sz w:val="21"/>
          <w:szCs w:val="21"/>
        </w:rPr>
        <w:t>双方约定合同份数：</w:t>
      </w:r>
    </w:p>
    <w:p w14:paraId="2D0AA0F8">
      <w:pPr>
        <w:pStyle w:val="200"/>
        <w:spacing w:line="360" w:lineRule="auto"/>
        <w:ind w:firstLine="420"/>
        <w:rPr>
          <w:rFonts w:hint="default"/>
          <w:color w:val="000000" w:themeColor="text1"/>
          <w:sz w:val="21"/>
          <w:szCs w:val="21"/>
        </w:rPr>
      </w:pPr>
      <w:r>
        <w:rPr>
          <w:color w:val="000000" w:themeColor="text1"/>
          <w:sz w:val="21"/>
          <w:szCs w:val="21"/>
          <w:u w:val="single"/>
        </w:rPr>
        <w:t>本合同</w:t>
      </w:r>
      <w:r>
        <w:rPr>
          <w:rFonts w:hint="default"/>
          <w:color w:val="000000" w:themeColor="text1"/>
          <w:sz w:val="21"/>
          <w:szCs w:val="21"/>
          <w:u w:val="single"/>
        </w:rPr>
        <w:t>捌</w:t>
      </w:r>
      <w:r>
        <w:rPr>
          <w:color w:val="000000" w:themeColor="text1"/>
          <w:sz w:val="21"/>
          <w:szCs w:val="21"/>
          <w:u w:val="single"/>
        </w:rPr>
        <w:t>份，甲方执肆份，乙方执</w:t>
      </w:r>
      <w:r>
        <w:rPr>
          <w:rFonts w:hint="default"/>
          <w:color w:val="000000" w:themeColor="text1"/>
          <w:sz w:val="21"/>
          <w:szCs w:val="21"/>
          <w:u w:val="single"/>
        </w:rPr>
        <w:t>肆</w:t>
      </w:r>
      <w:r>
        <w:rPr>
          <w:color w:val="000000" w:themeColor="text1"/>
          <w:sz w:val="21"/>
          <w:szCs w:val="21"/>
          <w:u w:val="single"/>
        </w:rPr>
        <w:t>份。</w:t>
      </w:r>
    </w:p>
    <w:p w14:paraId="7381037E">
      <w:pPr>
        <w:pStyle w:val="200"/>
        <w:spacing w:line="360" w:lineRule="auto"/>
        <w:ind w:firstLine="420"/>
        <w:rPr>
          <w:rFonts w:hint="default"/>
          <w:color w:val="000000" w:themeColor="text1"/>
          <w:sz w:val="21"/>
          <w:szCs w:val="21"/>
          <w:u w:val="single"/>
        </w:rPr>
      </w:pPr>
    </w:p>
    <w:p w14:paraId="376FEDE3">
      <w:pPr>
        <w:pStyle w:val="200"/>
        <w:spacing w:line="360" w:lineRule="auto"/>
        <w:ind w:firstLine="420"/>
        <w:rPr>
          <w:rFonts w:hint="default"/>
          <w:color w:val="000000" w:themeColor="text1"/>
          <w:sz w:val="21"/>
          <w:szCs w:val="21"/>
          <w:u w:val="single"/>
        </w:rPr>
      </w:pPr>
    </w:p>
    <w:p w14:paraId="5C05F3B5">
      <w:pPr>
        <w:pStyle w:val="200"/>
        <w:spacing w:line="360" w:lineRule="auto"/>
        <w:ind w:firstLine="420"/>
        <w:rPr>
          <w:rFonts w:hint="default"/>
          <w:color w:val="000000" w:themeColor="text1"/>
          <w:sz w:val="21"/>
          <w:szCs w:val="21"/>
          <w:u w:val="single"/>
        </w:rPr>
      </w:pPr>
    </w:p>
    <w:p w14:paraId="6B634337">
      <w:pPr>
        <w:pStyle w:val="200"/>
        <w:spacing w:line="360" w:lineRule="auto"/>
        <w:ind w:firstLine="420"/>
        <w:rPr>
          <w:rFonts w:hint="default"/>
          <w:color w:val="000000" w:themeColor="text1"/>
          <w:sz w:val="21"/>
          <w:szCs w:val="21"/>
          <w:u w:val="single"/>
        </w:rPr>
      </w:pPr>
    </w:p>
    <w:p w14:paraId="5A16745D">
      <w:pPr>
        <w:pStyle w:val="200"/>
        <w:spacing w:line="360" w:lineRule="auto"/>
        <w:ind w:firstLine="420"/>
        <w:rPr>
          <w:rFonts w:hint="default"/>
          <w:color w:val="000000" w:themeColor="text1"/>
          <w:sz w:val="21"/>
          <w:szCs w:val="21"/>
          <w:u w:val="single"/>
        </w:rPr>
      </w:pPr>
    </w:p>
    <w:p w14:paraId="2A7AF678">
      <w:pPr>
        <w:pStyle w:val="200"/>
        <w:spacing w:line="360" w:lineRule="auto"/>
        <w:ind w:firstLine="420"/>
        <w:rPr>
          <w:rFonts w:hint="default"/>
          <w:color w:val="000000" w:themeColor="text1"/>
          <w:sz w:val="21"/>
          <w:szCs w:val="21"/>
          <w:u w:val="single"/>
        </w:rPr>
      </w:pPr>
    </w:p>
    <w:p w14:paraId="4A4E1589">
      <w:pPr>
        <w:pStyle w:val="200"/>
        <w:spacing w:before="150" w:after="15" w:line="360" w:lineRule="auto"/>
        <w:ind w:left="435" w:right="390"/>
        <w:outlineLvl w:val="0"/>
        <w:rPr>
          <w:rFonts w:hint="default"/>
          <w:b/>
          <w:color w:val="000000" w:themeColor="text1"/>
          <w:sz w:val="21"/>
          <w:szCs w:val="21"/>
        </w:rPr>
      </w:pPr>
      <w:r>
        <w:rPr>
          <w:b/>
          <w:color w:val="000000" w:themeColor="text1"/>
          <w:sz w:val="21"/>
          <w:szCs w:val="21"/>
        </w:rPr>
        <w:t>第四部分合同附件</w:t>
      </w:r>
    </w:p>
    <w:p w14:paraId="309D0E99">
      <w:pPr>
        <w:spacing w:line="360" w:lineRule="auto"/>
        <w:ind w:left="420" w:leftChars="200"/>
        <w:jc w:val="left"/>
        <w:rPr>
          <w:color w:val="000000" w:themeColor="text1"/>
          <w:kern w:val="0"/>
          <w:szCs w:val="21"/>
        </w:rPr>
      </w:pPr>
      <w:r>
        <w:rPr>
          <w:rFonts w:hint="eastAsia"/>
          <w:color w:val="000000" w:themeColor="text1"/>
          <w:kern w:val="0"/>
          <w:szCs w:val="21"/>
        </w:rPr>
        <w:t>专用合同条款附件：</w:t>
      </w:r>
    </w:p>
    <w:p w14:paraId="1445D7A8">
      <w:pPr>
        <w:shd w:val="clear" w:color="auto" w:fill="FFFFFF"/>
        <w:spacing w:line="360" w:lineRule="auto"/>
        <w:ind w:left="420" w:leftChars="200"/>
        <w:rPr>
          <w:color w:val="000000" w:themeColor="text1"/>
          <w:kern w:val="0"/>
          <w:szCs w:val="21"/>
        </w:rPr>
      </w:pPr>
      <w:r>
        <w:rPr>
          <w:rFonts w:hint="eastAsia"/>
          <w:color w:val="000000" w:themeColor="text1"/>
          <w:kern w:val="0"/>
          <w:szCs w:val="21"/>
        </w:rPr>
        <w:t>附件</w:t>
      </w:r>
      <w:r>
        <w:rPr>
          <w:color w:val="000000" w:themeColor="text1"/>
          <w:kern w:val="0"/>
          <w:szCs w:val="21"/>
        </w:rPr>
        <w:t>1</w:t>
      </w:r>
      <w:r>
        <w:rPr>
          <w:rFonts w:hint="eastAsia"/>
          <w:color w:val="000000" w:themeColor="text1"/>
          <w:kern w:val="0"/>
          <w:szCs w:val="21"/>
        </w:rPr>
        <w:t>：工程建设廉洁协议书</w:t>
      </w:r>
    </w:p>
    <w:p w14:paraId="566EF3DD">
      <w:pPr>
        <w:spacing w:line="360" w:lineRule="auto"/>
        <w:ind w:left="420" w:leftChars="200"/>
        <w:jc w:val="left"/>
        <w:rPr>
          <w:color w:val="000000" w:themeColor="text1"/>
          <w:kern w:val="0"/>
          <w:szCs w:val="21"/>
        </w:rPr>
      </w:pPr>
      <w:r>
        <w:rPr>
          <w:rFonts w:hint="eastAsia"/>
          <w:color w:val="000000" w:themeColor="text1"/>
          <w:kern w:val="0"/>
          <w:szCs w:val="21"/>
        </w:rPr>
        <w:t>附件</w:t>
      </w:r>
      <w:r>
        <w:rPr>
          <w:color w:val="000000" w:themeColor="text1"/>
          <w:kern w:val="0"/>
          <w:szCs w:val="21"/>
        </w:rPr>
        <w:t>2</w:t>
      </w:r>
      <w:r>
        <w:rPr>
          <w:rFonts w:hint="eastAsia"/>
          <w:color w:val="000000" w:themeColor="text1"/>
          <w:kern w:val="0"/>
          <w:szCs w:val="21"/>
        </w:rPr>
        <w:t>：发包人供应材料设备一览表（如有，另册）</w:t>
      </w:r>
    </w:p>
    <w:p w14:paraId="798E4916">
      <w:pPr>
        <w:spacing w:line="360" w:lineRule="auto"/>
        <w:ind w:left="420" w:leftChars="200"/>
        <w:jc w:val="left"/>
        <w:rPr>
          <w:color w:val="000000" w:themeColor="text1"/>
          <w:kern w:val="0"/>
          <w:szCs w:val="21"/>
        </w:rPr>
      </w:pPr>
      <w:r>
        <w:rPr>
          <w:rFonts w:hint="eastAsia"/>
          <w:color w:val="000000" w:themeColor="text1"/>
          <w:kern w:val="0"/>
          <w:szCs w:val="21"/>
        </w:rPr>
        <w:t>附件</w:t>
      </w:r>
      <w:r>
        <w:rPr>
          <w:color w:val="000000" w:themeColor="text1"/>
          <w:kern w:val="0"/>
          <w:szCs w:val="21"/>
        </w:rPr>
        <w:t>3</w:t>
      </w:r>
      <w:r>
        <w:rPr>
          <w:rFonts w:hint="eastAsia"/>
          <w:color w:val="000000" w:themeColor="text1"/>
          <w:kern w:val="0"/>
          <w:szCs w:val="21"/>
        </w:rPr>
        <w:t>：工程质量保修书</w:t>
      </w:r>
    </w:p>
    <w:p w14:paraId="6296CF18">
      <w:pPr>
        <w:spacing w:line="360" w:lineRule="auto"/>
        <w:ind w:left="420" w:leftChars="200"/>
        <w:jc w:val="left"/>
        <w:rPr>
          <w:color w:val="000000" w:themeColor="text1"/>
          <w:kern w:val="0"/>
          <w:szCs w:val="21"/>
        </w:rPr>
      </w:pPr>
      <w:r>
        <w:rPr>
          <w:rFonts w:hint="eastAsia"/>
          <w:color w:val="000000" w:themeColor="text1"/>
          <w:kern w:val="0"/>
          <w:szCs w:val="21"/>
        </w:rPr>
        <w:t>附件</w:t>
      </w:r>
      <w:r>
        <w:rPr>
          <w:color w:val="000000" w:themeColor="text1"/>
          <w:kern w:val="0"/>
          <w:szCs w:val="21"/>
        </w:rPr>
        <w:t>4</w:t>
      </w:r>
      <w:r>
        <w:rPr>
          <w:rFonts w:hint="eastAsia"/>
          <w:color w:val="000000" w:themeColor="text1"/>
          <w:kern w:val="0"/>
          <w:szCs w:val="21"/>
        </w:rPr>
        <w:t>：安全生产合同</w:t>
      </w:r>
    </w:p>
    <w:p w14:paraId="4E93C088">
      <w:pPr>
        <w:spacing w:line="360" w:lineRule="auto"/>
        <w:ind w:left="420" w:leftChars="200"/>
        <w:jc w:val="left"/>
        <w:rPr>
          <w:color w:val="000000" w:themeColor="text1"/>
          <w:kern w:val="0"/>
          <w:szCs w:val="21"/>
        </w:rPr>
      </w:pPr>
      <w:r>
        <w:rPr>
          <w:rFonts w:hint="eastAsia"/>
          <w:color w:val="000000" w:themeColor="text1"/>
          <w:kern w:val="0"/>
          <w:szCs w:val="21"/>
        </w:rPr>
        <w:t>附件</w:t>
      </w:r>
      <w:r>
        <w:rPr>
          <w:color w:val="000000" w:themeColor="text1"/>
          <w:kern w:val="0"/>
          <w:szCs w:val="21"/>
        </w:rPr>
        <w:t>5</w:t>
      </w:r>
      <w:r>
        <w:rPr>
          <w:rFonts w:hint="eastAsia"/>
          <w:color w:val="000000" w:themeColor="text1"/>
          <w:kern w:val="0"/>
          <w:szCs w:val="21"/>
        </w:rPr>
        <w:t>：承包人用于本工程施工的机械设备表</w:t>
      </w:r>
    </w:p>
    <w:p w14:paraId="154E0211">
      <w:pPr>
        <w:spacing w:line="360" w:lineRule="auto"/>
        <w:ind w:left="420" w:leftChars="200"/>
        <w:jc w:val="left"/>
        <w:rPr>
          <w:color w:val="000000" w:themeColor="text1"/>
          <w:kern w:val="0"/>
          <w:szCs w:val="21"/>
        </w:rPr>
      </w:pPr>
      <w:r>
        <w:rPr>
          <w:rFonts w:hint="eastAsia"/>
          <w:color w:val="000000" w:themeColor="text1"/>
          <w:kern w:val="0"/>
          <w:szCs w:val="21"/>
        </w:rPr>
        <w:t>附件</w:t>
      </w:r>
      <w:r>
        <w:rPr>
          <w:color w:val="000000" w:themeColor="text1"/>
          <w:kern w:val="0"/>
          <w:szCs w:val="21"/>
        </w:rPr>
        <w:t>6</w:t>
      </w:r>
      <w:r>
        <w:rPr>
          <w:rFonts w:hint="eastAsia"/>
          <w:color w:val="000000" w:themeColor="text1"/>
          <w:kern w:val="0"/>
          <w:szCs w:val="21"/>
        </w:rPr>
        <w:t>：承包人主要施工管理人员表</w:t>
      </w:r>
    </w:p>
    <w:p w14:paraId="637619B3">
      <w:pPr>
        <w:pStyle w:val="200"/>
        <w:spacing w:line="360" w:lineRule="auto"/>
        <w:ind w:firstLine="420"/>
        <w:rPr>
          <w:rFonts w:hint="default"/>
          <w:color w:val="000000" w:themeColor="text1"/>
          <w:sz w:val="21"/>
          <w:szCs w:val="21"/>
        </w:rPr>
      </w:pPr>
      <w:r>
        <w:rPr>
          <w:color w:val="000000" w:themeColor="text1"/>
          <w:sz w:val="21"/>
          <w:szCs w:val="21"/>
        </w:rPr>
        <w:t>以下无正文。</w:t>
      </w:r>
    </w:p>
    <w:p w14:paraId="44C4C83C">
      <w:pPr>
        <w:pStyle w:val="200"/>
        <w:spacing w:before="150" w:after="15"/>
        <w:ind w:left="435" w:right="390"/>
        <w:rPr>
          <w:rFonts w:hint="default"/>
          <w:b/>
          <w:color w:val="000000" w:themeColor="text1"/>
          <w:sz w:val="21"/>
          <w:szCs w:val="21"/>
        </w:rPr>
      </w:pPr>
    </w:p>
    <w:p w14:paraId="4C428854">
      <w:pPr>
        <w:jc w:val="left"/>
        <w:rPr>
          <w:rFonts w:hint="eastAsia" w:ascii="宋体" w:hAnsi="宋体"/>
          <w:color w:val="000000" w:themeColor="text1"/>
          <w:szCs w:val="21"/>
        </w:rPr>
      </w:pPr>
      <w:r>
        <w:rPr>
          <w:rFonts w:hint="eastAsia" w:ascii="宋体" w:hAnsi="宋体"/>
          <w:color w:val="000000" w:themeColor="text1"/>
          <w:szCs w:val="21"/>
        </w:rPr>
        <w:br w:type="page"/>
      </w:r>
      <w:r>
        <w:rPr>
          <w:rFonts w:hint="eastAsia" w:ascii="宋体" w:hAnsi="宋体"/>
          <w:color w:val="000000" w:themeColor="text1"/>
          <w:szCs w:val="21"/>
        </w:rPr>
        <w:t>附件1：</w:t>
      </w:r>
    </w:p>
    <w:p w14:paraId="2F74D2E3">
      <w:pPr>
        <w:shd w:val="clear" w:color="auto" w:fill="FFFFFF"/>
        <w:jc w:val="center"/>
        <w:rPr>
          <w:rFonts w:hint="eastAsia" w:ascii="宋体" w:hAnsi="宋体"/>
          <w:b/>
          <w:bCs/>
          <w:color w:val="000000" w:themeColor="text1"/>
          <w:sz w:val="36"/>
          <w:szCs w:val="36"/>
        </w:rPr>
      </w:pPr>
      <w:r>
        <w:rPr>
          <w:rFonts w:hint="eastAsia" w:ascii="宋体" w:hAnsi="宋体"/>
          <w:b/>
          <w:bCs/>
          <w:color w:val="000000" w:themeColor="text1"/>
          <w:sz w:val="36"/>
          <w:szCs w:val="36"/>
        </w:rPr>
        <w:t>工程建设廉洁协议书</w:t>
      </w:r>
    </w:p>
    <w:p w14:paraId="2FCB162C">
      <w:pPr>
        <w:shd w:val="clear" w:color="auto" w:fill="FFFFFF"/>
        <w:rPr>
          <w:rFonts w:hint="eastAsia" w:ascii="宋体" w:hAnsi="宋体"/>
          <w:color w:val="000000" w:themeColor="text1"/>
          <w:szCs w:val="28"/>
        </w:rPr>
      </w:pPr>
      <w:r>
        <w:rPr>
          <w:rFonts w:hint="eastAsia" w:ascii="宋体" w:hAnsi="宋体"/>
          <w:color w:val="000000" w:themeColor="text1"/>
          <w:szCs w:val="28"/>
        </w:rPr>
        <w:t> </w:t>
      </w:r>
    </w:p>
    <w:p w14:paraId="1D1E694F">
      <w:pPr>
        <w:spacing w:before="156" w:beforeLines="50" w:after="156" w:afterLines="50" w:line="440" w:lineRule="exact"/>
        <w:rPr>
          <w:rFonts w:hint="eastAsia" w:ascii="宋体" w:hAnsi="宋体" w:eastAsia="宋体"/>
          <w:color w:val="000000" w:themeColor="text1"/>
          <w:kern w:val="0"/>
          <w:sz w:val="24"/>
          <w:szCs w:val="28"/>
          <w:lang w:eastAsia="zh-CN"/>
        </w:rPr>
      </w:pPr>
      <w:r>
        <w:rPr>
          <w:rFonts w:hint="eastAsia" w:ascii="宋体" w:hAnsi="宋体"/>
          <w:color w:val="000000" w:themeColor="text1"/>
          <w:kern w:val="0"/>
          <w:sz w:val="24"/>
          <w:szCs w:val="28"/>
        </w:rPr>
        <w:t>工程项目名称：</w:t>
      </w:r>
      <w:r>
        <w:rPr>
          <w:rFonts w:hint="eastAsia" w:ascii="宋体" w:hAnsi="宋体"/>
          <w:color w:val="000000" w:themeColor="text1"/>
          <w:kern w:val="0"/>
          <w:sz w:val="24"/>
          <w:szCs w:val="28"/>
          <w:lang w:eastAsia="zh-CN"/>
        </w:rPr>
        <w:t>广东省人民体育场青少年体育后备人才培养单位改造项目</w:t>
      </w:r>
    </w:p>
    <w:p w14:paraId="32BAAE94">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工程项目地址：</w:t>
      </w:r>
    </w:p>
    <w:p w14:paraId="3EC8240E">
      <w:pPr>
        <w:spacing w:before="156" w:beforeLines="50" w:after="156" w:afterLines="50" w:line="440" w:lineRule="exact"/>
        <w:rPr>
          <w:rFonts w:hint="eastAsia" w:ascii="宋体" w:hAnsi="宋体" w:eastAsia="宋体"/>
          <w:color w:val="000000" w:themeColor="text1"/>
          <w:kern w:val="0"/>
          <w:sz w:val="24"/>
          <w:szCs w:val="28"/>
          <w:lang w:eastAsia="zh-CN"/>
        </w:rPr>
      </w:pPr>
      <w:r>
        <w:rPr>
          <w:rFonts w:hint="eastAsia" w:ascii="宋体" w:hAnsi="宋体"/>
          <w:color w:val="000000" w:themeColor="text1"/>
          <w:kern w:val="0"/>
          <w:sz w:val="24"/>
          <w:szCs w:val="28"/>
        </w:rPr>
        <w:t>建设单位（发包人）：</w:t>
      </w:r>
      <w:r>
        <w:rPr>
          <w:rFonts w:hint="eastAsia" w:ascii="宋体" w:hAnsi="宋体"/>
          <w:color w:val="000000" w:themeColor="text1"/>
          <w:kern w:val="0"/>
          <w:sz w:val="24"/>
          <w:szCs w:val="28"/>
          <w:lang w:eastAsia="zh-CN"/>
        </w:rPr>
        <w:t>广东省人民体育场</w:t>
      </w:r>
    </w:p>
    <w:p w14:paraId="1F1C0115">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 xml:space="preserve">服务单位（承包人）： </w:t>
      </w:r>
    </w:p>
    <w:p w14:paraId="10624DDC">
      <w:pPr>
        <w:spacing w:before="156" w:beforeLines="50" w:after="156" w:afterLines="50" w:line="440" w:lineRule="exact"/>
        <w:ind w:firstLine="480" w:firstLineChars="200"/>
        <w:rPr>
          <w:rFonts w:hint="eastAsia" w:ascii="宋体" w:hAnsi="宋体"/>
          <w:color w:val="000000" w:themeColor="text1"/>
          <w:kern w:val="0"/>
          <w:sz w:val="24"/>
          <w:szCs w:val="28"/>
        </w:rPr>
      </w:pPr>
      <w:r>
        <w:rPr>
          <w:rFonts w:hint="eastAsia" w:ascii="宋体" w:hAnsi="宋体"/>
          <w:color w:val="000000" w:themeColor="text1"/>
          <w:kern w:val="0"/>
          <w:sz w:val="24"/>
          <w:szCs w:val="28"/>
        </w:rPr>
        <w:t>为加强工程建设中的廉政建设，规范工程建设项目双方的各项活动，防止发生各种谋取不正当利益的违法违纪行为，保护国家、集体和当事人的合法权益，根据国家有关工程建设的法律法规和廉政建设责任制规定，特订立本廉政责任书。</w:t>
      </w:r>
    </w:p>
    <w:p w14:paraId="2651B27C">
      <w:pPr>
        <w:spacing w:before="156" w:beforeLines="50" w:after="156" w:afterLines="50" w:line="440" w:lineRule="exact"/>
        <w:rPr>
          <w:rFonts w:hint="eastAsia" w:ascii="宋体" w:hAnsi="宋体"/>
          <w:b/>
          <w:color w:val="000000" w:themeColor="text1"/>
          <w:kern w:val="0"/>
          <w:sz w:val="24"/>
          <w:szCs w:val="28"/>
        </w:rPr>
      </w:pPr>
      <w:r>
        <w:rPr>
          <w:rFonts w:hint="eastAsia" w:ascii="宋体" w:hAnsi="宋体"/>
          <w:b/>
          <w:color w:val="000000" w:themeColor="text1"/>
          <w:kern w:val="0"/>
          <w:sz w:val="24"/>
          <w:szCs w:val="28"/>
        </w:rPr>
        <w:t>第一条发包人、承包人的责任</w:t>
      </w:r>
    </w:p>
    <w:p w14:paraId="2739166A">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（一）应严格遵守国家关于市场准入、项目招标投标、工程建设、施工安装和市场活动等有关法律法规、相关政策，以及廉政建设的各项规定。</w:t>
      </w:r>
    </w:p>
    <w:p w14:paraId="541DB267">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（二）严格执行建设工程项目基桩检测合同文件，自觉按合同办事。</w:t>
      </w:r>
    </w:p>
    <w:p w14:paraId="125207B7">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三）业务活动必须坚持公开、公平、公正、诚信、透明的原则（除法律法规另有规定者外），不得为获取不正当的利益，损害国家、集体和对方利益，不得违反工程建设管理、施工安装和设计基桩检测的规章制度。</w:t>
      </w:r>
    </w:p>
    <w:p w14:paraId="6FFEB957">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（四）发现对方在业务活动中违规、违纪、违法行为的，应及时提醒对方，情节严重的，应向其上级主管部门或纪检监察、司法等有关机关举报。</w:t>
      </w:r>
    </w:p>
    <w:p w14:paraId="1A1931D9">
      <w:pPr>
        <w:spacing w:before="156" w:beforeLines="50" w:after="156" w:afterLines="50" w:line="440" w:lineRule="exact"/>
        <w:rPr>
          <w:rFonts w:hint="eastAsia" w:ascii="宋体" w:hAnsi="宋体"/>
          <w:b/>
          <w:color w:val="000000" w:themeColor="text1"/>
          <w:kern w:val="0"/>
          <w:sz w:val="24"/>
          <w:szCs w:val="28"/>
        </w:rPr>
      </w:pPr>
      <w:r>
        <w:rPr>
          <w:rFonts w:hint="eastAsia" w:ascii="宋体" w:hAnsi="宋体"/>
          <w:b/>
          <w:color w:val="000000" w:themeColor="text1"/>
          <w:kern w:val="0"/>
          <w:sz w:val="24"/>
          <w:szCs w:val="28"/>
        </w:rPr>
        <w:t>第二条发包人的责任</w:t>
      </w:r>
    </w:p>
    <w:p w14:paraId="539A1365">
      <w:pPr>
        <w:spacing w:before="156" w:beforeLines="50" w:after="156" w:afterLines="50" w:line="440" w:lineRule="exact"/>
        <w:ind w:firstLine="480" w:firstLineChars="200"/>
        <w:rPr>
          <w:rFonts w:hint="eastAsia" w:ascii="宋体" w:hAnsi="宋体"/>
          <w:color w:val="000000" w:themeColor="text1"/>
          <w:kern w:val="0"/>
          <w:sz w:val="24"/>
          <w:szCs w:val="28"/>
        </w:rPr>
      </w:pPr>
      <w:r>
        <w:rPr>
          <w:rFonts w:hint="eastAsia" w:ascii="宋体" w:hAnsi="宋体"/>
          <w:color w:val="000000" w:themeColor="text1"/>
          <w:kern w:val="0"/>
          <w:sz w:val="24"/>
          <w:szCs w:val="28"/>
        </w:rPr>
        <w:t>发包人的领导和从事该建设工程项目的工作人员，在工程建设的事前、事中、事后应遵守以下规定：</w:t>
      </w:r>
    </w:p>
    <w:p w14:paraId="58E6E10E">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（一）不准向承包人和相关单位索要或接受回扣、礼金、有价证券、贵重物品和好处费、感谢费等。</w:t>
      </w:r>
    </w:p>
    <w:p w14:paraId="2C54CE59">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（二）不准在承包人和相关单位报销任何应由发包人或个人支付的费用。</w:t>
      </w:r>
    </w:p>
    <w:p w14:paraId="4C7CF443">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（三）不准要求、暗示或接受承包人和相关单位为个人装修住房、婚丧嫁娶、配偶子女的工作安排以及出国（境）、旅游等提供方便。</w:t>
      </w:r>
    </w:p>
    <w:p w14:paraId="70B39690">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（四）不准参加有可能影响公正执行公务的承包人和相关单位的宴请、健身、娱乐等活动。</w:t>
      </w:r>
    </w:p>
    <w:p w14:paraId="34A4058E">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五）不准向承包人介绍或为配偶、子女、亲属参与同发包人项目工程施工合同有关的设备、材料、工程分包、劳务等经济活动。不得以任何理由向承包人和相关单位推荐分包单位和要求承包人购买项目工程施工合同规定以外的材料、设备等。</w:t>
      </w:r>
    </w:p>
    <w:p w14:paraId="1375DA27">
      <w:pPr>
        <w:spacing w:before="156" w:beforeLines="50" w:after="156" w:afterLines="50" w:line="440" w:lineRule="exact"/>
        <w:rPr>
          <w:rFonts w:hint="eastAsia" w:ascii="宋体" w:hAnsi="宋体"/>
          <w:b/>
          <w:color w:val="000000" w:themeColor="text1"/>
          <w:kern w:val="0"/>
          <w:sz w:val="24"/>
          <w:szCs w:val="28"/>
        </w:rPr>
      </w:pPr>
      <w:r>
        <w:rPr>
          <w:rFonts w:hint="eastAsia" w:ascii="宋体" w:hAnsi="宋体"/>
          <w:b/>
          <w:color w:val="000000" w:themeColor="text1"/>
          <w:kern w:val="0"/>
          <w:sz w:val="24"/>
          <w:szCs w:val="28"/>
        </w:rPr>
        <w:t>第三条承包人的责任</w:t>
      </w:r>
    </w:p>
    <w:p w14:paraId="2B3EBB2C">
      <w:pPr>
        <w:spacing w:before="156" w:beforeLines="50" w:after="156" w:afterLines="50" w:line="440" w:lineRule="exact"/>
        <w:ind w:firstLine="480" w:firstLineChars="200"/>
        <w:rPr>
          <w:rFonts w:hint="eastAsia" w:ascii="宋体" w:hAnsi="宋体"/>
          <w:color w:val="000000" w:themeColor="text1"/>
          <w:kern w:val="0"/>
          <w:sz w:val="24"/>
          <w:szCs w:val="28"/>
        </w:rPr>
      </w:pPr>
      <w:r>
        <w:rPr>
          <w:rFonts w:hint="eastAsia" w:ascii="宋体" w:hAnsi="宋体"/>
          <w:color w:val="000000" w:themeColor="text1"/>
          <w:kern w:val="0"/>
          <w:sz w:val="24"/>
          <w:szCs w:val="28"/>
        </w:rPr>
        <w:t>应与发包人保持正常的业务交往，按照有关法律法规和程序开展业务工作，严格执行工程建设和基桩检测的有关方针、政策，尤其是有关设计基桩检测的强制性标准和规范，并遵守以下规定：</w:t>
      </w:r>
    </w:p>
    <w:p w14:paraId="209F58E2">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（一）不准以任何理由向发包人、相关单位及其工作人员索要、接受或赠送礼金、有价证券、贵重物品及回扣、好处费、感谢费等。</w:t>
      </w:r>
    </w:p>
    <w:p w14:paraId="1C219E09">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（二）不准以任何理由为发包人和相关单位报销应由对方或个人支付的费用。</w:t>
      </w:r>
    </w:p>
    <w:p w14:paraId="50B88121">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（三）不准接受或暗示为发包人、相关单位或个人装修住房、婚丧嫁娶、配偶子女的工作安排以及出国（境）、旅游等提供方便。</w:t>
      </w:r>
    </w:p>
    <w:p w14:paraId="513EC23A">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（四）不准以任何理由为发包人、相关单位或个人组织有可能影响公正执行公务的宴请、健身、娱乐等活动。</w:t>
      </w:r>
    </w:p>
    <w:p w14:paraId="6FAE12D8">
      <w:pPr>
        <w:spacing w:before="156" w:beforeLines="50" w:after="156" w:afterLines="50" w:line="440" w:lineRule="exact"/>
        <w:rPr>
          <w:rFonts w:hint="eastAsia" w:ascii="宋体" w:hAnsi="宋体"/>
          <w:b/>
          <w:color w:val="000000" w:themeColor="text1"/>
          <w:kern w:val="0"/>
          <w:sz w:val="24"/>
          <w:szCs w:val="28"/>
        </w:rPr>
      </w:pPr>
      <w:r>
        <w:rPr>
          <w:rFonts w:hint="eastAsia" w:ascii="宋体" w:hAnsi="宋体"/>
          <w:b/>
          <w:color w:val="000000" w:themeColor="text1"/>
          <w:kern w:val="0"/>
          <w:sz w:val="24"/>
          <w:szCs w:val="28"/>
        </w:rPr>
        <w:t>第四条违约责任</w:t>
      </w:r>
    </w:p>
    <w:p w14:paraId="0415D844">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一）发包人工作人员有违反本责任书第一、第二条责任行为的，按照管理权限，依据有关法律法规和规定给予党纪、政务处分或组织处理；涉嫌犯罪的，移交司法机关追究刑事责任；给承包人单位造成经济损失的，应予以赔偿。</w:t>
      </w:r>
    </w:p>
    <w:p w14:paraId="55165C7A">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二）承包人工作人员有违反本责任书第一、三条责任行为的，按照管理权限，依据有关法律法规和规定给予党纪、政务处分或组织处理；涉嫌犯罪的，移交司法机关追究刑事责任；给发包人单位造成经济损失的，应予以赔偿。</w:t>
      </w:r>
    </w:p>
    <w:p w14:paraId="55E6A1DD">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b/>
          <w:bCs/>
          <w:color w:val="000000" w:themeColor="text1"/>
          <w:kern w:val="0"/>
          <w:sz w:val="24"/>
          <w:szCs w:val="28"/>
        </w:rPr>
        <w:t>第五条</w:t>
      </w:r>
      <w:r>
        <w:rPr>
          <w:rFonts w:hint="eastAsia" w:ascii="宋体" w:hAnsi="宋体"/>
          <w:color w:val="000000" w:themeColor="text1"/>
          <w:kern w:val="0"/>
          <w:sz w:val="24"/>
          <w:szCs w:val="28"/>
        </w:rPr>
        <w:t>本责任书作为《施工合同》的附件，与《项目施工合同》具有同等法律效力。经双方签署后立即生效。</w:t>
      </w:r>
    </w:p>
    <w:p w14:paraId="0BDC8A8F">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b/>
          <w:bCs/>
          <w:color w:val="000000" w:themeColor="text1"/>
          <w:kern w:val="0"/>
          <w:sz w:val="24"/>
          <w:szCs w:val="28"/>
        </w:rPr>
        <w:t>第六条</w:t>
      </w:r>
      <w:r>
        <w:rPr>
          <w:rFonts w:hint="eastAsia" w:ascii="宋体" w:hAnsi="宋体"/>
          <w:color w:val="000000" w:themeColor="text1"/>
          <w:kern w:val="0"/>
          <w:sz w:val="24"/>
          <w:szCs w:val="28"/>
        </w:rPr>
        <w:t>本责任书的有效期与《施工合同》的规定相同。</w:t>
      </w:r>
    </w:p>
    <w:p w14:paraId="26BC3950">
      <w:pPr>
        <w:spacing w:before="156" w:beforeLines="50" w:after="156" w:afterLines="50" w:line="440" w:lineRule="exact"/>
        <w:rPr>
          <w:rFonts w:hint="eastAsia" w:ascii="宋体" w:hAnsi="宋体"/>
          <w:b/>
          <w:color w:val="000000" w:themeColor="text1"/>
          <w:kern w:val="0"/>
          <w:sz w:val="24"/>
          <w:szCs w:val="28"/>
        </w:rPr>
      </w:pPr>
      <w:r>
        <w:rPr>
          <w:rFonts w:hint="eastAsia" w:ascii="宋体" w:hAnsi="宋体"/>
          <w:b/>
          <w:color w:val="000000" w:themeColor="text1"/>
          <w:kern w:val="0"/>
          <w:sz w:val="24"/>
          <w:szCs w:val="28"/>
        </w:rPr>
        <w:t>第七条</w:t>
      </w:r>
      <w:r>
        <w:rPr>
          <w:rFonts w:hint="eastAsia" w:ascii="宋体" w:hAnsi="宋体"/>
          <w:color w:val="000000" w:themeColor="text1"/>
          <w:kern w:val="0"/>
          <w:sz w:val="24"/>
          <w:szCs w:val="28"/>
        </w:rPr>
        <w:t>本责任书一式捌份，发包人肆份，承包人肆份。本责任书的未尽事宜，由双方协商解决。</w:t>
      </w:r>
    </w:p>
    <w:p w14:paraId="1DEF6FBB">
      <w:pPr>
        <w:spacing w:before="156" w:beforeLines="50" w:after="156" w:afterLines="50" w:line="440" w:lineRule="exact"/>
        <w:rPr>
          <w:rFonts w:hint="eastAsia" w:ascii="宋体" w:hAnsi="宋体"/>
          <w:color w:val="000000" w:themeColor="text1"/>
          <w:kern w:val="0"/>
          <w:sz w:val="24"/>
          <w:szCs w:val="28"/>
        </w:rPr>
      </w:pPr>
    </w:p>
    <w:p w14:paraId="059E1F38">
      <w:pPr>
        <w:spacing w:before="156" w:beforeLines="50" w:after="156" w:afterLines="50" w:line="440" w:lineRule="exact"/>
        <w:rPr>
          <w:rFonts w:hint="eastAsia" w:ascii="宋体" w:hAnsi="宋体" w:eastAsia="宋体"/>
          <w:color w:val="000000" w:themeColor="text1"/>
          <w:kern w:val="0"/>
          <w:sz w:val="24"/>
          <w:szCs w:val="28"/>
          <w:lang w:eastAsia="zh-CN"/>
        </w:rPr>
      </w:pPr>
      <w:r>
        <w:rPr>
          <w:rFonts w:hint="eastAsia" w:ascii="宋体" w:hAnsi="宋体"/>
          <w:color w:val="000000" w:themeColor="text1"/>
          <w:kern w:val="0"/>
          <w:sz w:val="24"/>
          <w:szCs w:val="28"/>
        </w:rPr>
        <w:t>发包人：</w:t>
      </w:r>
      <w:r>
        <w:rPr>
          <w:rFonts w:hint="eastAsia" w:ascii="宋体" w:hAnsi="宋体"/>
          <w:color w:val="000000" w:themeColor="text1"/>
          <w:kern w:val="0"/>
          <w:sz w:val="24"/>
          <w:szCs w:val="28"/>
          <w:lang w:eastAsia="zh-CN"/>
        </w:rPr>
        <w:t>广东省人民体育场</w:t>
      </w:r>
    </w:p>
    <w:p w14:paraId="1E20695C">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法定代表人：</w:t>
      </w:r>
    </w:p>
    <w:p w14:paraId="5C76A2DF">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s="宋体"/>
          <w:color w:val="000000" w:themeColor="text1"/>
          <w:sz w:val="24"/>
        </w:rPr>
        <w:t>委托代理人</w:t>
      </w:r>
      <w:r>
        <w:rPr>
          <w:rFonts w:hint="eastAsia" w:ascii="宋体" w:hAnsi="宋体"/>
          <w:color w:val="000000" w:themeColor="text1"/>
          <w:kern w:val="0"/>
          <w:sz w:val="24"/>
          <w:szCs w:val="28"/>
        </w:rPr>
        <w:t>：</w:t>
      </w:r>
    </w:p>
    <w:p w14:paraId="4E53248B">
      <w:pPr>
        <w:spacing w:before="156" w:beforeLines="50" w:after="156" w:afterLines="50" w:line="440" w:lineRule="exact"/>
        <w:rPr>
          <w:rFonts w:hint="eastAsia" w:ascii="宋体" w:hAnsi="宋体" w:eastAsia="宋体"/>
          <w:color w:val="000000" w:themeColor="text1"/>
          <w:kern w:val="0"/>
          <w:sz w:val="24"/>
          <w:szCs w:val="28"/>
          <w:lang w:eastAsia="zh-CN"/>
        </w:rPr>
      </w:pPr>
      <w:r>
        <w:rPr>
          <w:rFonts w:hint="eastAsia" w:ascii="宋体" w:hAnsi="宋体"/>
          <w:color w:val="000000" w:themeColor="text1"/>
          <w:kern w:val="0"/>
          <w:sz w:val="24"/>
          <w:szCs w:val="28"/>
        </w:rPr>
        <w:t>地址：</w:t>
      </w:r>
      <w:r>
        <w:rPr>
          <w:rFonts w:hint="eastAsia" w:ascii="宋体" w:hAnsi="宋体"/>
          <w:color w:val="000000" w:themeColor="text1"/>
          <w:kern w:val="0"/>
          <w:sz w:val="24"/>
          <w:szCs w:val="28"/>
          <w:lang w:eastAsia="zh-CN"/>
        </w:rPr>
        <w:t>广州市越秀区较场西路18号</w:t>
      </w:r>
    </w:p>
    <w:p w14:paraId="66ADD909">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签约日期：    年    月   日</w:t>
      </w:r>
    </w:p>
    <w:p w14:paraId="366C27BB">
      <w:pPr>
        <w:spacing w:before="156" w:beforeLines="50" w:after="156" w:afterLines="50" w:line="440" w:lineRule="exact"/>
        <w:rPr>
          <w:rFonts w:hint="eastAsia" w:ascii="宋体" w:hAnsi="宋体"/>
          <w:color w:val="000000" w:themeColor="text1"/>
          <w:kern w:val="0"/>
          <w:sz w:val="24"/>
          <w:szCs w:val="28"/>
        </w:rPr>
      </w:pPr>
    </w:p>
    <w:p w14:paraId="6E3CF544">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 xml:space="preserve">承包人： </w:t>
      </w:r>
    </w:p>
    <w:p w14:paraId="339A24B8">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法定代表人：</w:t>
      </w:r>
    </w:p>
    <w:p w14:paraId="3B7F79CA">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s="宋体"/>
          <w:color w:val="000000" w:themeColor="text1"/>
          <w:sz w:val="24"/>
        </w:rPr>
        <w:t>委托代理人</w:t>
      </w:r>
      <w:r>
        <w:rPr>
          <w:rFonts w:hint="eastAsia" w:ascii="宋体" w:hAnsi="宋体"/>
          <w:color w:val="000000" w:themeColor="text1"/>
          <w:kern w:val="0"/>
          <w:sz w:val="24"/>
          <w:szCs w:val="28"/>
        </w:rPr>
        <w:t>：</w:t>
      </w:r>
    </w:p>
    <w:p w14:paraId="24701725">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 xml:space="preserve">地址： </w:t>
      </w:r>
    </w:p>
    <w:p w14:paraId="7B34BB55">
      <w:pPr>
        <w:spacing w:before="156" w:beforeLines="50" w:after="156" w:afterLines="50" w:line="440" w:lineRule="exact"/>
        <w:rPr>
          <w:rFonts w:hint="eastAsia" w:ascii="宋体" w:hAnsi="宋体"/>
          <w:color w:val="000000" w:themeColor="text1"/>
          <w:kern w:val="0"/>
          <w:sz w:val="24"/>
          <w:szCs w:val="28"/>
        </w:rPr>
      </w:pPr>
      <w:r>
        <w:rPr>
          <w:rFonts w:hint="eastAsia" w:ascii="宋体" w:hAnsi="宋体"/>
          <w:color w:val="000000" w:themeColor="text1"/>
          <w:kern w:val="0"/>
          <w:sz w:val="24"/>
          <w:szCs w:val="28"/>
        </w:rPr>
        <w:t>签约日期：    年   月   日</w:t>
      </w:r>
    </w:p>
    <w:p w14:paraId="3103A45D">
      <w:pPr>
        <w:spacing w:before="156" w:beforeLines="50" w:after="156" w:afterLines="50" w:line="440" w:lineRule="exact"/>
        <w:rPr>
          <w:rFonts w:hint="eastAsia" w:ascii="宋体" w:hAnsi="宋体"/>
          <w:color w:val="000000" w:themeColor="text1"/>
          <w:sz w:val="24"/>
        </w:rPr>
      </w:pPr>
      <w:r>
        <w:rPr>
          <w:rFonts w:eastAsia="仿宋_GB2312"/>
          <w:color w:val="000000" w:themeColor="text1"/>
          <w:sz w:val="30"/>
          <w:szCs w:val="30"/>
        </w:rPr>
        <w:br w:type="page"/>
      </w:r>
      <w:r>
        <w:rPr>
          <w:rFonts w:hint="eastAsia" w:ascii="宋体" w:hAnsi="宋体"/>
          <w:color w:val="000000" w:themeColor="text1"/>
          <w:sz w:val="24"/>
        </w:rPr>
        <w:t>附</w:t>
      </w:r>
      <w:bookmarkStart w:id="1" w:name="_Toc296944564"/>
      <w:bookmarkStart w:id="2" w:name="_Toc267261692"/>
      <w:bookmarkStart w:id="3" w:name="_Toc296891265"/>
      <w:bookmarkStart w:id="4" w:name="_Toc296503225"/>
      <w:bookmarkStart w:id="5" w:name="_Toc296347224"/>
      <w:bookmarkStart w:id="6" w:name="_Toc296891053"/>
      <w:bookmarkStart w:id="7" w:name="_Toc296346726"/>
      <w:r>
        <w:rPr>
          <w:rFonts w:hint="eastAsia" w:ascii="宋体" w:hAnsi="宋体"/>
          <w:color w:val="000000" w:themeColor="text1"/>
          <w:sz w:val="24"/>
        </w:rPr>
        <w:t>件2：发包人供应材料设备一览表（如有，另附）</w:t>
      </w:r>
    </w:p>
    <w:bookmarkEnd w:id="1"/>
    <w:bookmarkEnd w:id="2"/>
    <w:bookmarkEnd w:id="3"/>
    <w:bookmarkEnd w:id="4"/>
    <w:bookmarkEnd w:id="5"/>
    <w:bookmarkEnd w:id="6"/>
    <w:bookmarkEnd w:id="7"/>
    <w:p w14:paraId="73C5609E">
      <w:pPr>
        <w:spacing w:before="156" w:beforeLines="50" w:after="156" w:afterLines="50" w:line="440" w:lineRule="exact"/>
        <w:rPr>
          <w:rFonts w:hint="eastAsia" w:ascii="宋体" w:hAnsi="宋体"/>
          <w:color w:val="000000" w:themeColor="text1"/>
          <w:sz w:val="24"/>
        </w:rPr>
      </w:pPr>
      <w:r>
        <w:rPr>
          <w:rFonts w:hint="eastAsia" w:ascii="宋体" w:hAnsi="宋体"/>
          <w:color w:val="000000" w:themeColor="text1"/>
          <w:sz w:val="24"/>
        </w:rPr>
        <w:br w:type="page"/>
      </w:r>
      <w:r>
        <w:rPr>
          <w:rFonts w:hint="eastAsia" w:ascii="宋体" w:hAnsi="宋体"/>
          <w:color w:val="000000" w:themeColor="text1"/>
          <w:sz w:val="24"/>
        </w:rPr>
        <w:t>附</w:t>
      </w:r>
      <w:bookmarkStart w:id="8" w:name="_Toc296503226"/>
      <w:bookmarkStart w:id="9" w:name="_Toc296944565"/>
      <w:bookmarkStart w:id="10" w:name="_Toc296891266"/>
      <w:bookmarkStart w:id="11" w:name="_Toc296347225"/>
      <w:bookmarkStart w:id="12" w:name="_Toc296891054"/>
      <w:bookmarkStart w:id="13" w:name="_Toc267261693"/>
      <w:bookmarkStart w:id="14" w:name="_Toc296346727"/>
      <w:r>
        <w:rPr>
          <w:rFonts w:hint="eastAsia" w:ascii="宋体" w:hAnsi="宋体"/>
          <w:color w:val="000000" w:themeColor="text1"/>
          <w:sz w:val="24"/>
        </w:rPr>
        <w:t>件3：</w:t>
      </w:r>
      <w:bookmarkEnd w:id="8"/>
      <w:bookmarkEnd w:id="9"/>
      <w:bookmarkEnd w:id="10"/>
      <w:bookmarkEnd w:id="11"/>
      <w:bookmarkEnd w:id="12"/>
      <w:bookmarkEnd w:id="13"/>
      <w:bookmarkEnd w:id="14"/>
      <w:r>
        <w:rPr>
          <w:rFonts w:hint="eastAsia" w:ascii="宋体" w:hAnsi="宋体"/>
          <w:color w:val="000000" w:themeColor="text1"/>
          <w:sz w:val="24"/>
        </w:rPr>
        <w:t>工程质量保修书</w:t>
      </w:r>
    </w:p>
    <w:p w14:paraId="76188F9F">
      <w:pPr>
        <w:spacing w:before="156" w:beforeLines="50" w:after="156" w:afterLines="50" w:line="440" w:lineRule="exact"/>
        <w:jc w:val="center"/>
        <w:rPr>
          <w:rFonts w:hint="eastAsia" w:ascii="宋体" w:hAnsi="宋体"/>
          <w:b/>
          <w:color w:val="000000" w:themeColor="text1"/>
          <w:sz w:val="30"/>
          <w:szCs w:val="30"/>
        </w:rPr>
      </w:pPr>
      <w:r>
        <w:rPr>
          <w:rFonts w:ascii="宋体" w:hAnsi="宋体"/>
          <w:b/>
          <w:color w:val="000000" w:themeColor="text1"/>
          <w:sz w:val="30"/>
          <w:szCs w:val="30"/>
        </w:rPr>
        <w:t>工程质量保修书</w:t>
      </w:r>
    </w:p>
    <w:p w14:paraId="274ABB47">
      <w:pPr>
        <w:spacing w:line="440" w:lineRule="exact"/>
        <w:ind w:firstLine="480" w:firstLineChars="200"/>
        <w:rPr>
          <w:rFonts w:hint="eastAsia" w:ascii="宋体" w:hAnsi="宋体" w:eastAsia="宋体"/>
          <w:color w:val="000000" w:themeColor="text1"/>
          <w:sz w:val="24"/>
          <w:lang w:eastAsia="zh-CN"/>
        </w:rPr>
      </w:pPr>
      <w:r>
        <w:rPr>
          <w:rFonts w:ascii="宋体" w:hAnsi="宋体"/>
          <w:color w:val="000000" w:themeColor="text1"/>
          <w:sz w:val="24"/>
        </w:rPr>
        <w:t>发包人（全称）：</w:t>
      </w:r>
      <w:r>
        <w:rPr>
          <w:rFonts w:hint="eastAsia" w:ascii="宋体" w:hAnsi="宋体"/>
          <w:color w:val="000000" w:themeColor="text1"/>
          <w:kern w:val="0"/>
          <w:sz w:val="24"/>
          <w:szCs w:val="28"/>
          <w:lang w:eastAsia="zh-CN"/>
        </w:rPr>
        <w:t>广东省人民体育场</w:t>
      </w:r>
    </w:p>
    <w:p w14:paraId="78FF57A6">
      <w:pPr>
        <w:spacing w:line="440" w:lineRule="exact"/>
        <w:ind w:firstLine="480"/>
        <w:rPr>
          <w:rFonts w:hint="eastAsia" w:ascii="宋体" w:hAnsi="宋体"/>
          <w:color w:val="000000" w:themeColor="text1"/>
          <w:sz w:val="24"/>
        </w:rPr>
      </w:pPr>
      <w:r>
        <w:rPr>
          <w:rFonts w:ascii="宋体" w:hAnsi="宋体"/>
          <w:color w:val="000000" w:themeColor="text1"/>
          <w:sz w:val="24"/>
        </w:rPr>
        <w:t>承包人（全称）：</w:t>
      </w:r>
      <w:r>
        <w:rPr>
          <w:rFonts w:hint="eastAsia" w:ascii="宋体" w:hAnsi="宋体"/>
          <w:color w:val="000000" w:themeColor="text1"/>
          <w:sz w:val="24"/>
        </w:rPr>
        <w:t xml:space="preserve"> </w:t>
      </w:r>
    </w:p>
    <w:p w14:paraId="76D278BB">
      <w:pPr>
        <w:spacing w:line="360" w:lineRule="auto"/>
        <w:ind w:firstLine="480"/>
        <w:rPr>
          <w:rFonts w:hint="eastAsia" w:ascii="宋体" w:hAnsi="宋体"/>
          <w:color w:val="000000" w:themeColor="text1"/>
          <w:sz w:val="24"/>
        </w:rPr>
      </w:pPr>
      <w:r>
        <w:rPr>
          <w:rFonts w:hint="eastAsia" w:ascii="宋体" w:hAnsi="宋体" w:cs="宋体"/>
          <w:color w:val="000000" w:themeColor="text1"/>
          <w:sz w:val="24"/>
        </w:rPr>
        <w:t>发包人和承包人根据《中华人民共和国建筑法》和《建设工程质量管理条例》，经协商一致就</w:t>
      </w:r>
      <w:r>
        <w:rPr>
          <w:rFonts w:hint="eastAsia" w:ascii="宋体" w:hAnsi="宋体" w:cs="宋体"/>
          <w:color w:val="000000" w:themeColor="text1"/>
          <w:sz w:val="24"/>
          <w:lang w:eastAsia="zh-CN"/>
        </w:rPr>
        <w:t>广东省人民体育场青少年体育后备人才培养单位改造项目</w:t>
      </w:r>
      <w:r>
        <w:rPr>
          <w:rFonts w:hint="eastAsia" w:ascii="宋体" w:hAnsi="宋体" w:cs="宋体"/>
          <w:color w:val="000000" w:themeColor="text1"/>
          <w:sz w:val="24"/>
        </w:rPr>
        <w:t>（工程全称）</w:t>
      </w:r>
      <w:r>
        <w:rPr>
          <w:rFonts w:ascii="宋体" w:hAnsi="宋体"/>
          <w:color w:val="000000" w:themeColor="text1"/>
          <w:sz w:val="24"/>
        </w:rPr>
        <w:t>签订工程质量保修书。</w:t>
      </w:r>
    </w:p>
    <w:p w14:paraId="036EA0D6">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一、工程质量保修范围和内容</w:t>
      </w:r>
    </w:p>
    <w:p w14:paraId="461CF1CE">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　　承包人在质量保修期内，按照有关法律规定和合同约定，承担工程质量保修责任。</w:t>
      </w:r>
    </w:p>
    <w:p w14:paraId="5F75514A">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32BC5B7A">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　　</w:t>
      </w:r>
      <w:r>
        <w:rPr>
          <w:rFonts w:hint="eastAsia" w:ascii="宋体" w:hAnsi="宋体" w:cs="宋体"/>
          <w:color w:val="000000" w:themeColor="text1"/>
          <w:kern w:val="0"/>
          <w:sz w:val="24"/>
          <w:u w:val="single"/>
        </w:rPr>
        <w:t>本项目所有承包范围内的工程均属保修范围。</w:t>
      </w:r>
    </w:p>
    <w:p w14:paraId="7F0E17C1">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b/>
          <w:bCs/>
          <w:color w:val="000000" w:themeColor="text1"/>
          <w:kern w:val="0"/>
          <w:sz w:val="24"/>
        </w:rPr>
        <w:t>　　</w:t>
      </w:r>
      <w:r>
        <w:rPr>
          <w:rFonts w:hint="eastAsia" w:ascii="宋体" w:hAnsi="宋体" w:cs="宋体"/>
          <w:color w:val="000000" w:themeColor="text1"/>
          <w:kern w:val="0"/>
          <w:sz w:val="24"/>
        </w:rPr>
        <w:t>二、质量保修期</w:t>
      </w:r>
    </w:p>
    <w:p w14:paraId="5AB24F68">
      <w:pPr>
        <w:widowControl/>
        <w:spacing w:before="100" w:beforeAutospacing="1" w:after="100" w:afterAutospacing="1"/>
        <w:ind w:firstLine="600"/>
        <w:rPr>
          <w:rFonts w:hint="eastAsia" w:ascii="宋体" w:hAnsi="宋体" w:cs="宋体"/>
          <w:color w:val="000000" w:themeColor="text1"/>
          <w:kern w:val="0"/>
          <w:sz w:val="24"/>
        </w:rPr>
      </w:pPr>
      <w:r>
        <w:rPr>
          <w:rFonts w:hint="eastAsia" w:ascii="宋体" w:hAnsi="宋体" w:cs="宋体"/>
          <w:color w:val="000000" w:themeColor="text1"/>
          <w:kern w:val="0"/>
          <w:sz w:val="24"/>
        </w:rPr>
        <w:t>根据《建设工程质量管理条例》及有关规定，工程的质量保修期如下：</w:t>
      </w:r>
    </w:p>
    <w:p w14:paraId="059D3236">
      <w:pPr>
        <w:widowControl/>
        <w:spacing w:before="100" w:beforeAutospacing="1" w:after="100" w:afterAutospacing="1"/>
        <w:ind w:firstLine="480" w:firstLineChars="200"/>
        <w:rPr>
          <w:rFonts w:hint="eastAsia" w:ascii="宋体" w:hAnsi="宋体" w:cs="宋体"/>
          <w:color w:val="000000" w:themeColor="text1"/>
          <w:kern w:val="0"/>
          <w:sz w:val="24"/>
        </w:rPr>
      </w:pPr>
      <w:r>
        <w:rPr>
          <w:rFonts w:hint="eastAsia" w:ascii="宋体" w:hAnsi="宋体" w:cs="宋体"/>
          <w:color w:val="000000" w:themeColor="text1"/>
          <w:kern w:val="0"/>
          <w:sz w:val="24"/>
        </w:rPr>
        <w:t>1．地基基础工程和主体结构工程为设计文件规定的工程合理使用年限；</w:t>
      </w:r>
    </w:p>
    <w:p w14:paraId="7A9BE488">
      <w:pPr>
        <w:widowControl/>
        <w:spacing w:before="100" w:beforeAutospacing="1" w:after="100" w:afterAutospacing="1"/>
        <w:ind w:firstLine="480" w:firstLineChars="200"/>
        <w:rPr>
          <w:rFonts w:hint="eastAsia" w:ascii="宋体" w:hAnsi="宋体" w:cs="宋体"/>
          <w:color w:val="000000" w:themeColor="text1"/>
          <w:kern w:val="0"/>
          <w:sz w:val="24"/>
        </w:rPr>
      </w:pPr>
      <w:r>
        <w:rPr>
          <w:rFonts w:hint="eastAsia" w:ascii="宋体" w:hAnsi="宋体" w:cs="宋体"/>
          <w:color w:val="000000" w:themeColor="text1"/>
          <w:kern w:val="0"/>
          <w:sz w:val="24"/>
        </w:rPr>
        <w:t>2．屋面防水工程、有防水要求的卫生间、房间和外墙面的防渗为</w:t>
      </w:r>
      <w:r>
        <w:rPr>
          <w:rFonts w:hint="eastAsia" w:ascii="宋体" w:hAnsi="宋体" w:cs="宋体"/>
          <w:color w:val="000000" w:themeColor="text1"/>
          <w:kern w:val="0"/>
          <w:sz w:val="24"/>
          <w:u w:val="single"/>
        </w:rPr>
        <w:t>5</w:t>
      </w:r>
      <w:r>
        <w:rPr>
          <w:rFonts w:hint="eastAsia" w:ascii="宋体" w:hAnsi="宋体" w:cs="宋体"/>
          <w:color w:val="000000" w:themeColor="text1"/>
          <w:kern w:val="0"/>
          <w:sz w:val="24"/>
        </w:rPr>
        <w:t>年；</w:t>
      </w:r>
    </w:p>
    <w:p w14:paraId="499B27F9">
      <w:pPr>
        <w:widowControl/>
        <w:spacing w:before="100" w:beforeAutospacing="1" w:after="100" w:afterAutospacing="1"/>
        <w:ind w:firstLine="480" w:firstLineChars="200"/>
        <w:rPr>
          <w:rFonts w:hint="eastAsia" w:ascii="宋体" w:hAnsi="宋体" w:cs="宋体"/>
          <w:color w:val="000000" w:themeColor="text1"/>
          <w:kern w:val="0"/>
          <w:sz w:val="24"/>
        </w:rPr>
      </w:pPr>
      <w:r>
        <w:rPr>
          <w:rFonts w:hint="eastAsia" w:ascii="宋体" w:hAnsi="宋体" w:cs="宋体"/>
          <w:color w:val="000000" w:themeColor="text1"/>
          <w:kern w:val="0"/>
          <w:sz w:val="24"/>
        </w:rPr>
        <w:t>3．装修工程为</w:t>
      </w:r>
      <w:r>
        <w:rPr>
          <w:rFonts w:hint="eastAsia" w:ascii="宋体" w:hAnsi="宋体" w:cs="宋体"/>
          <w:color w:val="000000" w:themeColor="text1"/>
          <w:kern w:val="0"/>
          <w:sz w:val="24"/>
          <w:u w:val="single"/>
        </w:rPr>
        <w:t>2</w:t>
      </w:r>
      <w:r>
        <w:rPr>
          <w:rFonts w:hint="eastAsia" w:ascii="宋体" w:hAnsi="宋体" w:cs="宋体"/>
          <w:color w:val="000000" w:themeColor="text1"/>
          <w:kern w:val="0"/>
          <w:sz w:val="24"/>
        </w:rPr>
        <w:t>年；</w:t>
      </w:r>
    </w:p>
    <w:p w14:paraId="60594AF4">
      <w:pPr>
        <w:widowControl/>
        <w:spacing w:before="100" w:beforeAutospacing="1" w:after="100" w:afterAutospacing="1"/>
        <w:ind w:firstLine="480" w:firstLineChars="200"/>
        <w:rPr>
          <w:rFonts w:hint="eastAsia" w:ascii="宋体" w:hAnsi="宋体" w:cs="宋体"/>
          <w:color w:val="000000" w:themeColor="text1"/>
          <w:kern w:val="0"/>
          <w:sz w:val="24"/>
        </w:rPr>
      </w:pPr>
      <w:r>
        <w:rPr>
          <w:rFonts w:hint="eastAsia" w:ascii="宋体" w:hAnsi="宋体" w:cs="宋体"/>
          <w:color w:val="000000" w:themeColor="text1"/>
          <w:kern w:val="0"/>
          <w:sz w:val="24"/>
        </w:rPr>
        <w:t>4．电气管线、给排水管道、设备安装工程为</w:t>
      </w:r>
      <w:r>
        <w:rPr>
          <w:rFonts w:hint="eastAsia" w:ascii="宋体" w:hAnsi="宋体" w:cs="宋体"/>
          <w:color w:val="000000" w:themeColor="text1"/>
          <w:kern w:val="0"/>
          <w:sz w:val="24"/>
          <w:u w:val="single"/>
        </w:rPr>
        <w:t>2</w:t>
      </w:r>
      <w:r>
        <w:rPr>
          <w:rFonts w:hint="eastAsia" w:ascii="宋体" w:hAnsi="宋体" w:cs="宋体"/>
          <w:color w:val="000000" w:themeColor="text1"/>
          <w:kern w:val="0"/>
          <w:sz w:val="24"/>
        </w:rPr>
        <w:t>年；</w:t>
      </w:r>
    </w:p>
    <w:p w14:paraId="5C9D6820">
      <w:pPr>
        <w:widowControl/>
        <w:spacing w:before="100" w:beforeAutospacing="1" w:after="100" w:afterAutospacing="1"/>
        <w:ind w:firstLine="480" w:firstLineChars="200"/>
        <w:rPr>
          <w:rFonts w:hint="eastAsia" w:ascii="宋体" w:hAnsi="宋体" w:cs="宋体"/>
          <w:color w:val="000000" w:themeColor="text1"/>
          <w:kern w:val="0"/>
          <w:sz w:val="24"/>
        </w:rPr>
      </w:pPr>
      <w:r>
        <w:rPr>
          <w:rFonts w:hint="eastAsia" w:ascii="宋体" w:hAnsi="宋体" w:cs="宋体"/>
          <w:color w:val="000000" w:themeColor="text1"/>
          <w:kern w:val="0"/>
          <w:sz w:val="24"/>
        </w:rPr>
        <w:t>5．供热与供冷系统为</w:t>
      </w:r>
      <w:r>
        <w:rPr>
          <w:rFonts w:hint="eastAsia" w:ascii="宋体" w:hAnsi="宋体" w:cs="宋体"/>
          <w:color w:val="000000" w:themeColor="text1"/>
          <w:kern w:val="0"/>
          <w:sz w:val="24"/>
          <w:u w:val="single"/>
        </w:rPr>
        <w:t>2</w:t>
      </w:r>
      <w:r>
        <w:rPr>
          <w:rFonts w:hint="eastAsia" w:ascii="宋体" w:hAnsi="宋体" w:cs="宋体"/>
          <w:color w:val="000000" w:themeColor="text1"/>
          <w:kern w:val="0"/>
          <w:sz w:val="24"/>
        </w:rPr>
        <w:t>个采暖期、供冷期；</w:t>
      </w:r>
    </w:p>
    <w:p w14:paraId="1DB08CA3">
      <w:pPr>
        <w:widowControl/>
        <w:spacing w:before="100" w:beforeAutospacing="1" w:after="100" w:afterAutospacing="1"/>
        <w:ind w:firstLine="480" w:firstLineChars="200"/>
        <w:rPr>
          <w:rFonts w:hint="eastAsia" w:ascii="宋体" w:hAnsi="宋体" w:cs="宋体"/>
          <w:color w:val="000000" w:themeColor="text1"/>
          <w:kern w:val="0"/>
          <w:sz w:val="24"/>
        </w:rPr>
      </w:pPr>
      <w:r>
        <w:rPr>
          <w:rFonts w:hint="eastAsia" w:ascii="宋体" w:hAnsi="宋体" w:cs="宋体"/>
          <w:color w:val="000000" w:themeColor="text1"/>
          <w:kern w:val="0"/>
          <w:sz w:val="24"/>
        </w:rPr>
        <w:t>6．住宅小区内的给排水设施、道路等配套工程为</w:t>
      </w:r>
      <w:r>
        <w:rPr>
          <w:rFonts w:hint="eastAsia" w:ascii="宋体" w:hAnsi="宋体" w:cs="宋体"/>
          <w:color w:val="000000" w:themeColor="text1"/>
          <w:kern w:val="0"/>
          <w:sz w:val="24"/>
          <w:u w:val="single"/>
        </w:rPr>
        <w:t>2</w:t>
      </w:r>
      <w:r>
        <w:rPr>
          <w:rFonts w:hint="eastAsia" w:ascii="宋体" w:hAnsi="宋体" w:cs="宋体"/>
          <w:color w:val="000000" w:themeColor="text1"/>
          <w:kern w:val="0"/>
          <w:sz w:val="24"/>
        </w:rPr>
        <w:t>年；</w:t>
      </w:r>
    </w:p>
    <w:p w14:paraId="19100A1B">
      <w:pPr>
        <w:widowControl/>
        <w:spacing w:before="100" w:beforeAutospacing="1" w:after="100" w:afterAutospacing="1"/>
        <w:ind w:firstLine="480" w:firstLineChars="200"/>
        <w:jc w:val="left"/>
        <w:rPr>
          <w:rFonts w:hint="eastAsia" w:ascii="宋体" w:hAnsi="宋体" w:cs="宋体"/>
          <w:color w:val="000000" w:themeColor="text1"/>
          <w:kern w:val="0"/>
          <w:sz w:val="24"/>
        </w:rPr>
      </w:pPr>
      <w:r>
        <w:rPr>
          <w:rFonts w:hint="eastAsia" w:ascii="宋体" w:hAnsi="宋体" w:cs="宋体"/>
          <w:color w:val="000000" w:themeColor="text1"/>
          <w:kern w:val="0"/>
          <w:sz w:val="24"/>
        </w:rPr>
        <w:t>7．其他项目保修期限约定如下：</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u w:val="single"/>
          <w:lang w:val="en-US" w:eastAsia="zh-CN"/>
        </w:rPr>
        <w:t xml:space="preserve"> </w:t>
      </w:r>
      <w:r>
        <w:rPr>
          <w:rFonts w:hint="eastAsia" w:ascii="宋体" w:hAnsi="宋体" w:cs="宋体"/>
          <w:color w:val="000000" w:themeColor="text1"/>
          <w:kern w:val="0"/>
          <w:sz w:val="24"/>
        </w:rPr>
        <w:t>。</w:t>
      </w:r>
    </w:p>
    <w:p w14:paraId="17606CD3">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　　质量保修期自工程竣工验收合格之日起计算。</w:t>
      </w:r>
    </w:p>
    <w:p w14:paraId="693BAB46">
      <w:pPr>
        <w:widowControl/>
        <w:spacing w:before="100" w:beforeAutospacing="1" w:after="100" w:afterAutospacing="1"/>
        <w:ind w:firstLine="600"/>
        <w:rPr>
          <w:rFonts w:hint="eastAsia" w:ascii="宋体" w:hAnsi="宋体" w:cs="宋体"/>
          <w:color w:val="000000" w:themeColor="text1"/>
          <w:kern w:val="0"/>
          <w:sz w:val="24"/>
        </w:rPr>
      </w:pPr>
      <w:r>
        <w:rPr>
          <w:rFonts w:hint="eastAsia" w:ascii="宋体" w:hAnsi="宋体" w:cs="宋体"/>
          <w:color w:val="000000" w:themeColor="text1"/>
          <w:kern w:val="0"/>
          <w:sz w:val="24"/>
        </w:rPr>
        <w:t>三、缺陷责任期</w:t>
      </w:r>
    </w:p>
    <w:p w14:paraId="3126875B">
      <w:pPr>
        <w:widowControl/>
        <w:spacing w:before="100" w:beforeAutospacing="1" w:after="100" w:afterAutospacing="1"/>
        <w:ind w:firstLine="600"/>
        <w:rPr>
          <w:rFonts w:hint="eastAsia" w:ascii="宋体" w:hAnsi="宋体" w:cs="宋体"/>
          <w:color w:val="000000" w:themeColor="text1"/>
          <w:kern w:val="0"/>
          <w:sz w:val="24"/>
        </w:rPr>
      </w:pPr>
      <w:r>
        <w:rPr>
          <w:rFonts w:hint="eastAsia" w:ascii="宋体" w:hAnsi="宋体" w:cs="宋体"/>
          <w:color w:val="000000" w:themeColor="text1"/>
          <w:kern w:val="0"/>
          <w:sz w:val="24"/>
        </w:rPr>
        <w:t>工程缺陷责任期为</w:t>
      </w:r>
      <w:r>
        <w:rPr>
          <w:rFonts w:hint="eastAsia" w:ascii="宋体" w:hAnsi="宋体" w:cs="宋体"/>
          <w:color w:val="000000" w:themeColor="text1"/>
          <w:kern w:val="0"/>
          <w:sz w:val="24"/>
          <w:u w:val="single"/>
          <w:lang w:val="en-US" w:eastAsia="zh-CN"/>
        </w:rPr>
        <w:t>12</w:t>
      </w:r>
      <w:r>
        <w:rPr>
          <w:rFonts w:hint="eastAsia" w:ascii="宋体" w:hAnsi="宋体" w:cs="宋体"/>
          <w:color w:val="000000" w:themeColor="text1"/>
          <w:kern w:val="0"/>
          <w:sz w:val="24"/>
        </w:rPr>
        <w:t>个月，缺陷责任期自工程通过竣工验收之日起计算。单位工程先于全部工程进行验收，单位工程缺陷责任期自单位工程验收合格之日起算。</w:t>
      </w:r>
    </w:p>
    <w:p w14:paraId="2E236941">
      <w:pPr>
        <w:widowControl/>
        <w:spacing w:before="100" w:beforeAutospacing="1" w:after="100" w:afterAutospacing="1"/>
        <w:ind w:firstLine="600"/>
        <w:rPr>
          <w:rFonts w:hint="eastAsia" w:ascii="宋体" w:hAnsi="宋体" w:cs="宋体"/>
          <w:color w:val="000000" w:themeColor="text1"/>
          <w:kern w:val="0"/>
          <w:sz w:val="24"/>
        </w:rPr>
      </w:pPr>
      <w:r>
        <w:rPr>
          <w:rFonts w:hint="eastAsia" w:ascii="宋体" w:hAnsi="宋体" w:cs="宋体"/>
          <w:color w:val="000000" w:themeColor="text1"/>
          <w:kern w:val="0"/>
          <w:sz w:val="24"/>
        </w:rPr>
        <w:t>缺陷责任期终止后，发包人应无息退还剩余的质量保证金。</w:t>
      </w:r>
    </w:p>
    <w:p w14:paraId="1F89A920">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    四、质量保修责任</w:t>
      </w:r>
    </w:p>
    <w:p w14:paraId="7F29E12D">
      <w:pPr>
        <w:widowControl/>
        <w:spacing w:before="100" w:beforeAutospacing="1" w:after="100" w:afterAutospacing="1"/>
        <w:ind w:left="95" w:firstLine="615"/>
        <w:rPr>
          <w:rFonts w:hint="eastAsia" w:ascii="宋体" w:hAnsi="宋体" w:cs="宋体"/>
          <w:color w:val="000000" w:themeColor="text1"/>
          <w:kern w:val="0"/>
          <w:sz w:val="24"/>
        </w:rPr>
      </w:pPr>
      <w:r>
        <w:rPr>
          <w:rFonts w:hint="eastAsia" w:ascii="宋体" w:hAnsi="宋体" w:cs="宋体"/>
          <w:color w:val="000000" w:themeColor="text1"/>
          <w:kern w:val="0"/>
          <w:sz w:val="24"/>
        </w:rPr>
        <w:t>1．属于保修范围、内容的项目，承包人应当在接到保修通知之日起7天内派人保修。承包人不在约定期限内派人保修的，发包人可以委托他人修理。</w:t>
      </w:r>
    </w:p>
    <w:p w14:paraId="04B0702A">
      <w:pPr>
        <w:widowControl/>
        <w:spacing w:before="100" w:beforeAutospacing="1" w:after="100" w:afterAutospacing="1"/>
        <w:ind w:left="95" w:firstLine="615"/>
        <w:rPr>
          <w:rFonts w:hint="eastAsia" w:ascii="宋体" w:hAnsi="宋体" w:cs="宋体"/>
          <w:color w:val="000000" w:themeColor="text1"/>
          <w:kern w:val="0"/>
          <w:sz w:val="24"/>
        </w:rPr>
      </w:pPr>
      <w:r>
        <w:rPr>
          <w:rFonts w:hint="eastAsia" w:ascii="宋体" w:hAnsi="宋体" w:cs="宋体"/>
          <w:color w:val="000000" w:themeColor="text1"/>
          <w:kern w:val="0"/>
          <w:sz w:val="24"/>
        </w:rPr>
        <w:t>2．发生紧急事故需抢修的，承包人在接到事故通知后，应当立即到达事故现场抢修。</w:t>
      </w:r>
    </w:p>
    <w:p w14:paraId="7FCBB5A0">
      <w:pPr>
        <w:widowControl/>
        <w:spacing w:before="100" w:beforeAutospacing="1" w:after="100" w:afterAutospacing="1"/>
        <w:ind w:left="95" w:firstLine="615"/>
        <w:rPr>
          <w:rFonts w:hint="eastAsia" w:ascii="宋体" w:hAnsi="宋体" w:cs="宋体"/>
          <w:color w:val="000000" w:themeColor="text1"/>
          <w:kern w:val="0"/>
          <w:sz w:val="24"/>
        </w:rPr>
      </w:pPr>
      <w:r>
        <w:rPr>
          <w:rFonts w:hint="eastAsia" w:ascii="宋体" w:hAnsi="宋体" w:cs="宋体"/>
          <w:color w:val="000000" w:themeColor="text1"/>
          <w:kern w:val="0"/>
          <w:sz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503A812">
      <w:pPr>
        <w:widowControl/>
        <w:spacing w:before="100" w:beforeAutospacing="1" w:after="100" w:afterAutospacing="1"/>
        <w:ind w:left="380" w:firstLine="150"/>
        <w:rPr>
          <w:rFonts w:hint="eastAsia" w:ascii="宋体" w:hAnsi="宋体" w:cs="宋体"/>
          <w:color w:val="000000" w:themeColor="text1"/>
          <w:kern w:val="0"/>
          <w:sz w:val="24"/>
        </w:rPr>
      </w:pPr>
      <w:r>
        <w:rPr>
          <w:rFonts w:hint="eastAsia" w:ascii="宋体" w:hAnsi="宋体" w:cs="宋体"/>
          <w:color w:val="000000" w:themeColor="text1"/>
          <w:kern w:val="0"/>
          <w:sz w:val="24"/>
        </w:rPr>
        <w:t>4．质量保修完成后，由发包人组织验收。</w:t>
      </w:r>
    </w:p>
    <w:p w14:paraId="38539893">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　　五、保修费用</w:t>
      </w:r>
    </w:p>
    <w:p w14:paraId="7A1117AA">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　　保修费用由造成质量缺陷的责任方承担。</w:t>
      </w:r>
    </w:p>
    <w:p w14:paraId="7CC5D3E8">
      <w:pPr>
        <w:widowControl/>
        <w:numPr>
          <w:ilvl w:val="0"/>
          <w:numId w:val="1"/>
        </w:numPr>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双方约定的其他工程质量保修事项：</w:t>
      </w:r>
    </w:p>
    <w:p w14:paraId="4C5F74ED">
      <w:pPr>
        <w:widowControl/>
        <w:spacing w:before="100" w:beforeAutospacing="1" w:after="100" w:afterAutospacing="1"/>
        <w:ind w:firstLine="600"/>
        <w:rPr>
          <w:rFonts w:hint="eastAsia" w:ascii="宋体" w:hAnsi="宋体" w:cs="宋体"/>
          <w:color w:val="000000" w:themeColor="text1"/>
          <w:kern w:val="0"/>
          <w:sz w:val="24"/>
        </w:rPr>
      </w:pPr>
      <w:r>
        <w:rPr>
          <w:rFonts w:hint="eastAsia" w:ascii="宋体" w:hAnsi="宋体" w:cs="宋体"/>
          <w:color w:val="000000" w:themeColor="text1"/>
          <w:kern w:val="0"/>
          <w:sz w:val="24"/>
          <w:u w:val="single"/>
        </w:rPr>
        <w:t>1．缺陷责任期终止后，若在质量保修期内出现属本保修书约定范围的保修事项，承包人仍需按本保修书要求及时修理，并承担应由承包人负责的费用；承包人拒绝履行保修义务的，发包人可通过法律途径追究其责任。</w:t>
      </w:r>
    </w:p>
    <w:p w14:paraId="05157581">
      <w:pPr>
        <w:widowControl/>
        <w:spacing w:before="100" w:beforeAutospacing="1" w:after="100" w:afterAutospacing="1"/>
        <w:ind w:firstLine="480"/>
        <w:rPr>
          <w:rFonts w:hint="eastAsia" w:ascii="宋体" w:hAnsi="宋体" w:cs="宋体"/>
          <w:color w:val="000000" w:themeColor="text1"/>
          <w:kern w:val="0"/>
          <w:sz w:val="24"/>
        </w:rPr>
      </w:pPr>
      <w:r>
        <w:rPr>
          <w:rFonts w:hint="eastAsia" w:ascii="宋体" w:hAnsi="宋体" w:cs="宋体"/>
          <w:color w:val="000000" w:themeColor="text1"/>
          <w:kern w:val="0"/>
          <w:sz w:val="24"/>
          <w:u w:val="single"/>
        </w:rPr>
        <w:t>2．本保修书未明确的事项，按《建设工程质量管理条例》及国家现行相关规范执行。</w:t>
      </w:r>
    </w:p>
    <w:p w14:paraId="23497B54">
      <w:pPr>
        <w:widowControl/>
        <w:spacing w:before="100" w:beforeAutospacing="1" w:after="100" w:afterAutospacing="1"/>
        <w:ind w:firstLine="570"/>
        <w:rPr>
          <w:rFonts w:hint="eastAsia" w:ascii="宋体" w:hAnsi="宋体"/>
          <w:color w:val="000000" w:themeColor="text1"/>
          <w:sz w:val="24"/>
        </w:rPr>
      </w:pPr>
      <w:r>
        <w:rPr>
          <w:rFonts w:hint="eastAsia" w:ascii="宋体" w:hAnsi="宋体" w:cs="宋体"/>
          <w:color w:val="000000" w:themeColor="text1"/>
          <w:kern w:val="0"/>
          <w:sz w:val="24"/>
        </w:rPr>
        <w:t>工程质量保修书由发包人、承包人在工程竣工验收前共同签署，作为施工合同附件，其有效期限至保修期满。</w:t>
      </w:r>
    </w:p>
    <w:p w14:paraId="550D1876">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发包人(公章)：</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承包人(公章)：</w:t>
      </w:r>
      <w:r>
        <w:rPr>
          <w:rFonts w:hint="eastAsia" w:ascii="宋体" w:hAnsi="宋体" w:cs="宋体"/>
          <w:color w:val="000000" w:themeColor="text1"/>
          <w:kern w:val="0"/>
          <w:sz w:val="24"/>
          <w:u w:val="single"/>
        </w:rPr>
        <w:t xml:space="preserve">                   </w:t>
      </w:r>
    </w:p>
    <w:p w14:paraId="727043A0">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地  址：</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地  址：</w:t>
      </w:r>
      <w:r>
        <w:rPr>
          <w:rFonts w:hint="eastAsia" w:ascii="宋体" w:hAnsi="宋体" w:cs="宋体"/>
          <w:color w:val="000000" w:themeColor="text1"/>
          <w:kern w:val="0"/>
          <w:sz w:val="24"/>
          <w:u w:val="single"/>
        </w:rPr>
        <w:t xml:space="preserve">                      </w:t>
      </w:r>
    </w:p>
    <w:p w14:paraId="57DF4C62">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法定代表人(签字)：</w:t>
      </w:r>
      <w:r>
        <w:rPr>
          <w:rFonts w:hint="eastAsia" w:ascii="宋体" w:hAnsi="宋体" w:cs="宋体"/>
          <w:color w:val="000000" w:themeColor="text1"/>
          <w:kern w:val="0"/>
          <w:sz w:val="24"/>
          <w:u w:val="single"/>
        </w:rPr>
        <w:t>          </w:t>
      </w:r>
      <w:r>
        <w:rPr>
          <w:rFonts w:hint="eastAsia" w:ascii="宋体" w:hAnsi="宋体" w:cs="宋体"/>
          <w:color w:val="000000" w:themeColor="text1"/>
          <w:kern w:val="0"/>
          <w:sz w:val="24"/>
        </w:rPr>
        <w:t>法定代表人(签字)：</w:t>
      </w:r>
      <w:r>
        <w:rPr>
          <w:rFonts w:hint="eastAsia" w:ascii="宋体" w:hAnsi="宋体" w:cs="宋体"/>
          <w:color w:val="000000" w:themeColor="text1"/>
          <w:kern w:val="0"/>
          <w:sz w:val="24"/>
          <w:u w:val="single"/>
        </w:rPr>
        <w:t>           </w:t>
      </w:r>
    </w:p>
    <w:p w14:paraId="2C821DCD">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委托代理人(签字)：</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委托代理人(签字)：</w:t>
      </w:r>
      <w:r>
        <w:rPr>
          <w:rFonts w:hint="eastAsia" w:ascii="宋体" w:hAnsi="宋体" w:cs="宋体"/>
          <w:color w:val="000000" w:themeColor="text1"/>
          <w:kern w:val="0"/>
          <w:sz w:val="24"/>
          <w:u w:val="single"/>
        </w:rPr>
        <w:t xml:space="preserve">               </w:t>
      </w:r>
    </w:p>
    <w:p w14:paraId="16BDFEEB">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电  话：</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电  话：</w:t>
      </w:r>
      <w:r>
        <w:rPr>
          <w:rFonts w:hint="eastAsia" w:ascii="宋体" w:hAnsi="宋体" w:cs="宋体"/>
          <w:color w:val="000000" w:themeColor="text1"/>
          <w:kern w:val="0"/>
          <w:sz w:val="24"/>
          <w:u w:val="single"/>
        </w:rPr>
        <w:t xml:space="preserve">                        </w:t>
      </w:r>
    </w:p>
    <w:p w14:paraId="11E92EC1">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传  真：</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传  真：</w:t>
      </w:r>
      <w:r>
        <w:rPr>
          <w:rFonts w:hint="eastAsia" w:ascii="宋体" w:hAnsi="宋体" w:cs="宋体"/>
          <w:color w:val="000000" w:themeColor="text1"/>
          <w:kern w:val="0"/>
          <w:sz w:val="24"/>
          <w:u w:val="single"/>
        </w:rPr>
        <w:t xml:space="preserve">                        </w:t>
      </w:r>
    </w:p>
    <w:p w14:paraId="39B34A20">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开户银行：</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开户银行：</w:t>
      </w:r>
      <w:r>
        <w:rPr>
          <w:rFonts w:hint="eastAsia" w:ascii="宋体" w:hAnsi="宋体" w:cs="宋体"/>
          <w:color w:val="000000" w:themeColor="text1"/>
          <w:kern w:val="0"/>
          <w:sz w:val="24"/>
          <w:u w:val="single"/>
        </w:rPr>
        <w:t xml:space="preserve">                       </w:t>
      </w:r>
    </w:p>
    <w:p w14:paraId="2E2F8751">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账  号：</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账 号：</w:t>
      </w:r>
      <w:r>
        <w:rPr>
          <w:rFonts w:hint="eastAsia" w:ascii="宋体" w:hAnsi="宋体" w:cs="宋体"/>
          <w:color w:val="000000" w:themeColor="text1"/>
          <w:kern w:val="0"/>
          <w:sz w:val="24"/>
          <w:u w:val="single"/>
        </w:rPr>
        <w:t xml:space="preserve">                          </w:t>
      </w:r>
    </w:p>
    <w:p w14:paraId="7066F229">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邮政编码：</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邮政编码：</w:t>
      </w:r>
      <w:r>
        <w:rPr>
          <w:rFonts w:hint="eastAsia" w:ascii="宋体" w:hAnsi="宋体" w:cs="宋体"/>
          <w:color w:val="000000" w:themeColor="text1"/>
          <w:kern w:val="0"/>
          <w:sz w:val="24"/>
          <w:u w:val="single"/>
        </w:rPr>
        <w:t xml:space="preserve">                       </w:t>
      </w:r>
    </w:p>
    <w:p w14:paraId="3864F087">
      <w:pPr>
        <w:spacing w:before="156" w:beforeLines="50" w:after="156" w:afterLines="50" w:line="440" w:lineRule="exact"/>
        <w:rPr>
          <w:rFonts w:hint="eastAsia" w:ascii="宋体" w:hAnsi="宋体"/>
          <w:color w:val="000000" w:themeColor="text1"/>
          <w:sz w:val="24"/>
        </w:rPr>
      </w:pPr>
      <w:r>
        <w:rPr>
          <w:rFonts w:hint="eastAsia" w:ascii="宋体" w:hAnsi="宋体"/>
          <w:color w:val="000000" w:themeColor="text1"/>
          <w:sz w:val="24"/>
        </w:rPr>
        <w:t>附件4：安全生产合同</w:t>
      </w:r>
    </w:p>
    <w:p w14:paraId="136C3899">
      <w:pPr>
        <w:jc w:val="center"/>
        <w:rPr>
          <w:rFonts w:hint="eastAsia" w:ascii="宋体" w:hAnsi="宋体"/>
          <w:b/>
          <w:bCs/>
          <w:snapToGrid w:val="0"/>
          <w:color w:val="000000" w:themeColor="text1"/>
          <w:kern w:val="0"/>
          <w:sz w:val="30"/>
          <w:szCs w:val="30"/>
        </w:rPr>
      </w:pPr>
      <w:r>
        <w:rPr>
          <w:rFonts w:hint="eastAsia" w:ascii="宋体" w:hAnsi="宋体"/>
          <w:b/>
          <w:bCs/>
          <w:snapToGrid w:val="0"/>
          <w:color w:val="000000" w:themeColor="text1"/>
          <w:kern w:val="0"/>
          <w:sz w:val="30"/>
          <w:szCs w:val="30"/>
        </w:rPr>
        <w:t>安全生产合同</w:t>
      </w:r>
    </w:p>
    <w:p w14:paraId="39C3F8FC">
      <w:pPr>
        <w:rPr>
          <w:rFonts w:hint="eastAsia" w:ascii="宋体" w:hAnsi="宋体"/>
          <w:b/>
          <w:bCs/>
          <w:snapToGrid w:val="0"/>
          <w:color w:val="000000" w:themeColor="text1"/>
          <w:kern w:val="0"/>
          <w:sz w:val="24"/>
        </w:rPr>
      </w:pPr>
    </w:p>
    <w:p w14:paraId="2E33A640">
      <w:pPr>
        <w:spacing w:line="360" w:lineRule="auto"/>
        <w:rPr>
          <w:rFonts w:hint="eastAsia" w:ascii="宋体" w:hAnsi="宋体" w:cs="宋体"/>
          <w:b/>
          <w:snapToGrid w:val="0"/>
          <w:color w:val="000000" w:themeColor="text1"/>
          <w:kern w:val="0"/>
          <w:sz w:val="24"/>
          <w:lang w:val="zh-CN"/>
        </w:rPr>
      </w:pPr>
      <w:r>
        <w:rPr>
          <w:rFonts w:hint="eastAsia" w:ascii="宋体" w:hAnsi="宋体" w:cs="宋体"/>
          <w:b/>
          <w:snapToGrid w:val="0"/>
          <w:color w:val="000000" w:themeColor="text1"/>
          <w:kern w:val="0"/>
          <w:sz w:val="24"/>
          <w:lang w:val="zh-CN"/>
        </w:rPr>
        <w:t>发包人：广东省人民体育场</w:t>
      </w:r>
    </w:p>
    <w:p w14:paraId="0E7DC2C4">
      <w:pPr>
        <w:spacing w:line="360" w:lineRule="auto"/>
        <w:rPr>
          <w:rFonts w:hint="eastAsia" w:ascii="宋体" w:hAnsi="宋体" w:cs="宋体"/>
          <w:b/>
          <w:snapToGrid w:val="0"/>
          <w:color w:val="000000" w:themeColor="text1"/>
          <w:kern w:val="0"/>
          <w:sz w:val="24"/>
          <w:lang w:val="zh-CN"/>
        </w:rPr>
      </w:pPr>
      <w:r>
        <w:rPr>
          <w:rFonts w:hint="eastAsia" w:ascii="宋体" w:hAnsi="宋体" w:cs="宋体"/>
          <w:b/>
          <w:snapToGrid w:val="0"/>
          <w:color w:val="000000" w:themeColor="text1"/>
          <w:kern w:val="0"/>
          <w:sz w:val="24"/>
          <w:lang w:val="zh-CN"/>
        </w:rPr>
        <w:t>承包人：</w:t>
      </w:r>
    </w:p>
    <w:p w14:paraId="09A580B2">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为确保实施过程中的安全，发包人</w:t>
      </w:r>
      <w:r>
        <w:rPr>
          <w:rFonts w:hint="eastAsia" w:ascii="宋体" w:hAnsi="宋体" w:cs="宋体"/>
          <w:b/>
          <w:snapToGrid w:val="0"/>
          <w:color w:val="000000" w:themeColor="text1"/>
          <w:kern w:val="0"/>
          <w:sz w:val="24"/>
          <w:lang w:val="zh-CN"/>
        </w:rPr>
        <w:t>广东省人民体育场</w:t>
      </w:r>
      <w:r>
        <w:rPr>
          <w:rFonts w:hint="eastAsia" w:ascii="宋体" w:hAnsi="宋体" w:cs="宋体"/>
          <w:snapToGrid w:val="0"/>
          <w:color w:val="000000" w:themeColor="text1"/>
          <w:kern w:val="0"/>
          <w:sz w:val="24"/>
          <w:lang w:val="zh-CN"/>
        </w:rPr>
        <w:t>（以下</w:t>
      </w:r>
      <w:r>
        <w:rPr>
          <w:rFonts w:hint="eastAsia" w:ascii="宋体" w:hAnsi="宋体" w:cs="宋体"/>
          <w:snapToGrid w:val="0"/>
          <w:color w:val="000000" w:themeColor="text1"/>
          <w:kern w:val="0"/>
          <w:sz w:val="24"/>
        </w:rPr>
        <w:t>简</w:t>
      </w:r>
      <w:r>
        <w:rPr>
          <w:rFonts w:hint="eastAsia" w:ascii="宋体" w:hAnsi="宋体" w:cs="宋体"/>
          <w:snapToGrid w:val="0"/>
          <w:color w:val="000000" w:themeColor="text1"/>
          <w:kern w:val="0"/>
          <w:sz w:val="24"/>
          <w:lang w:val="zh-CN"/>
        </w:rPr>
        <w:t>称发包人）与承包人（以下</w:t>
      </w:r>
      <w:r>
        <w:rPr>
          <w:rFonts w:hint="eastAsia" w:ascii="宋体" w:hAnsi="宋体" w:cs="宋体"/>
          <w:snapToGrid w:val="0"/>
          <w:color w:val="000000" w:themeColor="text1"/>
          <w:kern w:val="0"/>
          <w:sz w:val="24"/>
        </w:rPr>
        <w:t>简</w:t>
      </w:r>
      <w:r>
        <w:rPr>
          <w:rFonts w:hint="eastAsia" w:ascii="宋体" w:hAnsi="宋体" w:cs="宋体"/>
          <w:snapToGrid w:val="0"/>
          <w:color w:val="000000" w:themeColor="text1"/>
          <w:kern w:val="0"/>
          <w:sz w:val="24"/>
          <w:lang w:val="zh-CN"/>
        </w:rPr>
        <w:t>称承包人），特签订本安全生产合同，明确双方职责。</w:t>
      </w:r>
    </w:p>
    <w:p w14:paraId="2D46D594">
      <w:pPr>
        <w:spacing w:line="360" w:lineRule="auto"/>
        <w:ind w:firstLine="569" w:firstLineChars="236"/>
        <w:rPr>
          <w:rFonts w:hint="eastAsia" w:ascii="宋体" w:hAnsi="宋体" w:cs="宋体"/>
          <w:b/>
          <w:snapToGrid w:val="0"/>
          <w:color w:val="000000" w:themeColor="text1"/>
          <w:kern w:val="0"/>
          <w:sz w:val="24"/>
          <w:lang w:val="zh-CN"/>
        </w:rPr>
      </w:pPr>
      <w:r>
        <w:rPr>
          <w:rFonts w:hint="eastAsia" w:ascii="宋体" w:hAnsi="宋体" w:cs="宋体"/>
          <w:b/>
          <w:snapToGrid w:val="0"/>
          <w:color w:val="000000" w:themeColor="text1"/>
          <w:kern w:val="0"/>
          <w:sz w:val="24"/>
          <w:lang w:val="zh-CN"/>
        </w:rPr>
        <w:t>一、发包人职责</w:t>
      </w:r>
    </w:p>
    <w:p w14:paraId="117C48FD">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（一）认真履行《建设工程安全生产管理条例》规定的安全责任及执行工程承包合同中的有关安全条款。</w:t>
      </w:r>
    </w:p>
    <w:p w14:paraId="6808CA8E">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（二）重要的安全设施必须坚持与主体工程“三同时”的原则，即：同时设计、审批；同时施工；同时验收，投入使用。</w:t>
      </w:r>
    </w:p>
    <w:p w14:paraId="344F8FB7">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（三）定期召开安全生产会议，指出施工现场存在的安全隐患，及时传达上级关于安全文明施工的要求。</w:t>
      </w:r>
    </w:p>
    <w:p w14:paraId="6B49290F">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（四）组织对承包人施工现场安全生产检查，监督承包人及时排除各种安全隐患。</w:t>
      </w:r>
    </w:p>
    <w:p w14:paraId="70B90C86">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（五）协助与促进承包人创建“</w:t>
      </w:r>
      <w:r>
        <w:rPr>
          <w:rFonts w:hint="eastAsia" w:ascii="宋体" w:hAnsi="宋体" w:cs="宋体"/>
          <w:snapToGrid w:val="0"/>
          <w:color w:val="000000" w:themeColor="text1"/>
          <w:kern w:val="0"/>
          <w:sz w:val="24"/>
          <w:lang w:val="en-US" w:eastAsia="zh-CN"/>
        </w:rPr>
        <w:t>广州</w:t>
      </w:r>
      <w:r>
        <w:rPr>
          <w:rFonts w:hint="eastAsia" w:ascii="宋体" w:hAnsi="宋体" w:cs="宋体"/>
          <w:snapToGrid w:val="0"/>
          <w:color w:val="000000" w:themeColor="text1"/>
          <w:kern w:val="0"/>
          <w:sz w:val="24"/>
          <w:lang w:val="zh-CN"/>
        </w:rPr>
        <w:t>市安全文明施工样板工地”。</w:t>
      </w:r>
    </w:p>
    <w:p w14:paraId="06225610">
      <w:pPr>
        <w:spacing w:line="360" w:lineRule="auto"/>
        <w:ind w:firstLine="569" w:firstLineChars="236"/>
        <w:rPr>
          <w:rFonts w:hint="eastAsia" w:ascii="宋体" w:hAnsi="宋体" w:cs="宋体"/>
          <w:b/>
          <w:snapToGrid w:val="0"/>
          <w:color w:val="000000" w:themeColor="text1"/>
          <w:kern w:val="0"/>
          <w:sz w:val="24"/>
          <w:lang w:val="zh-CN"/>
        </w:rPr>
      </w:pPr>
      <w:r>
        <w:rPr>
          <w:rFonts w:hint="eastAsia" w:ascii="宋体" w:hAnsi="宋体" w:cs="宋体"/>
          <w:b/>
          <w:snapToGrid w:val="0"/>
          <w:color w:val="000000" w:themeColor="text1"/>
          <w:kern w:val="0"/>
          <w:sz w:val="24"/>
          <w:lang w:val="zh-CN"/>
        </w:rPr>
        <w:t>二、承包人职责</w:t>
      </w:r>
    </w:p>
    <w:p w14:paraId="6E4C4E25">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（一）认真履行《建设工程安全生产管理条例》规定的安全责任及执行工程承包合同中的有关安全条款。</w:t>
      </w:r>
    </w:p>
    <w:p w14:paraId="005ED356">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（二）坚持</w:t>
      </w:r>
      <w:r>
        <w:rPr>
          <w:rFonts w:hint="eastAsia" w:ascii="宋体" w:hAnsi="宋体"/>
          <w:snapToGrid w:val="0"/>
          <w:color w:val="000000" w:themeColor="text1"/>
          <w:kern w:val="0"/>
          <w:sz w:val="24"/>
        </w:rPr>
        <w:t>“</w:t>
      </w:r>
      <w:r>
        <w:rPr>
          <w:rFonts w:hint="eastAsia" w:ascii="宋体" w:hAnsi="宋体" w:cs="宋体"/>
          <w:snapToGrid w:val="0"/>
          <w:color w:val="000000" w:themeColor="text1"/>
          <w:kern w:val="0"/>
          <w:sz w:val="24"/>
          <w:lang w:val="zh-CN"/>
        </w:rPr>
        <w:t>安全</w:t>
      </w:r>
      <w:r>
        <w:rPr>
          <w:rFonts w:hint="eastAsia" w:ascii="宋体" w:hAnsi="宋体"/>
          <w:snapToGrid w:val="0"/>
          <w:color w:val="000000" w:themeColor="text1"/>
          <w:kern w:val="0"/>
          <w:sz w:val="24"/>
        </w:rPr>
        <w:t>第一</w:t>
      </w:r>
      <w:r>
        <w:rPr>
          <w:rFonts w:hint="eastAsia" w:ascii="宋体" w:hAnsi="宋体" w:cs="宋体"/>
          <w:snapToGrid w:val="0"/>
          <w:color w:val="000000" w:themeColor="text1"/>
          <w:kern w:val="0"/>
          <w:sz w:val="24"/>
          <w:lang w:val="zh-CN"/>
        </w:rPr>
        <w:t>、预防为主</w:t>
      </w:r>
      <w:r>
        <w:rPr>
          <w:rFonts w:hint="eastAsia" w:ascii="宋体" w:hAnsi="宋体"/>
          <w:snapToGrid w:val="0"/>
          <w:color w:val="000000" w:themeColor="text1"/>
          <w:kern w:val="0"/>
          <w:sz w:val="24"/>
        </w:rPr>
        <w:t>”</w:t>
      </w:r>
      <w:r>
        <w:rPr>
          <w:rFonts w:hint="eastAsia" w:ascii="宋体" w:hAnsi="宋体" w:cs="宋体"/>
          <w:snapToGrid w:val="0"/>
          <w:color w:val="000000" w:themeColor="text1"/>
          <w:kern w:val="0"/>
          <w:sz w:val="24"/>
          <w:lang w:val="zh-CN"/>
        </w:rPr>
        <w:t>和</w:t>
      </w:r>
      <w:r>
        <w:rPr>
          <w:rFonts w:hint="eastAsia" w:ascii="宋体" w:hAnsi="宋体"/>
          <w:snapToGrid w:val="0"/>
          <w:color w:val="000000" w:themeColor="text1"/>
          <w:kern w:val="0"/>
          <w:sz w:val="24"/>
        </w:rPr>
        <w:t>“</w:t>
      </w:r>
      <w:r>
        <w:rPr>
          <w:rFonts w:hint="eastAsia" w:ascii="宋体" w:hAnsi="宋体" w:cs="宋体"/>
          <w:snapToGrid w:val="0"/>
          <w:color w:val="000000" w:themeColor="text1"/>
          <w:kern w:val="0"/>
          <w:sz w:val="24"/>
          <w:lang w:val="zh-CN"/>
        </w:rPr>
        <w:t>管生产必须管安全</w:t>
      </w:r>
      <w:r>
        <w:rPr>
          <w:rFonts w:hint="eastAsia" w:ascii="宋体" w:hAnsi="宋体"/>
          <w:snapToGrid w:val="0"/>
          <w:color w:val="000000" w:themeColor="text1"/>
          <w:kern w:val="0"/>
          <w:sz w:val="24"/>
        </w:rPr>
        <w:t>”</w:t>
      </w:r>
      <w:r>
        <w:rPr>
          <w:rFonts w:hint="eastAsia" w:ascii="宋体" w:hAnsi="宋体" w:cs="宋体"/>
          <w:snapToGrid w:val="0"/>
          <w:color w:val="000000" w:themeColor="text1"/>
          <w:kern w:val="0"/>
          <w:sz w:val="24"/>
          <w:lang w:val="zh-CN"/>
        </w:rPr>
        <w:t>的原则，加强安全生产宣传教育，增强全员安全生产意识，建立健全各项安全生产管理制度，配备专职安全管理人员，有组织有领导地开展安全生产活动。项目经理、工程技术人员、生产管理人员和具体操作人员，必须熟悉和遵守安全生产的各项规定，做到生产与安全工作同时计划、布置、检查、总结和评比。</w:t>
      </w:r>
    </w:p>
    <w:p w14:paraId="50DE4150">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（三）建立</w:t>
      </w:r>
      <w:r>
        <w:rPr>
          <w:rFonts w:hint="eastAsia" w:ascii="宋体" w:hAnsi="宋体"/>
          <w:snapToGrid w:val="0"/>
          <w:color w:val="000000" w:themeColor="text1"/>
          <w:kern w:val="0"/>
          <w:sz w:val="24"/>
        </w:rPr>
        <w:t>安全生产</w:t>
      </w:r>
      <w:r>
        <w:rPr>
          <w:rFonts w:hint="eastAsia" w:ascii="宋体" w:hAnsi="宋体" w:cs="宋体"/>
          <w:snapToGrid w:val="0"/>
          <w:color w:val="000000" w:themeColor="text1"/>
          <w:kern w:val="0"/>
          <w:sz w:val="24"/>
          <w:lang w:val="zh-CN"/>
        </w:rPr>
        <w:t>保证体系，健全安全生产责任制，从派驻项目的项目经理到生产工人（包括临时雇请的施工人员）及各职能部门都必须有明确的安全责任，项目经理是安全生产的第一责任人。现场设置安全管理机构：应按规定配备足够的专职安全员，专职负责所有的安全和治安保卫工作及预防事故的发生。安全机构人员，有权按有关规定发布指令，并采取保护性措施防止事故发生。</w:t>
      </w:r>
    </w:p>
    <w:p w14:paraId="797C874E">
      <w:pPr>
        <w:spacing w:line="360" w:lineRule="auto"/>
        <w:ind w:firstLine="566" w:firstLineChars="236"/>
        <w:rPr>
          <w:rFonts w:hint="eastAsia" w:ascii="宋体" w:hAnsi="宋体"/>
          <w:snapToGrid w:val="0"/>
          <w:color w:val="000000" w:themeColor="text1"/>
          <w:kern w:val="0"/>
          <w:sz w:val="24"/>
        </w:rPr>
      </w:pPr>
      <w:r>
        <w:rPr>
          <w:rFonts w:hint="eastAsia" w:ascii="宋体" w:hAnsi="宋体" w:cs="宋体"/>
          <w:snapToGrid w:val="0"/>
          <w:color w:val="000000" w:themeColor="text1"/>
          <w:kern w:val="0"/>
          <w:sz w:val="24"/>
          <w:lang w:val="zh-CN"/>
        </w:rPr>
        <w:t>（四）</w:t>
      </w:r>
      <w:r>
        <w:rPr>
          <w:rFonts w:hint="eastAsia" w:ascii="宋体" w:hAnsi="宋体"/>
          <w:snapToGrid w:val="0"/>
          <w:color w:val="000000" w:themeColor="text1"/>
          <w:kern w:val="0"/>
          <w:sz w:val="24"/>
        </w:rPr>
        <w:t>有责任采取各种合理的预防措施，防止其员工发生各种违法、违禁、暴力或妨碍治安的行为。</w:t>
      </w:r>
    </w:p>
    <w:p w14:paraId="395FC37B">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snapToGrid w:val="0"/>
          <w:color w:val="000000" w:themeColor="text1"/>
          <w:kern w:val="0"/>
          <w:sz w:val="24"/>
        </w:rPr>
        <w:t>（五）参加施工的人员，必须接受安全技术教育，熟知和遵守所在岗位（工种）的各项安全技术操作规程，定期进行安全技术考核，取得平安卡后方准上岗操作。对于从事电气、</w:t>
      </w:r>
      <w:r>
        <w:rPr>
          <w:rFonts w:hint="eastAsia" w:ascii="宋体" w:hAnsi="宋体" w:cs="宋体"/>
          <w:snapToGrid w:val="0"/>
          <w:color w:val="000000" w:themeColor="text1"/>
          <w:kern w:val="0"/>
          <w:sz w:val="24"/>
          <w:lang w:val="zh-CN"/>
        </w:rPr>
        <w:t>起重、登高作业、焊接等特殊工种的人员，须经过专业培训，获得《安全操作合格证》后，方准上岗。施工现场如出现特种行业无证上岗时，项目经理必须承担责任。</w:t>
      </w:r>
    </w:p>
    <w:p w14:paraId="29DB212C">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（六）对于</w:t>
      </w:r>
      <w:r>
        <w:rPr>
          <w:rFonts w:hint="eastAsia" w:ascii="宋体" w:hAnsi="宋体"/>
          <w:snapToGrid w:val="0"/>
          <w:color w:val="000000" w:themeColor="text1"/>
          <w:kern w:val="0"/>
          <w:sz w:val="24"/>
        </w:rPr>
        <w:t>易燃易爆</w:t>
      </w:r>
      <w:r>
        <w:rPr>
          <w:rFonts w:hint="eastAsia" w:ascii="宋体" w:hAnsi="宋体" w:cs="宋体"/>
          <w:snapToGrid w:val="0"/>
          <w:color w:val="000000" w:themeColor="text1"/>
          <w:kern w:val="0"/>
          <w:sz w:val="24"/>
          <w:lang w:val="zh-CN"/>
        </w:rPr>
        <w:t>的材料除应专门妥善保管之外，还应配备足够的消防设施，所有施工人员都应熟悉消防设备的性能和使用方法；承包人不能将任何种类的爆炸物给予、易货或以其他方式转让给任何其他人，或允许、容忍上述同样行为。</w:t>
      </w:r>
    </w:p>
    <w:p w14:paraId="56946681">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（七）</w:t>
      </w:r>
      <w:r>
        <w:rPr>
          <w:rFonts w:hint="eastAsia" w:ascii="宋体" w:hAnsi="宋体"/>
          <w:snapToGrid w:val="0"/>
          <w:color w:val="000000" w:themeColor="text1"/>
          <w:kern w:val="0"/>
          <w:sz w:val="24"/>
        </w:rPr>
        <w:t>操作</w:t>
      </w:r>
      <w:r>
        <w:rPr>
          <w:rFonts w:hint="eastAsia" w:ascii="宋体" w:hAnsi="宋体" w:cs="宋体"/>
          <w:snapToGrid w:val="0"/>
          <w:color w:val="000000" w:themeColor="text1"/>
          <w:kern w:val="0"/>
          <w:sz w:val="24"/>
          <w:lang w:val="zh-CN"/>
        </w:rPr>
        <w:t>人员上岗，必须按规定佩</w:t>
      </w:r>
      <w:r>
        <w:rPr>
          <w:rFonts w:hint="eastAsia" w:ascii="宋体" w:hAnsi="宋体" w:cs="宋体"/>
          <w:snapToGrid w:val="0"/>
          <w:color w:val="000000" w:themeColor="text1"/>
          <w:kern w:val="0"/>
          <w:sz w:val="24"/>
        </w:rPr>
        <w:t>戴</w:t>
      </w:r>
      <w:r>
        <w:rPr>
          <w:rFonts w:hint="eastAsia" w:ascii="宋体" w:hAnsi="宋体" w:cs="宋体"/>
          <w:snapToGrid w:val="0"/>
          <w:color w:val="000000" w:themeColor="text1"/>
          <w:kern w:val="0"/>
          <w:sz w:val="24"/>
          <w:lang w:val="zh-CN"/>
        </w:rPr>
        <w:t>平安卡及穿戴安全帽等防护用品。项目经理和专职安全员应随时检查劳动防护用品的穿戴情况，不按规定穿戴防护用品的人员不得上岗。</w:t>
      </w:r>
    </w:p>
    <w:p w14:paraId="162D54AF">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（八）所有施工</w:t>
      </w:r>
      <w:r>
        <w:rPr>
          <w:rFonts w:hint="eastAsia" w:ascii="宋体" w:hAnsi="宋体"/>
          <w:snapToGrid w:val="0"/>
          <w:color w:val="000000" w:themeColor="text1"/>
          <w:kern w:val="0"/>
          <w:sz w:val="24"/>
        </w:rPr>
        <w:t>机具</w:t>
      </w:r>
      <w:r>
        <w:rPr>
          <w:rFonts w:hint="eastAsia" w:ascii="宋体" w:hAnsi="宋体" w:cs="宋体"/>
          <w:snapToGrid w:val="0"/>
          <w:color w:val="000000" w:themeColor="text1"/>
          <w:kern w:val="0"/>
          <w:sz w:val="24"/>
          <w:lang w:val="zh-CN"/>
        </w:rPr>
        <w:t>设备和高处作业的设备均应定期检查，并有安全员的签名记录，保证其经常处于完好状态，不合格的机具、设备和劳动保护用品严禁使用。</w:t>
      </w:r>
    </w:p>
    <w:p w14:paraId="64166DAD">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（九）施工中采用新技术、新工艺、新设备、新材料，必须制定相应的安全技术措施。施工现场必须按规定有针对性地悬挂安全标志牌。</w:t>
      </w:r>
    </w:p>
    <w:p w14:paraId="4B7A7737">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（十）承包人</w:t>
      </w:r>
      <w:r>
        <w:rPr>
          <w:rFonts w:hint="eastAsia" w:ascii="宋体" w:hAnsi="宋体"/>
          <w:snapToGrid w:val="0"/>
          <w:color w:val="000000" w:themeColor="text1"/>
          <w:kern w:val="0"/>
          <w:sz w:val="24"/>
        </w:rPr>
        <w:t>必须</w:t>
      </w:r>
      <w:r>
        <w:rPr>
          <w:rFonts w:hint="eastAsia" w:ascii="宋体" w:hAnsi="宋体" w:cs="宋体"/>
          <w:snapToGrid w:val="0"/>
          <w:color w:val="000000" w:themeColor="text1"/>
          <w:kern w:val="0"/>
          <w:sz w:val="24"/>
          <w:lang w:val="zh-CN"/>
        </w:rPr>
        <w:t>按照本工程项目特点，制定安全事故应急救援预案；如果发生安全事故，应按照《建设工程安全</w:t>
      </w:r>
      <w:r>
        <w:rPr>
          <w:rFonts w:hint="eastAsia" w:ascii="宋体" w:hAnsi="宋体" w:cs="宋体"/>
          <w:snapToGrid w:val="0"/>
          <w:color w:val="000000" w:themeColor="text1"/>
          <w:kern w:val="0"/>
          <w:sz w:val="24"/>
        </w:rPr>
        <w:t>生产</w:t>
      </w:r>
      <w:r>
        <w:rPr>
          <w:rFonts w:hint="eastAsia" w:ascii="宋体" w:hAnsi="宋体" w:cs="宋体"/>
          <w:snapToGrid w:val="0"/>
          <w:color w:val="000000" w:themeColor="text1"/>
          <w:kern w:val="0"/>
          <w:sz w:val="24"/>
          <w:lang w:val="zh-CN"/>
        </w:rPr>
        <w:t>管理条例》的有关规定上报有关部门，并按照</w:t>
      </w:r>
      <w:r>
        <w:rPr>
          <w:rFonts w:hint="eastAsia" w:ascii="宋体" w:hAnsi="宋体"/>
          <w:snapToGrid w:val="0"/>
          <w:color w:val="000000" w:themeColor="text1"/>
          <w:kern w:val="0"/>
          <w:sz w:val="24"/>
        </w:rPr>
        <w:t>“</w:t>
      </w:r>
      <w:r>
        <w:rPr>
          <w:rFonts w:hint="eastAsia" w:ascii="宋体" w:hAnsi="宋体" w:cs="宋体"/>
          <w:snapToGrid w:val="0"/>
          <w:color w:val="000000" w:themeColor="text1"/>
          <w:kern w:val="0"/>
          <w:sz w:val="24"/>
          <w:lang w:val="zh-CN"/>
        </w:rPr>
        <w:t>四不放过</w:t>
      </w:r>
      <w:r>
        <w:rPr>
          <w:rFonts w:hint="eastAsia" w:ascii="宋体" w:hAnsi="宋体"/>
          <w:snapToGrid w:val="0"/>
          <w:color w:val="000000" w:themeColor="text1"/>
          <w:kern w:val="0"/>
          <w:sz w:val="24"/>
        </w:rPr>
        <w:t>”</w:t>
      </w:r>
      <w:r>
        <w:rPr>
          <w:rFonts w:hint="eastAsia" w:ascii="宋体" w:hAnsi="宋体" w:cs="宋体"/>
          <w:snapToGrid w:val="0"/>
          <w:color w:val="000000" w:themeColor="text1"/>
          <w:kern w:val="0"/>
          <w:sz w:val="24"/>
          <w:lang w:val="zh-CN"/>
        </w:rPr>
        <w:t>的原则调查处理。</w:t>
      </w:r>
    </w:p>
    <w:p w14:paraId="343C4C01">
      <w:pPr>
        <w:spacing w:line="360" w:lineRule="auto"/>
        <w:ind w:firstLine="569" w:firstLineChars="236"/>
        <w:rPr>
          <w:rFonts w:hint="eastAsia" w:ascii="宋体" w:hAnsi="宋体" w:cs="宋体"/>
          <w:b/>
          <w:snapToGrid w:val="0"/>
          <w:color w:val="000000" w:themeColor="text1"/>
          <w:kern w:val="0"/>
          <w:sz w:val="24"/>
          <w:lang w:val="zh-CN"/>
        </w:rPr>
      </w:pPr>
      <w:r>
        <w:rPr>
          <w:rFonts w:hint="eastAsia" w:ascii="宋体" w:hAnsi="宋体" w:cs="宋体"/>
          <w:b/>
          <w:snapToGrid w:val="0"/>
          <w:color w:val="000000" w:themeColor="text1"/>
          <w:kern w:val="0"/>
          <w:sz w:val="24"/>
          <w:lang w:val="zh-CN"/>
        </w:rPr>
        <w:t>三、违约责任</w:t>
      </w:r>
    </w:p>
    <w:p w14:paraId="083C7FBC">
      <w:pPr>
        <w:spacing w:line="360" w:lineRule="auto"/>
        <w:ind w:firstLine="566" w:firstLineChars="236"/>
        <w:rPr>
          <w:rFonts w:hint="eastAsia" w:ascii="宋体" w:hAnsi="宋体" w:cs="宋体"/>
          <w:snapToGrid w:val="0"/>
          <w:color w:val="000000" w:themeColor="text1"/>
          <w:kern w:val="0"/>
          <w:sz w:val="24"/>
          <w:lang w:val="zh-CN"/>
        </w:rPr>
      </w:pPr>
      <w:r>
        <w:rPr>
          <w:rFonts w:hint="eastAsia" w:ascii="宋体" w:hAnsi="宋体" w:cs="宋体"/>
          <w:snapToGrid w:val="0"/>
          <w:color w:val="000000" w:themeColor="text1"/>
          <w:kern w:val="0"/>
          <w:sz w:val="24"/>
          <w:lang w:val="zh-CN"/>
        </w:rPr>
        <w:t>如因发包人或承包人失职违约，将依据《建设工程安全</w:t>
      </w:r>
      <w:r>
        <w:rPr>
          <w:rFonts w:hint="eastAsia" w:ascii="宋体" w:hAnsi="宋体" w:cs="宋体"/>
          <w:snapToGrid w:val="0"/>
          <w:color w:val="000000" w:themeColor="text1"/>
          <w:kern w:val="0"/>
          <w:sz w:val="24"/>
        </w:rPr>
        <w:t>生产</w:t>
      </w:r>
      <w:r>
        <w:rPr>
          <w:rFonts w:hint="eastAsia" w:ascii="宋体" w:hAnsi="宋体" w:cs="宋体"/>
          <w:snapToGrid w:val="0"/>
          <w:color w:val="000000" w:themeColor="text1"/>
          <w:kern w:val="0"/>
          <w:sz w:val="24"/>
          <w:lang w:val="zh-CN"/>
        </w:rPr>
        <w:t>管理条例》、合同及有关规定追究责任。</w:t>
      </w:r>
    </w:p>
    <w:p w14:paraId="13FCF9B6">
      <w:pPr>
        <w:spacing w:line="360" w:lineRule="auto"/>
        <w:ind w:firstLine="566" w:firstLineChars="236"/>
        <w:rPr>
          <w:rFonts w:hint="eastAsia" w:ascii="宋体" w:hAnsi="宋体"/>
          <w:snapToGrid w:val="0"/>
          <w:color w:val="000000" w:themeColor="text1"/>
          <w:kern w:val="0"/>
          <w:sz w:val="24"/>
        </w:rPr>
      </w:pPr>
      <w:r>
        <w:rPr>
          <w:rFonts w:hint="eastAsia" w:ascii="宋体" w:hAnsi="宋体" w:cs="宋体"/>
          <w:snapToGrid w:val="0"/>
          <w:color w:val="000000" w:themeColor="text1"/>
          <w:kern w:val="0"/>
          <w:sz w:val="24"/>
          <w:lang w:val="zh-CN"/>
        </w:rPr>
        <w:t>本安全生产合同由双方</w:t>
      </w:r>
      <w:r>
        <w:rPr>
          <w:rFonts w:hint="eastAsia" w:ascii="宋体" w:hAnsi="宋体"/>
          <w:snapToGrid w:val="0"/>
          <w:color w:val="000000" w:themeColor="text1"/>
          <w:kern w:val="0"/>
          <w:sz w:val="24"/>
        </w:rPr>
        <w:t>法定代表人（或委托代理人）签字或加盖公章</w:t>
      </w:r>
      <w:r>
        <w:rPr>
          <w:rFonts w:hint="eastAsia" w:ascii="宋体" w:hAnsi="宋体" w:cs="宋体"/>
          <w:snapToGrid w:val="0"/>
          <w:color w:val="000000" w:themeColor="text1"/>
          <w:kern w:val="0"/>
          <w:sz w:val="24"/>
          <w:lang w:val="zh-CN"/>
        </w:rPr>
        <w:t>后生效。工程竣工验收后失效。</w:t>
      </w:r>
    </w:p>
    <w:p w14:paraId="6B04673F">
      <w:pPr>
        <w:spacing w:line="360" w:lineRule="auto"/>
        <w:rPr>
          <w:rFonts w:hint="eastAsia" w:ascii="宋体" w:hAnsi="宋体"/>
          <w:snapToGrid w:val="0"/>
          <w:color w:val="000000" w:themeColor="text1"/>
          <w:kern w:val="0"/>
          <w:sz w:val="24"/>
        </w:rPr>
      </w:pPr>
      <w:r>
        <w:rPr>
          <w:rFonts w:hint="eastAsia" w:ascii="宋体" w:hAnsi="宋体"/>
          <w:snapToGrid w:val="0"/>
          <w:color w:val="000000" w:themeColor="text1"/>
          <w:kern w:val="0"/>
          <w:sz w:val="24"/>
        </w:rPr>
        <w:t>（下无正文）</w:t>
      </w:r>
    </w:p>
    <w:p w14:paraId="22F9DB91">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发包人：</w:t>
      </w:r>
      <w:r>
        <w:rPr>
          <w:rFonts w:hint="eastAsia" w:ascii="宋体" w:hAnsi="宋体" w:cs="宋体"/>
          <w:b/>
          <w:bCs/>
          <w:color w:val="000000" w:themeColor="text1"/>
          <w:kern w:val="0"/>
          <w:sz w:val="24"/>
          <w:lang w:eastAsia="zh-CN"/>
        </w:rPr>
        <w:t>广东省人民体育场</w:t>
      </w:r>
      <w:r>
        <w:rPr>
          <w:rFonts w:hint="eastAsia" w:ascii="宋体" w:hAnsi="宋体" w:cs="宋体"/>
          <w:color w:val="000000" w:themeColor="text1"/>
          <w:kern w:val="0"/>
          <w:sz w:val="24"/>
        </w:rPr>
        <w:t>                承包人：</w:t>
      </w:r>
      <w:r>
        <w:rPr>
          <w:rFonts w:hint="eastAsia" w:ascii="宋体" w:hAnsi="宋体" w:cs="宋体"/>
          <w:b/>
          <w:bCs/>
          <w:color w:val="000000" w:themeColor="text1"/>
          <w:kern w:val="0"/>
          <w:sz w:val="24"/>
        </w:rPr>
        <w:t xml:space="preserve"> </w:t>
      </w:r>
    </w:p>
    <w:p w14:paraId="666910EE">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（盖章）                （盖章）</w:t>
      </w:r>
    </w:p>
    <w:p w14:paraId="67BB70B2">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法定代表人：              法定代表人：</w:t>
      </w:r>
    </w:p>
    <w:p w14:paraId="1CDF4EA2">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委托代理人：              委托代理人：</w:t>
      </w:r>
    </w:p>
    <w:p w14:paraId="3DD85AE5">
      <w:pPr>
        <w:widowControl/>
        <w:spacing w:before="100" w:beforeAutospacing="1" w:after="100" w:afterAutospacing="1"/>
        <w:rPr>
          <w:rFonts w:hint="eastAsia" w:ascii="宋体" w:hAnsi="宋体" w:cs="宋体"/>
          <w:color w:val="000000" w:themeColor="text1"/>
          <w:kern w:val="0"/>
          <w:sz w:val="24"/>
        </w:rPr>
      </w:pPr>
      <w:r>
        <w:rPr>
          <w:rFonts w:hint="eastAsia" w:ascii="宋体" w:hAnsi="宋体" w:cs="宋体"/>
          <w:color w:val="000000" w:themeColor="text1"/>
          <w:kern w:val="0"/>
          <w:sz w:val="24"/>
        </w:rPr>
        <w:t>2026  年   月   日          2026 年   月   日</w:t>
      </w:r>
    </w:p>
    <w:p w14:paraId="3023C5F4">
      <w:pPr>
        <w:spacing w:line="360" w:lineRule="auto"/>
        <w:rPr>
          <w:rFonts w:hint="eastAsia" w:ascii="宋体" w:hAnsi="宋体"/>
          <w:snapToGrid w:val="0"/>
          <w:color w:val="000000" w:themeColor="text1"/>
          <w:kern w:val="0"/>
          <w:sz w:val="24"/>
        </w:rPr>
      </w:pPr>
    </w:p>
    <w:p w14:paraId="676DF569">
      <w:pPr>
        <w:rPr>
          <w:rFonts w:hint="eastAsia" w:ascii="宋体" w:hAnsi="宋体"/>
          <w:color w:val="000000" w:themeColor="text1"/>
          <w:sz w:val="24"/>
        </w:rPr>
      </w:pPr>
      <w:r>
        <w:rPr>
          <w:rFonts w:eastAsia="仿宋_GB2312"/>
          <w:b/>
          <w:color w:val="000000" w:themeColor="text1"/>
          <w:sz w:val="30"/>
          <w:szCs w:val="30"/>
        </w:rPr>
        <w:br w:type="page"/>
      </w:r>
      <w:r>
        <w:rPr>
          <w:rFonts w:hint="eastAsia" w:ascii="宋体" w:hAnsi="宋体"/>
          <w:color w:val="000000" w:themeColor="text1"/>
          <w:sz w:val="24"/>
        </w:rPr>
        <w:t>附件5：承包人用于本工程施工的机械设备表</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1"/>
        <w:gridCol w:w="4260"/>
        <w:gridCol w:w="2841"/>
      </w:tblGrid>
      <w:tr w14:paraId="6D49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006C99D6">
            <w:pPr>
              <w:rPr>
                <w:rFonts w:hint="eastAsia" w:ascii="宋体" w:hAnsi="宋体"/>
                <w:color w:val="000000" w:themeColor="text1"/>
                <w:sz w:val="24"/>
              </w:rPr>
            </w:pPr>
            <w:r>
              <w:rPr>
                <w:rFonts w:hint="eastAsia" w:ascii="宋体" w:hAnsi="宋体"/>
                <w:color w:val="000000" w:themeColor="text1"/>
                <w:sz w:val="24"/>
              </w:rPr>
              <w:t>序号</w:t>
            </w:r>
          </w:p>
        </w:tc>
        <w:tc>
          <w:tcPr>
            <w:tcW w:w="4260" w:type="dxa"/>
          </w:tcPr>
          <w:p w14:paraId="61564E4D">
            <w:pPr>
              <w:rPr>
                <w:rFonts w:hint="eastAsia" w:ascii="宋体" w:hAnsi="宋体"/>
                <w:color w:val="000000" w:themeColor="text1"/>
                <w:sz w:val="24"/>
              </w:rPr>
            </w:pPr>
            <w:r>
              <w:rPr>
                <w:rFonts w:hint="eastAsia" w:ascii="宋体" w:hAnsi="宋体"/>
                <w:color w:val="000000" w:themeColor="text1"/>
                <w:sz w:val="24"/>
              </w:rPr>
              <w:t>名称</w:t>
            </w:r>
          </w:p>
        </w:tc>
        <w:tc>
          <w:tcPr>
            <w:tcW w:w="2841" w:type="dxa"/>
          </w:tcPr>
          <w:p w14:paraId="4706DC94">
            <w:pPr>
              <w:rPr>
                <w:rFonts w:hint="eastAsia" w:ascii="宋体" w:hAnsi="宋体"/>
                <w:color w:val="000000" w:themeColor="text1"/>
                <w:sz w:val="24"/>
              </w:rPr>
            </w:pPr>
            <w:r>
              <w:rPr>
                <w:rFonts w:hint="eastAsia" w:ascii="宋体" w:hAnsi="宋体"/>
                <w:color w:val="000000" w:themeColor="text1"/>
                <w:sz w:val="24"/>
              </w:rPr>
              <w:t>数量</w:t>
            </w:r>
          </w:p>
        </w:tc>
      </w:tr>
      <w:tr w14:paraId="3671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24D2BAAB">
            <w:pPr>
              <w:rPr>
                <w:rFonts w:hint="eastAsia" w:ascii="宋体" w:hAnsi="宋体"/>
                <w:color w:val="000000" w:themeColor="text1"/>
                <w:sz w:val="24"/>
              </w:rPr>
            </w:pPr>
            <w:r>
              <w:rPr>
                <w:rFonts w:hint="eastAsia" w:ascii="宋体" w:hAnsi="宋体"/>
                <w:color w:val="000000" w:themeColor="text1"/>
                <w:sz w:val="24"/>
              </w:rPr>
              <w:t>1</w:t>
            </w:r>
          </w:p>
        </w:tc>
        <w:tc>
          <w:tcPr>
            <w:tcW w:w="4260" w:type="dxa"/>
          </w:tcPr>
          <w:p w14:paraId="4350042B">
            <w:pPr>
              <w:rPr>
                <w:rFonts w:hint="eastAsia" w:ascii="宋体" w:hAnsi="宋体"/>
                <w:color w:val="000000" w:themeColor="text1"/>
                <w:sz w:val="24"/>
              </w:rPr>
            </w:pPr>
          </w:p>
        </w:tc>
        <w:tc>
          <w:tcPr>
            <w:tcW w:w="2841" w:type="dxa"/>
          </w:tcPr>
          <w:p w14:paraId="6FBCBB7D">
            <w:pPr>
              <w:rPr>
                <w:rFonts w:hint="eastAsia" w:ascii="宋体" w:hAnsi="宋体"/>
                <w:color w:val="000000" w:themeColor="text1"/>
                <w:sz w:val="24"/>
              </w:rPr>
            </w:pPr>
          </w:p>
        </w:tc>
      </w:tr>
      <w:tr w14:paraId="0A08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3CD71264">
            <w:pPr>
              <w:rPr>
                <w:rFonts w:hint="eastAsia" w:ascii="宋体" w:hAnsi="宋体"/>
                <w:color w:val="000000" w:themeColor="text1"/>
                <w:sz w:val="24"/>
              </w:rPr>
            </w:pPr>
            <w:r>
              <w:rPr>
                <w:rFonts w:hint="eastAsia" w:ascii="宋体" w:hAnsi="宋体"/>
                <w:color w:val="000000" w:themeColor="text1"/>
                <w:sz w:val="24"/>
              </w:rPr>
              <w:t>2</w:t>
            </w:r>
          </w:p>
        </w:tc>
        <w:tc>
          <w:tcPr>
            <w:tcW w:w="4260" w:type="dxa"/>
          </w:tcPr>
          <w:p w14:paraId="21E96E08">
            <w:pPr>
              <w:rPr>
                <w:rFonts w:hint="eastAsia" w:ascii="宋体" w:hAnsi="宋体"/>
                <w:color w:val="000000" w:themeColor="text1"/>
                <w:sz w:val="24"/>
              </w:rPr>
            </w:pPr>
          </w:p>
        </w:tc>
        <w:tc>
          <w:tcPr>
            <w:tcW w:w="2841" w:type="dxa"/>
          </w:tcPr>
          <w:p w14:paraId="132EEB5F">
            <w:pPr>
              <w:rPr>
                <w:rFonts w:hint="eastAsia" w:ascii="宋体" w:hAnsi="宋体"/>
                <w:color w:val="000000" w:themeColor="text1"/>
                <w:sz w:val="24"/>
              </w:rPr>
            </w:pPr>
          </w:p>
        </w:tc>
      </w:tr>
      <w:tr w14:paraId="4616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7C74A9F3">
            <w:pPr>
              <w:rPr>
                <w:rFonts w:hint="eastAsia" w:ascii="宋体" w:hAnsi="宋体"/>
                <w:color w:val="000000" w:themeColor="text1"/>
                <w:sz w:val="24"/>
              </w:rPr>
            </w:pPr>
            <w:r>
              <w:rPr>
                <w:rFonts w:hint="eastAsia" w:ascii="宋体" w:hAnsi="宋体"/>
                <w:color w:val="000000" w:themeColor="text1"/>
                <w:sz w:val="24"/>
              </w:rPr>
              <w:t>3</w:t>
            </w:r>
          </w:p>
        </w:tc>
        <w:tc>
          <w:tcPr>
            <w:tcW w:w="4260" w:type="dxa"/>
          </w:tcPr>
          <w:p w14:paraId="22A8C212">
            <w:pPr>
              <w:rPr>
                <w:rFonts w:hint="eastAsia" w:ascii="宋体" w:hAnsi="宋体"/>
                <w:color w:val="000000" w:themeColor="text1"/>
                <w:sz w:val="24"/>
              </w:rPr>
            </w:pPr>
          </w:p>
        </w:tc>
        <w:tc>
          <w:tcPr>
            <w:tcW w:w="2841" w:type="dxa"/>
          </w:tcPr>
          <w:p w14:paraId="3F29EA81">
            <w:pPr>
              <w:rPr>
                <w:rFonts w:hint="eastAsia" w:ascii="宋体" w:hAnsi="宋体"/>
                <w:color w:val="000000" w:themeColor="text1"/>
                <w:sz w:val="24"/>
              </w:rPr>
            </w:pPr>
          </w:p>
        </w:tc>
      </w:tr>
      <w:tr w14:paraId="7647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5D964CB5">
            <w:pPr>
              <w:rPr>
                <w:rFonts w:hint="eastAsia" w:ascii="宋体" w:hAnsi="宋体"/>
                <w:color w:val="000000" w:themeColor="text1"/>
                <w:sz w:val="24"/>
              </w:rPr>
            </w:pPr>
            <w:r>
              <w:rPr>
                <w:rFonts w:hint="eastAsia" w:ascii="宋体" w:hAnsi="宋体"/>
                <w:color w:val="000000" w:themeColor="text1"/>
                <w:sz w:val="24"/>
              </w:rPr>
              <w:t>4</w:t>
            </w:r>
          </w:p>
        </w:tc>
        <w:tc>
          <w:tcPr>
            <w:tcW w:w="4260" w:type="dxa"/>
          </w:tcPr>
          <w:p w14:paraId="6A099810">
            <w:pPr>
              <w:rPr>
                <w:rFonts w:hint="eastAsia" w:ascii="宋体" w:hAnsi="宋体"/>
                <w:color w:val="000000" w:themeColor="text1"/>
                <w:sz w:val="24"/>
              </w:rPr>
            </w:pPr>
          </w:p>
        </w:tc>
        <w:tc>
          <w:tcPr>
            <w:tcW w:w="2841" w:type="dxa"/>
          </w:tcPr>
          <w:p w14:paraId="0D1B95A0">
            <w:pPr>
              <w:rPr>
                <w:rFonts w:hint="eastAsia" w:ascii="宋体" w:hAnsi="宋体"/>
                <w:color w:val="000000" w:themeColor="text1"/>
                <w:sz w:val="24"/>
              </w:rPr>
            </w:pPr>
          </w:p>
        </w:tc>
      </w:tr>
      <w:tr w14:paraId="7439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3E5A3E43">
            <w:pPr>
              <w:rPr>
                <w:rFonts w:hint="eastAsia" w:ascii="宋体" w:hAnsi="宋体"/>
                <w:color w:val="000000" w:themeColor="text1"/>
                <w:sz w:val="24"/>
              </w:rPr>
            </w:pPr>
            <w:r>
              <w:rPr>
                <w:rFonts w:hint="eastAsia" w:ascii="宋体" w:hAnsi="宋体"/>
                <w:color w:val="000000" w:themeColor="text1"/>
                <w:sz w:val="24"/>
              </w:rPr>
              <w:t>5</w:t>
            </w:r>
          </w:p>
        </w:tc>
        <w:tc>
          <w:tcPr>
            <w:tcW w:w="4260" w:type="dxa"/>
          </w:tcPr>
          <w:p w14:paraId="27135B0C">
            <w:pPr>
              <w:rPr>
                <w:rFonts w:hint="eastAsia" w:ascii="宋体" w:hAnsi="宋体"/>
                <w:color w:val="000000" w:themeColor="text1"/>
                <w:sz w:val="24"/>
              </w:rPr>
            </w:pPr>
          </w:p>
        </w:tc>
        <w:tc>
          <w:tcPr>
            <w:tcW w:w="2841" w:type="dxa"/>
          </w:tcPr>
          <w:p w14:paraId="2C989282">
            <w:pPr>
              <w:rPr>
                <w:rFonts w:hint="eastAsia" w:ascii="宋体" w:hAnsi="宋体"/>
                <w:color w:val="000000" w:themeColor="text1"/>
                <w:sz w:val="24"/>
              </w:rPr>
            </w:pPr>
          </w:p>
        </w:tc>
      </w:tr>
      <w:tr w14:paraId="5310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5634F58A">
            <w:pPr>
              <w:rPr>
                <w:rFonts w:hint="eastAsia" w:ascii="宋体" w:hAnsi="宋体"/>
                <w:color w:val="000000" w:themeColor="text1"/>
                <w:sz w:val="24"/>
              </w:rPr>
            </w:pPr>
            <w:r>
              <w:rPr>
                <w:rFonts w:hint="eastAsia" w:ascii="宋体" w:hAnsi="宋体"/>
                <w:color w:val="000000" w:themeColor="text1"/>
                <w:sz w:val="24"/>
              </w:rPr>
              <w:t>6</w:t>
            </w:r>
          </w:p>
        </w:tc>
        <w:tc>
          <w:tcPr>
            <w:tcW w:w="4260" w:type="dxa"/>
          </w:tcPr>
          <w:p w14:paraId="48BC8FDD">
            <w:pPr>
              <w:rPr>
                <w:rFonts w:hint="eastAsia" w:ascii="宋体" w:hAnsi="宋体"/>
                <w:color w:val="000000" w:themeColor="text1"/>
                <w:sz w:val="24"/>
              </w:rPr>
            </w:pPr>
          </w:p>
        </w:tc>
        <w:tc>
          <w:tcPr>
            <w:tcW w:w="2841" w:type="dxa"/>
          </w:tcPr>
          <w:p w14:paraId="04E7FE3C">
            <w:pPr>
              <w:rPr>
                <w:rFonts w:hint="eastAsia" w:ascii="宋体" w:hAnsi="宋体"/>
                <w:color w:val="000000" w:themeColor="text1"/>
                <w:sz w:val="24"/>
              </w:rPr>
            </w:pPr>
          </w:p>
        </w:tc>
      </w:tr>
      <w:tr w14:paraId="4658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4D86431E">
            <w:pPr>
              <w:rPr>
                <w:rFonts w:hint="eastAsia" w:ascii="宋体" w:hAnsi="宋体"/>
                <w:color w:val="000000" w:themeColor="text1"/>
                <w:sz w:val="24"/>
              </w:rPr>
            </w:pPr>
            <w:r>
              <w:rPr>
                <w:rFonts w:hint="eastAsia" w:ascii="宋体" w:hAnsi="宋体"/>
                <w:color w:val="000000" w:themeColor="text1"/>
                <w:sz w:val="24"/>
              </w:rPr>
              <w:t>7</w:t>
            </w:r>
          </w:p>
        </w:tc>
        <w:tc>
          <w:tcPr>
            <w:tcW w:w="4260" w:type="dxa"/>
          </w:tcPr>
          <w:p w14:paraId="32C9B6EF">
            <w:pPr>
              <w:rPr>
                <w:rFonts w:hint="eastAsia" w:ascii="宋体" w:hAnsi="宋体"/>
                <w:color w:val="000000" w:themeColor="text1"/>
                <w:sz w:val="24"/>
              </w:rPr>
            </w:pPr>
          </w:p>
        </w:tc>
        <w:tc>
          <w:tcPr>
            <w:tcW w:w="2841" w:type="dxa"/>
          </w:tcPr>
          <w:p w14:paraId="7F7BAAEA">
            <w:pPr>
              <w:rPr>
                <w:rFonts w:hint="eastAsia" w:ascii="宋体" w:hAnsi="宋体"/>
                <w:color w:val="000000" w:themeColor="text1"/>
                <w:sz w:val="24"/>
              </w:rPr>
            </w:pPr>
          </w:p>
        </w:tc>
      </w:tr>
      <w:tr w14:paraId="1494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56CE65D5">
            <w:pPr>
              <w:rPr>
                <w:rFonts w:hint="eastAsia" w:ascii="宋体" w:hAnsi="宋体"/>
                <w:color w:val="000000" w:themeColor="text1"/>
                <w:sz w:val="24"/>
              </w:rPr>
            </w:pPr>
            <w:r>
              <w:rPr>
                <w:rFonts w:hint="eastAsia" w:ascii="宋体" w:hAnsi="宋体"/>
                <w:color w:val="000000" w:themeColor="text1"/>
                <w:sz w:val="24"/>
              </w:rPr>
              <w:t>8</w:t>
            </w:r>
          </w:p>
        </w:tc>
        <w:tc>
          <w:tcPr>
            <w:tcW w:w="4260" w:type="dxa"/>
          </w:tcPr>
          <w:p w14:paraId="4725764B">
            <w:pPr>
              <w:rPr>
                <w:rFonts w:hint="eastAsia" w:ascii="宋体" w:hAnsi="宋体"/>
                <w:color w:val="000000" w:themeColor="text1"/>
                <w:sz w:val="24"/>
              </w:rPr>
            </w:pPr>
          </w:p>
        </w:tc>
        <w:tc>
          <w:tcPr>
            <w:tcW w:w="2841" w:type="dxa"/>
          </w:tcPr>
          <w:p w14:paraId="0337F3E4">
            <w:pPr>
              <w:rPr>
                <w:rFonts w:hint="eastAsia" w:ascii="宋体" w:hAnsi="宋体"/>
                <w:color w:val="000000" w:themeColor="text1"/>
                <w:sz w:val="24"/>
              </w:rPr>
            </w:pPr>
          </w:p>
        </w:tc>
      </w:tr>
      <w:tr w14:paraId="5326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11B89AE7">
            <w:pPr>
              <w:rPr>
                <w:rFonts w:hint="eastAsia" w:ascii="宋体" w:hAnsi="宋体"/>
                <w:color w:val="000000" w:themeColor="text1"/>
                <w:sz w:val="24"/>
              </w:rPr>
            </w:pPr>
            <w:r>
              <w:rPr>
                <w:rFonts w:hint="eastAsia" w:ascii="宋体" w:hAnsi="宋体"/>
                <w:color w:val="000000" w:themeColor="text1"/>
                <w:sz w:val="24"/>
              </w:rPr>
              <w:t>9</w:t>
            </w:r>
          </w:p>
        </w:tc>
        <w:tc>
          <w:tcPr>
            <w:tcW w:w="4260" w:type="dxa"/>
          </w:tcPr>
          <w:p w14:paraId="721B48C9">
            <w:pPr>
              <w:rPr>
                <w:rFonts w:hint="eastAsia" w:ascii="宋体" w:hAnsi="宋体"/>
                <w:color w:val="000000" w:themeColor="text1"/>
                <w:sz w:val="24"/>
              </w:rPr>
            </w:pPr>
          </w:p>
        </w:tc>
        <w:tc>
          <w:tcPr>
            <w:tcW w:w="2841" w:type="dxa"/>
          </w:tcPr>
          <w:p w14:paraId="1BC4420E">
            <w:pPr>
              <w:rPr>
                <w:rFonts w:hint="eastAsia" w:ascii="宋体" w:hAnsi="宋体"/>
                <w:color w:val="000000" w:themeColor="text1"/>
                <w:sz w:val="24"/>
              </w:rPr>
            </w:pPr>
          </w:p>
        </w:tc>
      </w:tr>
      <w:tr w14:paraId="21CF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1317C2EB">
            <w:pPr>
              <w:rPr>
                <w:rFonts w:hint="eastAsia" w:ascii="宋体" w:hAnsi="宋体"/>
                <w:color w:val="000000" w:themeColor="text1"/>
                <w:sz w:val="24"/>
              </w:rPr>
            </w:pPr>
            <w:r>
              <w:rPr>
                <w:rFonts w:hint="eastAsia" w:ascii="宋体" w:hAnsi="宋体"/>
                <w:color w:val="000000" w:themeColor="text1"/>
                <w:sz w:val="24"/>
              </w:rPr>
              <w:t>10</w:t>
            </w:r>
          </w:p>
        </w:tc>
        <w:tc>
          <w:tcPr>
            <w:tcW w:w="4260" w:type="dxa"/>
          </w:tcPr>
          <w:p w14:paraId="119D5D82">
            <w:pPr>
              <w:rPr>
                <w:rFonts w:hint="eastAsia" w:ascii="宋体" w:hAnsi="宋体"/>
                <w:color w:val="000000" w:themeColor="text1"/>
                <w:sz w:val="24"/>
              </w:rPr>
            </w:pPr>
          </w:p>
        </w:tc>
        <w:tc>
          <w:tcPr>
            <w:tcW w:w="2841" w:type="dxa"/>
          </w:tcPr>
          <w:p w14:paraId="5D18F72D">
            <w:pPr>
              <w:rPr>
                <w:rFonts w:hint="eastAsia" w:ascii="宋体" w:hAnsi="宋体"/>
                <w:color w:val="000000" w:themeColor="text1"/>
                <w:sz w:val="24"/>
              </w:rPr>
            </w:pPr>
          </w:p>
        </w:tc>
      </w:tr>
      <w:tr w14:paraId="78ED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2CAE07F8">
            <w:pPr>
              <w:rPr>
                <w:rFonts w:hint="eastAsia" w:ascii="宋体" w:hAnsi="宋体"/>
                <w:color w:val="000000" w:themeColor="text1"/>
                <w:sz w:val="24"/>
              </w:rPr>
            </w:pPr>
            <w:r>
              <w:rPr>
                <w:rFonts w:hint="eastAsia" w:ascii="宋体" w:hAnsi="宋体"/>
                <w:color w:val="000000" w:themeColor="text1"/>
                <w:sz w:val="24"/>
              </w:rPr>
              <w:t>11</w:t>
            </w:r>
          </w:p>
        </w:tc>
        <w:tc>
          <w:tcPr>
            <w:tcW w:w="4260" w:type="dxa"/>
          </w:tcPr>
          <w:p w14:paraId="2B7480B3">
            <w:pPr>
              <w:rPr>
                <w:rFonts w:hint="eastAsia" w:ascii="宋体" w:hAnsi="宋体"/>
                <w:color w:val="000000" w:themeColor="text1"/>
                <w:sz w:val="24"/>
              </w:rPr>
            </w:pPr>
          </w:p>
        </w:tc>
        <w:tc>
          <w:tcPr>
            <w:tcW w:w="2841" w:type="dxa"/>
          </w:tcPr>
          <w:p w14:paraId="2F7A1112">
            <w:pPr>
              <w:rPr>
                <w:rFonts w:hint="eastAsia" w:ascii="宋体" w:hAnsi="宋体"/>
                <w:color w:val="000000" w:themeColor="text1"/>
                <w:sz w:val="24"/>
              </w:rPr>
            </w:pPr>
          </w:p>
        </w:tc>
      </w:tr>
      <w:tr w14:paraId="57A8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4F7837BE">
            <w:pPr>
              <w:rPr>
                <w:rFonts w:hint="eastAsia" w:ascii="宋体" w:hAnsi="宋体"/>
                <w:color w:val="000000" w:themeColor="text1"/>
                <w:sz w:val="24"/>
              </w:rPr>
            </w:pPr>
            <w:r>
              <w:rPr>
                <w:rFonts w:hint="eastAsia" w:ascii="宋体" w:hAnsi="宋体"/>
                <w:color w:val="000000" w:themeColor="text1"/>
                <w:sz w:val="24"/>
              </w:rPr>
              <w:t>12</w:t>
            </w:r>
          </w:p>
        </w:tc>
        <w:tc>
          <w:tcPr>
            <w:tcW w:w="4260" w:type="dxa"/>
          </w:tcPr>
          <w:p w14:paraId="51FF50DC">
            <w:pPr>
              <w:rPr>
                <w:rFonts w:hint="eastAsia" w:ascii="宋体" w:hAnsi="宋体"/>
                <w:color w:val="000000" w:themeColor="text1"/>
                <w:sz w:val="24"/>
              </w:rPr>
            </w:pPr>
          </w:p>
        </w:tc>
        <w:tc>
          <w:tcPr>
            <w:tcW w:w="2841" w:type="dxa"/>
          </w:tcPr>
          <w:p w14:paraId="4ACDE3C9">
            <w:pPr>
              <w:rPr>
                <w:rFonts w:hint="eastAsia" w:ascii="宋体" w:hAnsi="宋体"/>
                <w:color w:val="000000" w:themeColor="text1"/>
                <w:sz w:val="24"/>
              </w:rPr>
            </w:pPr>
          </w:p>
        </w:tc>
      </w:tr>
      <w:tr w14:paraId="6817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7211F106">
            <w:pPr>
              <w:rPr>
                <w:rFonts w:hint="eastAsia" w:ascii="宋体" w:hAnsi="宋体"/>
                <w:color w:val="000000" w:themeColor="text1"/>
                <w:sz w:val="24"/>
              </w:rPr>
            </w:pPr>
            <w:r>
              <w:rPr>
                <w:rFonts w:hint="eastAsia" w:ascii="宋体" w:hAnsi="宋体"/>
                <w:color w:val="000000" w:themeColor="text1"/>
                <w:sz w:val="24"/>
              </w:rPr>
              <w:t>13</w:t>
            </w:r>
          </w:p>
        </w:tc>
        <w:tc>
          <w:tcPr>
            <w:tcW w:w="4260" w:type="dxa"/>
          </w:tcPr>
          <w:p w14:paraId="355871E2">
            <w:pPr>
              <w:rPr>
                <w:rFonts w:hint="eastAsia" w:ascii="宋体" w:hAnsi="宋体"/>
                <w:color w:val="000000" w:themeColor="text1"/>
                <w:sz w:val="24"/>
              </w:rPr>
            </w:pPr>
          </w:p>
        </w:tc>
        <w:tc>
          <w:tcPr>
            <w:tcW w:w="2841" w:type="dxa"/>
          </w:tcPr>
          <w:p w14:paraId="1D15CAF0">
            <w:pPr>
              <w:rPr>
                <w:rFonts w:hint="eastAsia" w:ascii="宋体" w:hAnsi="宋体"/>
                <w:color w:val="000000" w:themeColor="text1"/>
                <w:sz w:val="24"/>
              </w:rPr>
            </w:pPr>
          </w:p>
        </w:tc>
      </w:tr>
      <w:tr w14:paraId="73E7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59223259">
            <w:pPr>
              <w:rPr>
                <w:rFonts w:hint="eastAsia" w:ascii="宋体" w:hAnsi="宋体"/>
                <w:color w:val="000000" w:themeColor="text1"/>
                <w:sz w:val="24"/>
              </w:rPr>
            </w:pPr>
            <w:r>
              <w:rPr>
                <w:rFonts w:hint="eastAsia" w:ascii="宋体" w:hAnsi="宋体"/>
                <w:color w:val="000000" w:themeColor="text1"/>
                <w:sz w:val="24"/>
              </w:rPr>
              <w:t>14</w:t>
            </w:r>
          </w:p>
        </w:tc>
        <w:tc>
          <w:tcPr>
            <w:tcW w:w="4260" w:type="dxa"/>
          </w:tcPr>
          <w:p w14:paraId="0FF26C88">
            <w:pPr>
              <w:rPr>
                <w:rFonts w:hint="eastAsia" w:ascii="宋体" w:hAnsi="宋体"/>
                <w:color w:val="000000" w:themeColor="text1"/>
                <w:sz w:val="24"/>
              </w:rPr>
            </w:pPr>
          </w:p>
        </w:tc>
        <w:tc>
          <w:tcPr>
            <w:tcW w:w="2841" w:type="dxa"/>
          </w:tcPr>
          <w:p w14:paraId="623A5BF8">
            <w:pPr>
              <w:rPr>
                <w:rFonts w:hint="eastAsia" w:ascii="宋体" w:hAnsi="宋体"/>
                <w:color w:val="000000" w:themeColor="text1"/>
                <w:sz w:val="24"/>
              </w:rPr>
            </w:pPr>
          </w:p>
        </w:tc>
      </w:tr>
    </w:tbl>
    <w:p w14:paraId="06A82024">
      <w:pPr>
        <w:rPr>
          <w:rFonts w:hint="eastAsia" w:ascii="宋体" w:hAnsi="宋体"/>
          <w:color w:val="000000" w:themeColor="text1"/>
          <w:sz w:val="24"/>
        </w:rPr>
      </w:pPr>
      <w:r>
        <w:rPr>
          <w:rFonts w:hint="eastAsia" w:ascii="宋体" w:hAnsi="宋体"/>
          <w:color w:val="000000" w:themeColor="text1"/>
          <w:sz w:val="24"/>
        </w:rPr>
        <w:br w:type="page"/>
      </w:r>
      <w:r>
        <w:rPr>
          <w:rFonts w:hint="eastAsia" w:ascii="宋体" w:hAnsi="宋体"/>
          <w:color w:val="000000" w:themeColor="text1"/>
          <w:sz w:val="24"/>
        </w:rPr>
        <w:t>附</w:t>
      </w:r>
      <w:bookmarkStart w:id="15" w:name="_Toc296891056"/>
      <w:bookmarkStart w:id="16" w:name="_Toc267261699"/>
      <w:bookmarkStart w:id="17" w:name="_Toc296346729"/>
      <w:bookmarkStart w:id="18" w:name="_Toc296347227"/>
      <w:bookmarkStart w:id="19" w:name="_Toc296503228"/>
      <w:bookmarkStart w:id="20" w:name="_Toc296944567"/>
      <w:bookmarkStart w:id="21" w:name="_Toc296891268"/>
      <w:r>
        <w:rPr>
          <w:rFonts w:hint="eastAsia" w:ascii="宋体" w:hAnsi="宋体"/>
          <w:color w:val="000000" w:themeColor="text1"/>
          <w:sz w:val="24"/>
        </w:rPr>
        <w:t>件6：承包人主要施工管理人员表</w:t>
      </w:r>
    </w:p>
    <w:tbl>
      <w:tblPr>
        <w:tblStyle w:val="49"/>
        <w:tblW w:w="8293" w:type="dxa"/>
        <w:tblInd w:w="93" w:type="dxa"/>
        <w:tblLayout w:type="fixed"/>
        <w:tblCellMar>
          <w:top w:w="0" w:type="dxa"/>
          <w:left w:w="108" w:type="dxa"/>
          <w:bottom w:w="0" w:type="dxa"/>
          <w:right w:w="108" w:type="dxa"/>
        </w:tblCellMar>
      </w:tblPr>
      <w:tblGrid>
        <w:gridCol w:w="698"/>
        <w:gridCol w:w="1527"/>
        <w:gridCol w:w="1300"/>
        <w:gridCol w:w="4768"/>
      </w:tblGrid>
      <w:tr w14:paraId="765F5DEE">
        <w:tblPrEx>
          <w:tblCellMar>
            <w:top w:w="0" w:type="dxa"/>
            <w:left w:w="108" w:type="dxa"/>
            <w:bottom w:w="0" w:type="dxa"/>
            <w:right w:w="108" w:type="dxa"/>
          </w:tblCellMar>
        </w:tblPrEx>
        <w:trPr>
          <w:trHeight w:val="850" w:hRule="atLeast"/>
        </w:trPr>
        <w:tc>
          <w:tcPr>
            <w:tcW w:w="698" w:type="dxa"/>
            <w:tcBorders>
              <w:top w:val="thinThickSmallGap" w:color="auto" w:sz="24" w:space="0"/>
              <w:left w:val="thinThickSmallGap" w:color="auto" w:sz="24" w:space="0"/>
              <w:bottom w:val="single" w:color="auto" w:sz="4" w:space="0"/>
              <w:right w:val="single" w:color="auto" w:sz="4" w:space="0"/>
            </w:tcBorders>
            <w:shd w:val="clear" w:color="auto" w:fill="00B0F0"/>
            <w:noWrap/>
            <w:vAlign w:val="center"/>
          </w:tcPr>
          <w:p w14:paraId="7AE5BE18">
            <w:pPr>
              <w:widowControl/>
              <w:spacing w:line="480" w:lineRule="auto"/>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序号</w:t>
            </w:r>
          </w:p>
        </w:tc>
        <w:tc>
          <w:tcPr>
            <w:tcW w:w="1527" w:type="dxa"/>
            <w:tcBorders>
              <w:top w:val="thinThickSmallGap" w:color="auto" w:sz="24" w:space="0"/>
              <w:left w:val="single" w:color="auto" w:sz="4" w:space="0"/>
              <w:bottom w:val="single" w:color="auto" w:sz="4" w:space="0"/>
              <w:right w:val="single" w:color="auto" w:sz="4" w:space="0"/>
            </w:tcBorders>
            <w:shd w:val="clear" w:color="auto" w:fill="00B0F0"/>
            <w:noWrap/>
            <w:vAlign w:val="center"/>
          </w:tcPr>
          <w:p w14:paraId="5ABAA7B0">
            <w:pPr>
              <w:widowControl/>
              <w:spacing w:line="480" w:lineRule="auto"/>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职位</w:t>
            </w:r>
          </w:p>
        </w:tc>
        <w:tc>
          <w:tcPr>
            <w:tcW w:w="1300" w:type="dxa"/>
            <w:tcBorders>
              <w:top w:val="thinThickSmallGap" w:color="auto" w:sz="24" w:space="0"/>
              <w:left w:val="single" w:color="auto" w:sz="4" w:space="0"/>
              <w:bottom w:val="single" w:color="auto" w:sz="4" w:space="0"/>
              <w:right w:val="single" w:color="auto" w:sz="4" w:space="0"/>
            </w:tcBorders>
            <w:shd w:val="clear" w:color="auto" w:fill="00B0F0"/>
            <w:noWrap/>
            <w:vAlign w:val="center"/>
          </w:tcPr>
          <w:p w14:paraId="45BFE646">
            <w:pPr>
              <w:widowControl/>
              <w:spacing w:line="480" w:lineRule="auto"/>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姓名</w:t>
            </w:r>
          </w:p>
        </w:tc>
        <w:tc>
          <w:tcPr>
            <w:tcW w:w="4768" w:type="dxa"/>
            <w:tcBorders>
              <w:top w:val="thinThickSmallGap" w:color="auto" w:sz="24" w:space="0"/>
              <w:left w:val="single" w:color="auto" w:sz="4" w:space="0"/>
              <w:bottom w:val="single" w:color="auto" w:sz="4" w:space="0"/>
              <w:right w:val="thinThickSmallGap" w:color="auto" w:sz="24" w:space="0"/>
            </w:tcBorders>
            <w:shd w:val="clear" w:color="auto" w:fill="00B0F0"/>
            <w:noWrap/>
            <w:vAlign w:val="center"/>
          </w:tcPr>
          <w:p w14:paraId="6DF1F560">
            <w:pPr>
              <w:widowControl/>
              <w:spacing w:line="480" w:lineRule="auto"/>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备   注</w:t>
            </w:r>
          </w:p>
        </w:tc>
      </w:tr>
      <w:tr w14:paraId="73EE04D6">
        <w:tblPrEx>
          <w:tblCellMar>
            <w:top w:w="0" w:type="dxa"/>
            <w:left w:w="108" w:type="dxa"/>
            <w:bottom w:w="0" w:type="dxa"/>
            <w:right w:w="108" w:type="dxa"/>
          </w:tblCellMar>
        </w:tblPrEx>
        <w:trPr>
          <w:trHeight w:val="590" w:hRule="atLeast"/>
        </w:trPr>
        <w:tc>
          <w:tcPr>
            <w:tcW w:w="698" w:type="dxa"/>
            <w:tcBorders>
              <w:top w:val="single" w:color="auto" w:sz="4" w:space="0"/>
              <w:left w:val="thinThickSmallGap" w:color="auto" w:sz="24" w:space="0"/>
              <w:bottom w:val="single" w:color="auto" w:sz="4" w:space="0"/>
              <w:right w:val="single" w:color="auto" w:sz="4" w:space="0"/>
            </w:tcBorders>
            <w:noWrap/>
            <w:vAlign w:val="center"/>
          </w:tcPr>
          <w:p w14:paraId="43A36F9E">
            <w:pPr>
              <w:widowControl/>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w:t>
            </w:r>
          </w:p>
        </w:tc>
        <w:tc>
          <w:tcPr>
            <w:tcW w:w="1527" w:type="dxa"/>
            <w:tcBorders>
              <w:top w:val="single" w:color="auto" w:sz="4" w:space="0"/>
              <w:left w:val="single" w:color="auto" w:sz="4" w:space="0"/>
              <w:bottom w:val="single" w:color="auto" w:sz="4" w:space="0"/>
              <w:right w:val="single" w:color="auto" w:sz="4" w:space="0"/>
            </w:tcBorders>
            <w:noWrap/>
            <w:vAlign w:val="center"/>
          </w:tcPr>
          <w:p w14:paraId="6FFDD97C">
            <w:pPr>
              <w:widowControl/>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项目负责人</w:t>
            </w:r>
          </w:p>
        </w:tc>
        <w:tc>
          <w:tcPr>
            <w:tcW w:w="1300" w:type="dxa"/>
            <w:tcBorders>
              <w:top w:val="single" w:color="auto" w:sz="4" w:space="0"/>
              <w:left w:val="single" w:color="auto" w:sz="4" w:space="0"/>
              <w:bottom w:val="single" w:color="auto" w:sz="4" w:space="0"/>
              <w:right w:val="single" w:color="auto" w:sz="4" w:space="0"/>
            </w:tcBorders>
            <w:noWrap/>
            <w:vAlign w:val="center"/>
          </w:tcPr>
          <w:p w14:paraId="788D691F">
            <w:pPr>
              <w:widowControl/>
              <w:jc w:val="left"/>
              <w:textAlignment w:val="center"/>
              <w:rPr>
                <w:rFonts w:hint="eastAsia" w:ascii="宋体" w:hAnsi="宋体" w:cs="宋体"/>
                <w:color w:val="000000" w:themeColor="text1"/>
                <w:sz w:val="24"/>
              </w:rPr>
            </w:pPr>
          </w:p>
        </w:tc>
        <w:tc>
          <w:tcPr>
            <w:tcW w:w="4768" w:type="dxa"/>
            <w:tcBorders>
              <w:top w:val="single" w:color="auto" w:sz="4" w:space="0"/>
              <w:left w:val="single" w:color="auto" w:sz="4" w:space="0"/>
              <w:bottom w:val="single" w:color="auto" w:sz="4" w:space="0"/>
              <w:right w:val="thinThickSmallGap" w:color="auto" w:sz="24" w:space="0"/>
            </w:tcBorders>
            <w:noWrap/>
            <w:vAlign w:val="center"/>
          </w:tcPr>
          <w:p w14:paraId="6406CCDC">
            <w:pPr>
              <w:widowControl/>
              <w:jc w:val="left"/>
              <w:textAlignment w:val="center"/>
              <w:rPr>
                <w:rFonts w:hint="eastAsia" w:ascii="宋体" w:hAnsi="宋体" w:cs="宋体"/>
                <w:color w:val="000000" w:themeColor="text1"/>
                <w:sz w:val="24"/>
              </w:rPr>
            </w:pPr>
          </w:p>
        </w:tc>
      </w:tr>
      <w:tr w14:paraId="2A67661F">
        <w:tblPrEx>
          <w:tblCellMar>
            <w:top w:w="0" w:type="dxa"/>
            <w:left w:w="108" w:type="dxa"/>
            <w:bottom w:w="0" w:type="dxa"/>
            <w:right w:w="108" w:type="dxa"/>
          </w:tblCellMar>
        </w:tblPrEx>
        <w:trPr>
          <w:trHeight w:val="615" w:hRule="atLeast"/>
        </w:trPr>
        <w:tc>
          <w:tcPr>
            <w:tcW w:w="698" w:type="dxa"/>
            <w:tcBorders>
              <w:top w:val="single" w:color="auto" w:sz="4" w:space="0"/>
              <w:left w:val="thinThickSmallGap" w:color="auto" w:sz="24" w:space="0"/>
              <w:bottom w:val="single" w:color="auto" w:sz="4" w:space="0"/>
              <w:right w:val="single" w:color="auto" w:sz="4" w:space="0"/>
            </w:tcBorders>
            <w:noWrap/>
            <w:vAlign w:val="center"/>
          </w:tcPr>
          <w:p w14:paraId="0D3C7BAF">
            <w:pPr>
              <w:widowControl/>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1527" w:type="dxa"/>
            <w:tcBorders>
              <w:top w:val="single" w:color="auto" w:sz="4" w:space="0"/>
              <w:left w:val="single" w:color="auto" w:sz="4" w:space="0"/>
              <w:bottom w:val="single" w:color="auto" w:sz="4" w:space="0"/>
              <w:right w:val="single" w:color="auto" w:sz="4" w:space="0"/>
            </w:tcBorders>
            <w:noWrap/>
            <w:vAlign w:val="center"/>
          </w:tcPr>
          <w:p w14:paraId="64619874">
            <w:pPr>
              <w:widowControl/>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技术负责人</w:t>
            </w:r>
          </w:p>
        </w:tc>
        <w:tc>
          <w:tcPr>
            <w:tcW w:w="1300" w:type="dxa"/>
            <w:tcBorders>
              <w:top w:val="single" w:color="auto" w:sz="4" w:space="0"/>
              <w:left w:val="single" w:color="auto" w:sz="4" w:space="0"/>
              <w:bottom w:val="single" w:color="auto" w:sz="4" w:space="0"/>
              <w:right w:val="single" w:color="auto" w:sz="4" w:space="0"/>
            </w:tcBorders>
            <w:noWrap/>
            <w:vAlign w:val="center"/>
          </w:tcPr>
          <w:p w14:paraId="0F22769B">
            <w:pPr>
              <w:widowControl/>
              <w:jc w:val="left"/>
              <w:textAlignment w:val="center"/>
              <w:rPr>
                <w:rFonts w:hint="eastAsia" w:ascii="宋体" w:hAnsi="宋体" w:cs="宋体"/>
                <w:color w:val="000000" w:themeColor="text1"/>
                <w:sz w:val="24"/>
              </w:rPr>
            </w:pPr>
          </w:p>
        </w:tc>
        <w:tc>
          <w:tcPr>
            <w:tcW w:w="4768" w:type="dxa"/>
            <w:tcBorders>
              <w:top w:val="single" w:color="auto" w:sz="4" w:space="0"/>
              <w:left w:val="single" w:color="auto" w:sz="4" w:space="0"/>
              <w:bottom w:val="single" w:color="auto" w:sz="4" w:space="0"/>
              <w:right w:val="thinThickSmallGap" w:color="auto" w:sz="24" w:space="0"/>
            </w:tcBorders>
            <w:noWrap/>
            <w:vAlign w:val="center"/>
          </w:tcPr>
          <w:p w14:paraId="382CD154">
            <w:pPr>
              <w:widowControl/>
              <w:jc w:val="left"/>
              <w:textAlignment w:val="center"/>
              <w:rPr>
                <w:rFonts w:hint="eastAsia" w:ascii="宋体" w:hAnsi="宋体" w:cs="宋体"/>
                <w:color w:val="000000" w:themeColor="text1"/>
                <w:sz w:val="24"/>
              </w:rPr>
            </w:pPr>
          </w:p>
        </w:tc>
      </w:tr>
      <w:tr w14:paraId="2D32CA4E">
        <w:tblPrEx>
          <w:tblCellMar>
            <w:top w:w="0" w:type="dxa"/>
            <w:left w:w="108" w:type="dxa"/>
            <w:bottom w:w="0" w:type="dxa"/>
            <w:right w:w="108" w:type="dxa"/>
          </w:tblCellMar>
        </w:tblPrEx>
        <w:trPr>
          <w:trHeight w:val="590" w:hRule="atLeast"/>
        </w:trPr>
        <w:tc>
          <w:tcPr>
            <w:tcW w:w="698" w:type="dxa"/>
            <w:tcBorders>
              <w:top w:val="single" w:color="auto" w:sz="4" w:space="0"/>
              <w:left w:val="thinThickSmallGap" w:color="auto" w:sz="24" w:space="0"/>
              <w:bottom w:val="single" w:color="auto" w:sz="4" w:space="0"/>
              <w:right w:val="single" w:color="auto" w:sz="4" w:space="0"/>
            </w:tcBorders>
            <w:noWrap/>
            <w:vAlign w:val="center"/>
          </w:tcPr>
          <w:p w14:paraId="5BC58E99">
            <w:pPr>
              <w:widowControl/>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1527" w:type="dxa"/>
            <w:tcBorders>
              <w:top w:val="single" w:color="auto" w:sz="4" w:space="0"/>
              <w:left w:val="single" w:color="auto" w:sz="4" w:space="0"/>
              <w:bottom w:val="single" w:color="auto" w:sz="4" w:space="0"/>
              <w:right w:val="single" w:color="auto" w:sz="4" w:space="0"/>
            </w:tcBorders>
            <w:noWrap/>
            <w:vAlign w:val="center"/>
          </w:tcPr>
          <w:p w14:paraId="44FC6D88">
            <w:pPr>
              <w:widowControl/>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造价负责人</w:t>
            </w:r>
          </w:p>
        </w:tc>
        <w:tc>
          <w:tcPr>
            <w:tcW w:w="1300" w:type="dxa"/>
            <w:tcBorders>
              <w:top w:val="single" w:color="auto" w:sz="4" w:space="0"/>
              <w:left w:val="single" w:color="auto" w:sz="4" w:space="0"/>
              <w:bottom w:val="single" w:color="auto" w:sz="4" w:space="0"/>
              <w:right w:val="single" w:color="auto" w:sz="4" w:space="0"/>
            </w:tcBorders>
            <w:noWrap/>
            <w:vAlign w:val="center"/>
          </w:tcPr>
          <w:p w14:paraId="2302CE1A">
            <w:pPr>
              <w:widowControl/>
              <w:jc w:val="left"/>
              <w:textAlignment w:val="center"/>
              <w:rPr>
                <w:rFonts w:hint="eastAsia" w:ascii="宋体" w:hAnsi="宋体" w:cs="宋体"/>
                <w:color w:val="000000" w:themeColor="text1"/>
                <w:sz w:val="24"/>
              </w:rPr>
            </w:pPr>
          </w:p>
        </w:tc>
        <w:tc>
          <w:tcPr>
            <w:tcW w:w="4768" w:type="dxa"/>
            <w:tcBorders>
              <w:top w:val="single" w:color="auto" w:sz="4" w:space="0"/>
              <w:left w:val="single" w:color="auto" w:sz="4" w:space="0"/>
              <w:bottom w:val="single" w:color="auto" w:sz="4" w:space="0"/>
              <w:right w:val="thinThickSmallGap" w:color="auto" w:sz="24" w:space="0"/>
            </w:tcBorders>
            <w:noWrap/>
            <w:vAlign w:val="center"/>
          </w:tcPr>
          <w:p w14:paraId="3DA9912A">
            <w:pPr>
              <w:widowControl/>
              <w:jc w:val="left"/>
              <w:textAlignment w:val="center"/>
              <w:rPr>
                <w:rFonts w:hint="eastAsia" w:ascii="宋体" w:hAnsi="宋体" w:cs="宋体"/>
                <w:color w:val="000000" w:themeColor="text1"/>
                <w:sz w:val="24"/>
              </w:rPr>
            </w:pPr>
          </w:p>
        </w:tc>
      </w:tr>
      <w:tr w14:paraId="4425A3F4">
        <w:tblPrEx>
          <w:tblCellMar>
            <w:top w:w="0" w:type="dxa"/>
            <w:left w:w="108" w:type="dxa"/>
            <w:bottom w:w="0" w:type="dxa"/>
            <w:right w:w="108" w:type="dxa"/>
          </w:tblCellMar>
        </w:tblPrEx>
        <w:trPr>
          <w:trHeight w:val="503" w:hRule="atLeast"/>
        </w:trPr>
        <w:tc>
          <w:tcPr>
            <w:tcW w:w="698" w:type="dxa"/>
            <w:tcBorders>
              <w:top w:val="single" w:color="auto" w:sz="4" w:space="0"/>
              <w:left w:val="thinThickSmallGap" w:color="auto" w:sz="24" w:space="0"/>
              <w:bottom w:val="single" w:color="auto" w:sz="4" w:space="0"/>
              <w:right w:val="single" w:color="auto" w:sz="4" w:space="0"/>
            </w:tcBorders>
            <w:noWrap/>
            <w:vAlign w:val="center"/>
          </w:tcPr>
          <w:p w14:paraId="1087E835">
            <w:pPr>
              <w:widowControl/>
              <w:jc w:val="center"/>
              <w:textAlignment w:val="center"/>
              <w:rPr>
                <w:rFonts w:hint="eastAsia" w:ascii="宋体" w:hAnsi="宋体" w:cs="宋体"/>
                <w:color w:val="000000" w:themeColor="text1"/>
                <w:kern w:val="0"/>
                <w:sz w:val="24"/>
              </w:rPr>
            </w:pPr>
            <w:r>
              <w:rPr>
                <w:rFonts w:hint="eastAsia" w:ascii="宋体" w:hAnsi="宋体" w:cs="宋体"/>
                <w:color w:val="000000" w:themeColor="text1"/>
                <w:kern w:val="0"/>
                <w:sz w:val="24"/>
              </w:rPr>
              <w:t>4</w:t>
            </w:r>
          </w:p>
        </w:tc>
        <w:tc>
          <w:tcPr>
            <w:tcW w:w="1527" w:type="dxa"/>
            <w:tcBorders>
              <w:top w:val="single" w:color="auto" w:sz="4" w:space="0"/>
              <w:left w:val="single" w:color="auto" w:sz="4" w:space="0"/>
              <w:bottom w:val="single" w:color="auto" w:sz="4" w:space="0"/>
              <w:right w:val="single" w:color="auto" w:sz="4" w:space="0"/>
            </w:tcBorders>
            <w:noWrap/>
            <w:vAlign w:val="center"/>
          </w:tcPr>
          <w:p w14:paraId="48E3F2E0">
            <w:pPr>
              <w:widowControl/>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专职安全员</w:t>
            </w:r>
          </w:p>
        </w:tc>
        <w:tc>
          <w:tcPr>
            <w:tcW w:w="1300" w:type="dxa"/>
            <w:tcBorders>
              <w:top w:val="single" w:color="auto" w:sz="4" w:space="0"/>
              <w:left w:val="single" w:color="auto" w:sz="4" w:space="0"/>
              <w:bottom w:val="single" w:color="auto" w:sz="4" w:space="0"/>
              <w:right w:val="single" w:color="auto" w:sz="4" w:space="0"/>
            </w:tcBorders>
            <w:noWrap/>
            <w:vAlign w:val="center"/>
          </w:tcPr>
          <w:p w14:paraId="6BE94900">
            <w:pPr>
              <w:widowControl/>
              <w:jc w:val="left"/>
              <w:textAlignment w:val="center"/>
              <w:rPr>
                <w:rFonts w:hint="eastAsia" w:ascii="宋体" w:hAnsi="宋体" w:cs="宋体"/>
                <w:color w:val="000000" w:themeColor="text1"/>
                <w:sz w:val="24"/>
              </w:rPr>
            </w:pPr>
          </w:p>
        </w:tc>
        <w:tc>
          <w:tcPr>
            <w:tcW w:w="4768" w:type="dxa"/>
            <w:tcBorders>
              <w:top w:val="single" w:color="auto" w:sz="4" w:space="0"/>
              <w:left w:val="single" w:color="auto" w:sz="4" w:space="0"/>
              <w:bottom w:val="single" w:color="auto" w:sz="4" w:space="0"/>
              <w:right w:val="thinThickSmallGap" w:color="auto" w:sz="24" w:space="0"/>
            </w:tcBorders>
            <w:noWrap/>
            <w:vAlign w:val="center"/>
          </w:tcPr>
          <w:p w14:paraId="6FA265BB">
            <w:pPr>
              <w:widowControl/>
              <w:jc w:val="left"/>
              <w:textAlignment w:val="center"/>
              <w:rPr>
                <w:rFonts w:hint="eastAsia" w:ascii="宋体" w:hAnsi="宋体" w:cs="宋体"/>
                <w:color w:val="000000" w:themeColor="text1"/>
                <w:sz w:val="24"/>
              </w:rPr>
            </w:pPr>
          </w:p>
        </w:tc>
      </w:tr>
      <w:tr w14:paraId="0078F783">
        <w:tblPrEx>
          <w:tblCellMar>
            <w:top w:w="0" w:type="dxa"/>
            <w:left w:w="108" w:type="dxa"/>
            <w:bottom w:w="0" w:type="dxa"/>
            <w:right w:w="108" w:type="dxa"/>
          </w:tblCellMar>
        </w:tblPrEx>
        <w:trPr>
          <w:trHeight w:val="553" w:hRule="atLeast"/>
        </w:trPr>
        <w:tc>
          <w:tcPr>
            <w:tcW w:w="698" w:type="dxa"/>
            <w:tcBorders>
              <w:top w:val="single" w:color="auto" w:sz="4" w:space="0"/>
              <w:left w:val="thinThickSmallGap" w:color="auto" w:sz="24" w:space="0"/>
              <w:bottom w:val="single" w:color="auto" w:sz="4" w:space="0"/>
              <w:right w:val="single" w:color="auto" w:sz="4" w:space="0"/>
            </w:tcBorders>
            <w:noWrap/>
            <w:vAlign w:val="center"/>
          </w:tcPr>
          <w:p w14:paraId="730FAC91">
            <w:pPr>
              <w:widowControl/>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w:t>
            </w:r>
          </w:p>
        </w:tc>
        <w:tc>
          <w:tcPr>
            <w:tcW w:w="1527" w:type="dxa"/>
            <w:tcBorders>
              <w:top w:val="single" w:color="auto" w:sz="4" w:space="0"/>
              <w:left w:val="single" w:color="auto" w:sz="4" w:space="0"/>
              <w:bottom w:val="single" w:color="auto" w:sz="4" w:space="0"/>
              <w:right w:val="single" w:color="auto" w:sz="4" w:space="0"/>
            </w:tcBorders>
            <w:noWrap/>
            <w:vAlign w:val="center"/>
          </w:tcPr>
          <w:p w14:paraId="3B5C2A37">
            <w:pPr>
              <w:widowControl/>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施工员</w:t>
            </w:r>
          </w:p>
        </w:tc>
        <w:tc>
          <w:tcPr>
            <w:tcW w:w="1300" w:type="dxa"/>
            <w:tcBorders>
              <w:top w:val="single" w:color="auto" w:sz="4" w:space="0"/>
              <w:left w:val="single" w:color="auto" w:sz="4" w:space="0"/>
              <w:bottom w:val="single" w:color="auto" w:sz="4" w:space="0"/>
              <w:right w:val="single" w:color="auto" w:sz="4" w:space="0"/>
            </w:tcBorders>
            <w:noWrap/>
            <w:vAlign w:val="center"/>
          </w:tcPr>
          <w:p w14:paraId="59CC5D6A">
            <w:pPr>
              <w:widowControl/>
              <w:jc w:val="left"/>
              <w:textAlignment w:val="center"/>
              <w:rPr>
                <w:rFonts w:hint="eastAsia" w:ascii="宋体" w:hAnsi="宋体" w:cs="宋体"/>
                <w:color w:val="000000" w:themeColor="text1"/>
                <w:sz w:val="24"/>
              </w:rPr>
            </w:pPr>
          </w:p>
        </w:tc>
        <w:tc>
          <w:tcPr>
            <w:tcW w:w="4768" w:type="dxa"/>
            <w:tcBorders>
              <w:top w:val="single" w:color="auto" w:sz="4" w:space="0"/>
              <w:left w:val="single" w:color="auto" w:sz="4" w:space="0"/>
              <w:bottom w:val="single" w:color="auto" w:sz="4" w:space="0"/>
              <w:right w:val="thinThickSmallGap" w:color="auto" w:sz="24" w:space="0"/>
            </w:tcBorders>
            <w:noWrap/>
            <w:vAlign w:val="center"/>
          </w:tcPr>
          <w:p w14:paraId="102898C2">
            <w:pPr>
              <w:widowControl/>
              <w:jc w:val="left"/>
              <w:textAlignment w:val="center"/>
              <w:rPr>
                <w:rFonts w:hint="eastAsia" w:ascii="宋体" w:hAnsi="宋体" w:cs="宋体"/>
                <w:color w:val="000000" w:themeColor="text1"/>
                <w:sz w:val="24"/>
              </w:rPr>
            </w:pPr>
          </w:p>
        </w:tc>
      </w:tr>
      <w:tr w14:paraId="4D710F36">
        <w:tblPrEx>
          <w:tblCellMar>
            <w:top w:w="0" w:type="dxa"/>
            <w:left w:w="108" w:type="dxa"/>
            <w:bottom w:w="0" w:type="dxa"/>
            <w:right w:w="108" w:type="dxa"/>
          </w:tblCellMar>
        </w:tblPrEx>
        <w:trPr>
          <w:trHeight w:val="553" w:hRule="atLeast"/>
        </w:trPr>
        <w:tc>
          <w:tcPr>
            <w:tcW w:w="698" w:type="dxa"/>
            <w:tcBorders>
              <w:top w:val="single" w:color="auto" w:sz="4" w:space="0"/>
              <w:left w:val="thinThickSmallGap" w:color="auto" w:sz="24" w:space="0"/>
              <w:bottom w:val="single" w:color="auto" w:sz="4" w:space="0"/>
              <w:right w:val="single" w:color="auto" w:sz="4" w:space="0"/>
            </w:tcBorders>
            <w:noWrap/>
            <w:vAlign w:val="center"/>
          </w:tcPr>
          <w:p w14:paraId="3BBC166F">
            <w:pPr>
              <w:widowControl/>
              <w:jc w:val="center"/>
              <w:textAlignment w:val="center"/>
              <w:rPr>
                <w:rFonts w:hint="eastAsia" w:ascii="宋体" w:hAnsi="宋体" w:cs="宋体"/>
                <w:color w:val="000000" w:themeColor="text1"/>
                <w:kern w:val="0"/>
                <w:sz w:val="24"/>
              </w:rPr>
            </w:pPr>
            <w:r>
              <w:rPr>
                <w:rFonts w:hint="eastAsia" w:ascii="宋体" w:hAnsi="宋体" w:cs="宋体"/>
                <w:color w:val="000000" w:themeColor="text1"/>
                <w:kern w:val="0"/>
                <w:sz w:val="24"/>
              </w:rPr>
              <w:t>6</w:t>
            </w:r>
          </w:p>
        </w:tc>
        <w:tc>
          <w:tcPr>
            <w:tcW w:w="1527" w:type="dxa"/>
            <w:tcBorders>
              <w:top w:val="single" w:color="auto" w:sz="4" w:space="0"/>
              <w:left w:val="single" w:color="auto" w:sz="4" w:space="0"/>
              <w:bottom w:val="single" w:color="auto" w:sz="4" w:space="0"/>
              <w:right w:val="single" w:color="auto" w:sz="4" w:space="0"/>
            </w:tcBorders>
            <w:noWrap/>
            <w:vAlign w:val="center"/>
          </w:tcPr>
          <w:p w14:paraId="39B582DB">
            <w:pPr>
              <w:widowControl/>
              <w:jc w:val="left"/>
              <w:textAlignment w:val="center"/>
              <w:rPr>
                <w:rFonts w:hint="eastAsia" w:ascii="宋体" w:hAnsi="宋体" w:cs="宋体"/>
                <w:color w:val="000000" w:themeColor="text1"/>
                <w:kern w:val="0"/>
                <w:sz w:val="24"/>
              </w:rPr>
            </w:pPr>
            <w:r>
              <w:rPr>
                <w:rFonts w:hint="eastAsia" w:ascii="宋体" w:hAnsi="宋体" w:cs="宋体"/>
                <w:color w:val="000000" w:themeColor="text1"/>
                <w:kern w:val="0"/>
                <w:sz w:val="24"/>
              </w:rPr>
              <w:t>质量员</w:t>
            </w:r>
          </w:p>
        </w:tc>
        <w:tc>
          <w:tcPr>
            <w:tcW w:w="1300" w:type="dxa"/>
            <w:tcBorders>
              <w:top w:val="single" w:color="auto" w:sz="4" w:space="0"/>
              <w:left w:val="single" w:color="auto" w:sz="4" w:space="0"/>
              <w:bottom w:val="single" w:color="auto" w:sz="4" w:space="0"/>
              <w:right w:val="single" w:color="auto" w:sz="4" w:space="0"/>
            </w:tcBorders>
            <w:noWrap/>
            <w:vAlign w:val="center"/>
          </w:tcPr>
          <w:p w14:paraId="0369EB65">
            <w:pPr>
              <w:widowControl/>
              <w:jc w:val="left"/>
              <w:textAlignment w:val="center"/>
              <w:rPr>
                <w:rFonts w:hint="eastAsia" w:ascii="宋体" w:hAnsi="宋体" w:cs="宋体"/>
                <w:color w:val="000000" w:themeColor="text1"/>
                <w:kern w:val="0"/>
                <w:sz w:val="24"/>
              </w:rPr>
            </w:pPr>
          </w:p>
        </w:tc>
        <w:tc>
          <w:tcPr>
            <w:tcW w:w="4768" w:type="dxa"/>
            <w:tcBorders>
              <w:top w:val="single" w:color="auto" w:sz="4" w:space="0"/>
              <w:left w:val="single" w:color="auto" w:sz="4" w:space="0"/>
              <w:bottom w:val="single" w:color="auto" w:sz="4" w:space="0"/>
              <w:right w:val="thinThickSmallGap" w:color="auto" w:sz="24" w:space="0"/>
            </w:tcBorders>
            <w:noWrap/>
            <w:vAlign w:val="center"/>
          </w:tcPr>
          <w:p w14:paraId="11784162">
            <w:pPr>
              <w:widowControl/>
              <w:jc w:val="left"/>
              <w:textAlignment w:val="center"/>
              <w:rPr>
                <w:rFonts w:hint="eastAsia" w:ascii="宋体" w:hAnsi="宋体" w:cs="宋体"/>
                <w:color w:val="000000" w:themeColor="text1"/>
                <w:kern w:val="0"/>
                <w:sz w:val="24"/>
              </w:rPr>
            </w:pPr>
          </w:p>
        </w:tc>
      </w:tr>
      <w:tr w14:paraId="4D50829F">
        <w:tblPrEx>
          <w:tblCellMar>
            <w:top w:w="0" w:type="dxa"/>
            <w:left w:w="108" w:type="dxa"/>
            <w:bottom w:w="0" w:type="dxa"/>
            <w:right w:w="108" w:type="dxa"/>
          </w:tblCellMar>
        </w:tblPrEx>
        <w:trPr>
          <w:trHeight w:val="553" w:hRule="atLeast"/>
        </w:trPr>
        <w:tc>
          <w:tcPr>
            <w:tcW w:w="698" w:type="dxa"/>
            <w:tcBorders>
              <w:top w:val="single" w:color="auto" w:sz="4" w:space="0"/>
              <w:left w:val="thinThickSmallGap" w:color="auto" w:sz="24" w:space="0"/>
              <w:bottom w:val="single" w:color="auto" w:sz="4" w:space="0"/>
              <w:right w:val="single" w:color="auto" w:sz="4" w:space="0"/>
            </w:tcBorders>
            <w:noWrap/>
            <w:vAlign w:val="center"/>
          </w:tcPr>
          <w:p w14:paraId="056176D1">
            <w:pPr>
              <w:widowControl/>
              <w:jc w:val="center"/>
              <w:textAlignment w:val="center"/>
              <w:rPr>
                <w:rFonts w:hint="eastAsia" w:ascii="宋体" w:hAnsi="宋体" w:cs="宋体"/>
                <w:color w:val="000000" w:themeColor="text1"/>
                <w:kern w:val="0"/>
                <w:sz w:val="24"/>
              </w:rPr>
            </w:pPr>
            <w:r>
              <w:rPr>
                <w:rFonts w:hint="eastAsia" w:ascii="宋体" w:hAnsi="宋体" w:cs="宋体"/>
                <w:color w:val="000000" w:themeColor="text1"/>
                <w:kern w:val="0"/>
                <w:sz w:val="24"/>
              </w:rPr>
              <w:t>7</w:t>
            </w:r>
          </w:p>
        </w:tc>
        <w:tc>
          <w:tcPr>
            <w:tcW w:w="1527" w:type="dxa"/>
            <w:tcBorders>
              <w:top w:val="single" w:color="auto" w:sz="4" w:space="0"/>
              <w:left w:val="single" w:color="auto" w:sz="4" w:space="0"/>
              <w:bottom w:val="single" w:color="auto" w:sz="4" w:space="0"/>
              <w:right w:val="single" w:color="auto" w:sz="4" w:space="0"/>
            </w:tcBorders>
            <w:noWrap/>
            <w:vAlign w:val="center"/>
          </w:tcPr>
          <w:p w14:paraId="0717EE7F">
            <w:pPr>
              <w:widowControl/>
              <w:jc w:val="left"/>
              <w:textAlignment w:val="center"/>
              <w:rPr>
                <w:color w:val="000000" w:themeColor="text1"/>
                <w:sz w:val="24"/>
              </w:rPr>
            </w:pPr>
            <w:r>
              <w:rPr>
                <w:rFonts w:hint="eastAsia" w:ascii="宋体" w:hAnsi="宋体" w:cs="宋体"/>
                <w:color w:val="000000" w:themeColor="text1"/>
                <w:kern w:val="0"/>
                <w:sz w:val="24"/>
              </w:rPr>
              <w:t>资料员</w:t>
            </w:r>
          </w:p>
        </w:tc>
        <w:tc>
          <w:tcPr>
            <w:tcW w:w="1300" w:type="dxa"/>
            <w:tcBorders>
              <w:top w:val="single" w:color="auto" w:sz="4" w:space="0"/>
              <w:left w:val="single" w:color="auto" w:sz="4" w:space="0"/>
              <w:bottom w:val="single" w:color="auto" w:sz="4" w:space="0"/>
              <w:right w:val="single" w:color="auto" w:sz="4" w:space="0"/>
            </w:tcBorders>
            <w:noWrap/>
            <w:vAlign w:val="center"/>
          </w:tcPr>
          <w:p w14:paraId="3C2524F3">
            <w:pPr>
              <w:widowControl/>
              <w:jc w:val="left"/>
              <w:textAlignment w:val="center"/>
              <w:rPr>
                <w:color w:val="000000" w:themeColor="text1"/>
                <w:sz w:val="24"/>
              </w:rPr>
            </w:pPr>
          </w:p>
        </w:tc>
        <w:tc>
          <w:tcPr>
            <w:tcW w:w="4768" w:type="dxa"/>
            <w:tcBorders>
              <w:top w:val="single" w:color="auto" w:sz="4" w:space="0"/>
              <w:left w:val="single" w:color="auto" w:sz="4" w:space="0"/>
              <w:bottom w:val="single" w:color="auto" w:sz="4" w:space="0"/>
              <w:right w:val="thinThickSmallGap" w:color="auto" w:sz="24" w:space="0"/>
            </w:tcBorders>
            <w:noWrap/>
            <w:vAlign w:val="center"/>
          </w:tcPr>
          <w:p w14:paraId="78075B8F">
            <w:pPr>
              <w:widowControl/>
              <w:jc w:val="left"/>
              <w:textAlignment w:val="center"/>
              <w:rPr>
                <w:color w:val="000000" w:themeColor="text1"/>
                <w:sz w:val="24"/>
              </w:rPr>
            </w:pPr>
          </w:p>
        </w:tc>
      </w:tr>
      <w:tr w14:paraId="29738A48">
        <w:tblPrEx>
          <w:tblCellMar>
            <w:top w:w="0" w:type="dxa"/>
            <w:left w:w="108" w:type="dxa"/>
            <w:bottom w:w="0" w:type="dxa"/>
            <w:right w:w="108" w:type="dxa"/>
          </w:tblCellMar>
        </w:tblPrEx>
        <w:trPr>
          <w:trHeight w:val="513" w:hRule="atLeast"/>
        </w:trPr>
        <w:tc>
          <w:tcPr>
            <w:tcW w:w="698" w:type="dxa"/>
            <w:tcBorders>
              <w:top w:val="single" w:color="auto" w:sz="4" w:space="0"/>
              <w:left w:val="thinThickSmallGap" w:color="auto" w:sz="24" w:space="0"/>
              <w:bottom w:val="single" w:color="auto" w:sz="4" w:space="0"/>
              <w:right w:val="single" w:color="auto" w:sz="4" w:space="0"/>
            </w:tcBorders>
            <w:noWrap/>
            <w:vAlign w:val="center"/>
          </w:tcPr>
          <w:p w14:paraId="24AFE967">
            <w:pPr>
              <w:widowControl/>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8</w:t>
            </w:r>
          </w:p>
        </w:tc>
        <w:tc>
          <w:tcPr>
            <w:tcW w:w="1527" w:type="dxa"/>
            <w:tcBorders>
              <w:top w:val="single" w:color="auto" w:sz="4" w:space="0"/>
              <w:left w:val="single" w:color="auto" w:sz="4" w:space="0"/>
              <w:bottom w:val="single" w:color="auto" w:sz="4" w:space="0"/>
              <w:right w:val="single" w:color="auto" w:sz="4" w:space="0"/>
            </w:tcBorders>
            <w:noWrap/>
            <w:vAlign w:val="center"/>
          </w:tcPr>
          <w:p w14:paraId="0B99CD84">
            <w:pPr>
              <w:widowControl/>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材料员</w:t>
            </w:r>
          </w:p>
        </w:tc>
        <w:tc>
          <w:tcPr>
            <w:tcW w:w="1300" w:type="dxa"/>
            <w:tcBorders>
              <w:top w:val="single" w:color="auto" w:sz="4" w:space="0"/>
              <w:left w:val="single" w:color="auto" w:sz="4" w:space="0"/>
              <w:bottom w:val="single" w:color="auto" w:sz="4" w:space="0"/>
              <w:right w:val="single" w:color="auto" w:sz="4" w:space="0"/>
            </w:tcBorders>
            <w:noWrap/>
            <w:vAlign w:val="center"/>
          </w:tcPr>
          <w:p w14:paraId="266E042A">
            <w:pPr>
              <w:widowControl/>
              <w:jc w:val="left"/>
              <w:textAlignment w:val="center"/>
              <w:rPr>
                <w:rFonts w:hint="eastAsia" w:ascii="宋体" w:hAnsi="宋体" w:cs="宋体"/>
                <w:color w:val="000000" w:themeColor="text1"/>
                <w:sz w:val="24"/>
              </w:rPr>
            </w:pPr>
          </w:p>
        </w:tc>
        <w:tc>
          <w:tcPr>
            <w:tcW w:w="4768" w:type="dxa"/>
            <w:tcBorders>
              <w:top w:val="single" w:color="auto" w:sz="4" w:space="0"/>
              <w:left w:val="single" w:color="auto" w:sz="4" w:space="0"/>
              <w:bottom w:val="single" w:color="auto" w:sz="4" w:space="0"/>
              <w:right w:val="thinThickSmallGap" w:color="auto" w:sz="24" w:space="0"/>
            </w:tcBorders>
            <w:noWrap/>
            <w:vAlign w:val="center"/>
          </w:tcPr>
          <w:p w14:paraId="65A29679">
            <w:pPr>
              <w:widowControl/>
              <w:jc w:val="left"/>
              <w:textAlignment w:val="center"/>
              <w:rPr>
                <w:rFonts w:hint="eastAsia" w:ascii="宋体" w:hAnsi="宋体" w:cs="宋体"/>
                <w:color w:val="000000" w:themeColor="text1"/>
                <w:sz w:val="24"/>
              </w:rPr>
            </w:pPr>
          </w:p>
        </w:tc>
      </w:tr>
      <w:tr w14:paraId="573F0648">
        <w:tblPrEx>
          <w:tblCellMar>
            <w:top w:w="0" w:type="dxa"/>
            <w:left w:w="108" w:type="dxa"/>
            <w:bottom w:w="0" w:type="dxa"/>
            <w:right w:w="108" w:type="dxa"/>
          </w:tblCellMar>
        </w:tblPrEx>
        <w:trPr>
          <w:trHeight w:val="513" w:hRule="atLeast"/>
        </w:trPr>
        <w:tc>
          <w:tcPr>
            <w:tcW w:w="698" w:type="dxa"/>
            <w:tcBorders>
              <w:top w:val="single" w:color="auto" w:sz="4" w:space="0"/>
              <w:left w:val="thinThickSmallGap" w:color="auto" w:sz="24" w:space="0"/>
              <w:bottom w:val="thinThickSmallGap" w:color="auto" w:sz="24" w:space="0"/>
              <w:right w:val="single" w:color="auto" w:sz="4" w:space="0"/>
            </w:tcBorders>
            <w:noWrap/>
            <w:vAlign w:val="center"/>
          </w:tcPr>
          <w:p w14:paraId="508CBC54">
            <w:pPr>
              <w:widowControl/>
              <w:jc w:val="center"/>
              <w:textAlignment w:val="center"/>
              <w:rPr>
                <w:rFonts w:hint="eastAsia" w:ascii="宋体" w:hAnsi="宋体" w:cs="宋体"/>
                <w:color w:val="000000" w:themeColor="text1"/>
                <w:kern w:val="0"/>
                <w:sz w:val="24"/>
              </w:rPr>
            </w:pPr>
            <w:r>
              <w:rPr>
                <w:rFonts w:hint="eastAsia" w:ascii="宋体" w:hAnsi="宋体" w:cs="宋体"/>
                <w:color w:val="000000" w:themeColor="text1"/>
                <w:kern w:val="0"/>
                <w:sz w:val="24"/>
              </w:rPr>
              <w:t>9</w:t>
            </w:r>
          </w:p>
        </w:tc>
        <w:tc>
          <w:tcPr>
            <w:tcW w:w="1527" w:type="dxa"/>
            <w:tcBorders>
              <w:top w:val="single" w:color="auto" w:sz="4" w:space="0"/>
              <w:left w:val="single" w:color="auto" w:sz="4" w:space="0"/>
              <w:bottom w:val="thinThickSmallGap" w:color="auto" w:sz="24" w:space="0"/>
              <w:right w:val="single" w:color="auto" w:sz="4" w:space="0"/>
            </w:tcBorders>
            <w:noWrap/>
            <w:vAlign w:val="center"/>
          </w:tcPr>
          <w:p w14:paraId="4221C9FE">
            <w:pPr>
              <w:widowControl/>
              <w:jc w:val="left"/>
              <w:textAlignment w:val="center"/>
              <w:rPr>
                <w:rFonts w:hint="eastAsia" w:ascii="宋体" w:hAnsi="宋体" w:cs="宋体"/>
                <w:color w:val="000000" w:themeColor="text1"/>
                <w:kern w:val="0"/>
                <w:sz w:val="24"/>
              </w:rPr>
            </w:pPr>
          </w:p>
        </w:tc>
        <w:tc>
          <w:tcPr>
            <w:tcW w:w="1300" w:type="dxa"/>
            <w:tcBorders>
              <w:top w:val="single" w:color="auto" w:sz="4" w:space="0"/>
              <w:left w:val="single" w:color="auto" w:sz="4" w:space="0"/>
              <w:bottom w:val="thinThickSmallGap" w:color="auto" w:sz="24" w:space="0"/>
              <w:right w:val="single" w:color="auto" w:sz="4" w:space="0"/>
            </w:tcBorders>
            <w:noWrap/>
            <w:vAlign w:val="center"/>
          </w:tcPr>
          <w:p w14:paraId="254EE932">
            <w:pPr>
              <w:widowControl/>
              <w:jc w:val="left"/>
              <w:textAlignment w:val="center"/>
              <w:rPr>
                <w:rFonts w:hint="eastAsia" w:ascii="宋体" w:hAnsi="宋体" w:cs="宋体"/>
                <w:color w:val="000000" w:themeColor="text1"/>
                <w:sz w:val="24"/>
              </w:rPr>
            </w:pPr>
          </w:p>
        </w:tc>
        <w:tc>
          <w:tcPr>
            <w:tcW w:w="4768" w:type="dxa"/>
            <w:tcBorders>
              <w:top w:val="single" w:color="auto" w:sz="4" w:space="0"/>
              <w:left w:val="single" w:color="auto" w:sz="4" w:space="0"/>
              <w:bottom w:val="thinThickSmallGap" w:color="auto" w:sz="24" w:space="0"/>
              <w:right w:val="thinThickSmallGap" w:color="auto" w:sz="24" w:space="0"/>
            </w:tcBorders>
            <w:noWrap/>
            <w:vAlign w:val="center"/>
          </w:tcPr>
          <w:p w14:paraId="5F54E76C">
            <w:pPr>
              <w:widowControl/>
              <w:jc w:val="left"/>
              <w:textAlignment w:val="center"/>
              <w:rPr>
                <w:rFonts w:hint="eastAsia" w:ascii="宋体" w:hAnsi="宋体" w:cs="宋体"/>
                <w:color w:val="000000" w:themeColor="text1"/>
                <w:sz w:val="24"/>
              </w:rPr>
            </w:pPr>
          </w:p>
        </w:tc>
      </w:tr>
    </w:tbl>
    <w:p w14:paraId="27E0CF26">
      <w:pPr>
        <w:rPr>
          <w:rFonts w:hint="eastAsia" w:ascii="宋体" w:hAnsi="宋体"/>
          <w:color w:val="000000" w:themeColor="text1"/>
          <w:sz w:val="24"/>
        </w:rPr>
      </w:pPr>
    </w:p>
    <w:bookmarkEnd w:id="15"/>
    <w:bookmarkEnd w:id="16"/>
    <w:bookmarkEnd w:id="17"/>
    <w:bookmarkEnd w:id="18"/>
    <w:bookmarkEnd w:id="19"/>
    <w:bookmarkEnd w:id="20"/>
    <w:bookmarkEnd w:id="21"/>
    <w:p w14:paraId="59EF26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Arial,Bold">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Garamond">
    <w:panose1 w:val="02020404030301010803"/>
    <w:charset w:val="00"/>
    <w:family w:val="roman"/>
    <w:pitch w:val="default"/>
    <w:sig w:usb0="00000287" w:usb1="00000000" w:usb2="00000000" w:usb3="00000000" w:csb0="0000009F" w:csb1="DFD7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Calisto MT">
    <w:panose1 w:val="02040603050505030304"/>
    <w:charset w:val="00"/>
    <w:family w:val="roman"/>
    <w:pitch w:val="default"/>
    <w:sig w:usb0="00000003" w:usb1="00000000" w:usb2="00000000" w:usb3="00000000" w:csb0="2000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FF50B0"/>
    <w:multiLevelType w:val="multilevel"/>
    <w:tmpl w:val="C0FF50B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465EFA"/>
    <w:rsid w:val="00465EFA"/>
    <w:rsid w:val="006252FD"/>
    <w:rsid w:val="009D7CA1"/>
    <w:rsid w:val="00D5688F"/>
    <w:rsid w:val="00DE1F48"/>
    <w:rsid w:val="00E570C1"/>
    <w:rsid w:val="017E630C"/>
    <w:rsid w:val="083245C7"/>
    <w:rsid w:val="09A60E80"/>
    <w:rsid w:val="0AEC6126"/>
    <w:rsid w:val="0C82125C"/>
    <w:rsid w:val="0E206395"/>
    <w:rsid w:val="0F0F11BE"/>
    <w:rsid w:val="0FD6350A"/>
    <w:rsid w:val="16BB14C8"/>
    <w:rsid w:val="1AC546B0"/>
    <w:rsid w:val="240F5DE0"/>
    <w:rsid w:val="28D40943"/>
    <w:rsid w:val="2FBD0A5E"/>
    <w:rsid w:val="30D103C3"/>
    <w:rsid w:val="335F5D76"/>
    <w:rsid w:val="588642CA"/>
    <w:rsid w:val="5EA06D09"/>
    <w:rsid w:val="5ECA48B8"/>
    <w:rsid w:val="66650AF6"/>
    <w:rsid w:val="6A68797B"/>
    <w:rsid w:val="6CED5810"/>
    <w:rsid w:val="7F547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0" w:semiHidden="0"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semiHidden="0"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0"/>
    <w:pPr>
      <w:spacing w:before="340" w:after="330" w:line="578" w:lineRule="auto"/>
      <w:outlineLvl w:val="0"/>
    </w:pPr>
    <w:rPr>
      <w:kern w:val="44"/>
      <w:sz w:val="44"/>
      <w:szCs w:val="44"/>
    </w:rPr>
  </w:style>
  <w:style w:type="paragraph" w:styleId="3">
    <w:name w:val="heading 2"/>
    <w:basedOn w:val="1"/>
    <w:next w:val="1"/>
    <w:link w:val="6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63"/>
    <w:qFormat/>
    <w:uiPriority w:val="0"/>
    <w:pPr>
      <w:keepNext/>
      <w:keepLines/>
      <w:spacing w:before="260" w:after="260" w:line="416" w:lineRule="auto"/>
      <w:outlineLvl w:val="2"/>
    </w:pPr>
    <w:rPr>
      <w:b/>
      <w:bCs/>
      <w:sz w:val="32"/>
      <w:szCs w:val="32"/>
    </w:rPr>
  </w:style>
  <w:style w:type="paragraph" w:styleId="5">
    <w:name w:val="heading 4"/>
    <w:basedOn w:val="1"/>
    <w:next w:val="1"/>
    <w:link w:val="6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5"/>
    <w:qFormat/>
    <w:uiPriority w:val="0"/>
    <w:pPr>
      <w:keepNext/>
      <w:keepLines/>
      <w:widowControl/>
      <w:spacing w:before="280" w:after="290" w:line="376" w:lineRule="auto"/>
      <w:jc w:val="left"/>
      <w:outlineLvl w:val="4"/>
    </w:pPr>
    <w:rPr>
      <w:b/>
      <w:bCs/>
      <w:kern w:val="0"/>
      <w:sz w:val="28"/>
      <w:szCs w:val="28"/>
    </w:rPr>
  </w:style>
  <w:style w:type="paragraph" w:styleId="7">
    <w:name w:val="heading 6"/>
    <w:basedOn w:val="1"/>
    <w:next w:val="1"/>
    <w:link w:val="66"/>
    <w:qFormat/>
    <w:uiPriority w:val="0"/>
    <w:pPr>
      <w:keepNext/>
      <w:keepLines/>
      <w:widowControl/>
      <w:spacing w:before="240" w:after="64" w:line="320" w:lineRule="auto"/>
      <w:jc w:val="left"/>
      <w:outlineLvl w:val="5"/>
    </w:pPr>
    <w:rPr>
      <w:rFonts w:ascii="Arial" w:hAnsi="Arial" w:eastAsia="黑体"/>
      <w:b/>
      <w:bCs/>
      <w:kern w:val="0"/>
      <w:sz w:val="24"/>
    </w:rPr>
  </w:style>
  <w:style w:type="paragraph" w:styleId="8">
    <w:name w:val="heading 7"/>
    <w:basedOn w:val="1"/>
    <w:next w:val="1"/>
    <w:link w:val="67"/>
    <w:qFormat/>
    <w:uiPriority w:val="0"/>
    <w:pPr>
      <w:keepNext/>
      <w:keepLines/>
      <w:spacing w:before="240" w:after="64" w:line="320" w:lineRule="auto"/>
      <w:outlineLvl w:val="6"/>
    </w:pPr>
    <w:rPr>
      <w:b/>
      <w:bCs/>
      <w:sz w:val="24"/>
    </w:rPr>
  </w:style>
  <w:style w:type="paragraph" w:styleId="9">
    <w:name w:val="heading 8"/>
    <w:basedOn w:val="1"/>
    <w:next w:val="1"/>
    <w:link w:val="68"/>
    <w:qFormat/>
    <w:uiPriority w:val="0"/>
    <w:pPr>
      <w:keepNext/>
      <w:keepLines/>
      <w:widowControl/>
      <w:spacing w:before="240" w:after="64" w:line="320" w:lineRule="auto"/>
      <w:jc w:val="left"/>
      <w:outlineLvl w:val="7"/>
    </w:pPr>
    <w:rPr>
      <w:rFonts w:ascii="Arial" w:hAnsi="Arial" w:eastAsia="黑体"/>
      <w:kern w:val="0"/>
      <w:sz w:val="24"/>
    </w:rPr>
  </w:style>
  <w:style w:type="paragraph" w:styleId="10">
    <w:name w:val="heading 9"/>
    <w:basedOn w:val="1"/>
    <w:next w:val="1"/>
    <w:link w:val="69"/>
    <w:qFormat/>
    <w:uiPriority w:val="0"/>
    <w:pPr>
      <w:keepNext/>
      <w:keepLines/>
      <w:widowControl/>
      <w:spacing w:before="240" w:after="64" w:line="320" w:lineRule="auto"/>
      <w:jc w:val="left"/>
      <w:outlineLvl w:val="8"/>
    </w:pPr>
    <w:rPr>
      <w:rFonts w:ascii="Arial" w:hAnsi="Arial" w:eastAsia="黑体"/>
      <w:kern w:val="0"/>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rFonts w:ascii="Calibri" w:hAnsi="Calibri"/>
      <w:sz w:val="18"/>
      <w:szCs w:val="18"/>
    </w:rPr>
  </w:style>
  <w:style w:type="paragraph" w:styleId="12">
    <w:name w:val="index 8"/>
    <w:basedOn w:val="1"/>
    <w:next w:val="1"/>
    <w:unhideWhenUsed/>
    <w:qFormat/>
    <w:uiPriority w:val="0"/>
    <w:pPr>
      <w:ind w:left="1400" w:leftChars="1400"/>
    </w:pPr>
    <w:rPr>
      <w:rFonts w:ascii="Calibri" w:hAnsi="Calibri"/>
    </w:rPr>
  </w:style>
  <w:style w:type="paragraph" w:styleId="13">
    <w:name w:val="Normal Indent"/>
    <w:basedOn w:val="1"/>
    <w:link w:val="70"/>
    <w:qFormat/>
    <w:uiPriority w:val="0"/>
    <w:pPr>
      <w:ind w:firstLine="420"/>
    </w:pPr>
    <w:rPr>
      <w:szCs w:val="20"/>
    </w:rPr>
  </w:style>
  <w:style w:type="paragraph" w:styleId="14">
    <w:name w:val="caption"/>
    <w:basedOn w:val="1"/>
    <w:next w:val="1"/>
    <w:qFormat/>
    <w:uiPriority w:val="0"/>
    <w:rPr>
      <w:rFonts w:ascii="Arial" w:hAnsi="Arial" w:eastAsia="黑体" w:cs="Arial"/>
      <w:sz w:val="20"/>
      <w:szCs w:val="20"/>
    </w:rPr>
  </w:style>
  <w:style w:type="paragraph" w:styleId="15">
    <w:name w:val="List Bullet"/>
    <w:basedOn w:val="1"/>
    <w:qFormat/>
    <w:uiPriority w:val="0"/>
  </w:style>
  <w:style w:type="paragraph" w:styleId="16">
    <w:name w:val="Document Map"/>
    <w:basedOn w:val="1"/>
    <w:link w:val="71"/>
    <w:qFormat/>
    <w:uiPriority w:val="0"/>
    <w:pPr>
      <w:widowControl/>
      <w:shd w:val="clear" w:color="auto" w:fill="000080"/>
      <w:jc w:val="left"/>
    </w:pPr>
    <w:rPr>
      <w:kern w:val="0"/>
      <w:szCs w:val="20"/>
    </w:rPr>
  </w:style>
  <w:style w:type="paragraph" w:styleId="17">
    <w:name w:val="annotation text"/>
    <w:basedOn w:val="1"/>
    <w:link w:val="72"/>
    <w:qFormat/>
    <w:uiPriority w:val="0"/>
    <w:pPr>
      <w:jc w:val="left"/>
    </w:pPr>
  </w:style>
  <w:style w:type="paragraph" w:styleId="18">
    <w:name w:val="Body Text 3"/>
    <w:basedOn w:val="1"/>
    <w:link w:val="73"/>
    <w:qFormat/>
    <w:uiPriority w:val="0"/>
    <w:pPr>
      <w:spacing w:after="120"/>
    </w:pPr>
    <w:rPr>
      <w:sz w:val="16"/>
      <w:szCs w:val="16"/>
    </w:rPr>
  </w:style>
  <w:style w:type="paragraph" w:styleId="19">
    <w:name w:val="Closing"/>
    <w:basedOn w:val="1"/>
    <w:link w:val="74"/>
    <w:qFormat/>
    <w:uiPriority w:val="0"/>
    <w:pPr>
      <w:ind w:left="100" w:leftChars="2100"/>
    </w:pPr>
    <w:rPr>
      <w:rFonts w:ascii="宋体" w:hAnsi="宋体"/>
      <w:color w:val="000000"/>
      <w:sz w:val="24"/>
      <w:szCs w:val="20"/>
    </w:rPr>
  </w:style>
  <w:style w:type="paragraph" w:styleId="20">
    <w:name w:val="Body Text"/>
    <w:basedOn w:val="1"/>
    <w:link w:val="75"/>
    <w:qFormat/>
    <w:uiPriority w:val="0"/>
    <w:pPr>
      <w:spacing w:line="360" w:lineRule="auto"/>
    </w:pPr>
    <w:rPr>
      <w:szCs w:val="20"/>
    </w:rPr>
  </w:style>
  <w:style w:type="paragraph" w:styleId="21">
    <w:name w:val="Body Text Indent"/>
    <w:basedOn w:val="1"/>
    <w:link w:val="76"/>
    <w:qFormat/>
    <w:uiPriority w:val="0"/>
    <w:pPr>
      <w:ind w:firstLine="830" w:firstLineChars="352"/>
    </w:pPr>
    <w:rPr>
      <w:rFonts w:ascii="仿宋_GB2312" w:eastAsia="仿宋_GB2312"/>
      <w:sz w:val="32"/>
      <w:szCs w:val="20"/>
    </w:rPr>
  </w:style>
  <w:style w:type="paragraph" w:styleId="22">
    <w:name w:val="Block Text"/>
    <w:basedOn w:val="1"/>
    <w:qFormat/>
    <w:uiPriority w:val="0"/>
    <w:pPr>
      <w:adjustRightInd w:val="0"/>
      <w:ind w:left="420" w:right="33"/>
      <w:jc w:val="left"/>
      <w:textAlignment w:val="baseline"/>
    </w:pPr>
    <w:rPr>
      <w:kern w:val="0"/>
      <w:sz w:val="24"/>
      <w:szCs w:val="20"/>
    </w:rPr>
  </w:style>
  <w:style w:type="paragraph" w:styleId="23">
    <w:name w:val="List Bullet 2"/>
    <w:basedOn w:val="15"/>
    <w:qFormat/>
    <w:uiPriority w:val="0"/>
    <w:pPr>
      <w:widowControl/>
      <w:tabs>
        <w:tab w:val="left" w:pos="420"/>
      </w:tabs>
      <w:spacing w:after="220" w:line="220" w:lineRule="atLeast"/>
      <w:ind w:left="2160" w:right="720" w:hanging="432"/>
      <w:jc w:val="left"/>
    </w:pPr>
    <w:rPr>
      <w:kern w:val="0"/>
      <w:szCs w:val="20"/>
    </w:rPr>
  </w:style>
  <w:style w:type="paragraph" w:styleId="24">
    <w:name w:val="toc 5"/>
    <w:basedOn w:val="1"/>
    <w:next w:val="1"/>
    <w:qFormat/>
    <w:uiPriority w:val="0"/>
    <w:pPr>
      <w:ind w:left="840"/>
      <w:jc w:val="left"/>
    </w:pPr>
    <w:rPr>
      <w:rFonts w:ascii="Calibri" w:hAnsi="Calibri"/>
      <w:sz w:val="18"/>
      <w:szCs w:val="18"/>
    </w:rPr>
  </w:style>
  <w:style w:type="paragraph" w:styleId="25">
    <w:name w:val="toc 3"/>
    <w:basedOn w:val="1"/>
    <w:next w:val="1"/>
    <w:qFormat/>
    <w:uiPriority w:val="0"/>
    <w:pPr>
      <w:tabs>
        <w:tab w:val="left" w:pos="900"/>
        <w:tab w:val="left" w:pos="1080"/>
      </w:tabs>
      <w:ind w:left="840" w:leftChars="400"/>
    </w:pPr>
    <w:rPr>
      <w:rFonts w:ascii="宋体" w:hAnsi="宋体"/>
      <w:i/>
      <w:iCs/>
    </w:rPr>
  </w:style>
  <w:style w:type="paragraph" w:styleId="26">
    <w:name w:val="Plain Text"/>
    <w:basedOn w:val="1"/>
    <w:link w:val="77"/>
    <w:qFormat/>
    <w:uiPriority w:val="0"/>
    <w:rPr>
      <w:rFonts w:ascii="宋体" w:hAnsi="Courier New" w:cs="Courier New"/>
      <w:szCs w:val="21"/>
    </w:rPr>
  </w:style>
  <w:style w:type="paragraph" w:styleId="27">
    <w:name w:val="toc 8"/>
    <w:basedOn w:val="1"/>
    <w:next w:val="1"/>
    <w:qFormat/>
    <w:uiPriority w:val="0"/>
    <w:pPr>
      <w:ind w:left="1470"/>
      <w:jc w:val="left"/>
    </w:pPr>
    <w:rPr>
      <w:rFonts w:ascii="Calibri" w:hAnsi="Calibri"/>
      <w:sz w:val="18"/>
      <w:szCs w:val="18"/>
    </w:rPr>
  </w:style>
  <w:style w:type="paragraph" w:styleId="28">
    <w:name w:val="Date"/>
    <w:basedOn w:val="1"/>
    <w:next w:val="1"/>
    <w:link w:val="78"/>
    <w:qFormat/>
    <w:uiPriority w:val="0"/>
    <w:pPr>
      <w:ind w:left="100" w:leftChars="2500"/>
    </w:pPr>
  </w:style>
  <w:style w:type="paragraph" w:styleId="29">
    <w:name w:val="Body Text Indent 2"/>
    <w:basedOn w:val="1"/>
    <w:link w:val="79"/>
    <w:qFormat/>
    <w:uiPriority w:val="0"/>
    <w:pPr>
      <w:spacing w:line="540" w:lineRule="exact"/>
      <w:ind w:left="462" w:leftChars="220"/>
    </w:pPr>
    <w:rPr>
      <w:kern w:val="0"/>
      <w:sz w:val="24"/>
    </w:rPr>
  </w:style>
  <w:style w:type="paragraph" w:styleId="30">
    <w:name w:val="endnote text"/>
    <w:basedOn w:val="1"/>
    <w:link w:val="81"/>
    <w:qFormat/>
    <w:uiPriority w:val="0"/>
    <w:pPr>
      <w:snapToGrid w:val="0"/>
      <w:jc w:val="left"/>
    </w:pPr>
  </w:style>
  <w:style w:type="paragraph" w:styleId="31">
    <w:name w:val="Balloon Text"/>
    <w:basedOn w:val="1"/>
    <w:link w:val="82"/>
    <w:qFormat/>
    <w:uiPriority w:val="0"/>
    <w:rPr>
      <w:sz w:val="18"/>
      <w:szCs w:val="18"/>
    </w:rPr>
  </w:style>
  <w:style w:type="paragraph" w:styleId="32">
    <w:name w:val="footer"/>
    <w:basedOn w:val="1"/>
    <w:link w:val="60"/>
    <w:unhideWhenUsed/>
    <w:qFormat/>
    <w:uiPriority w:val="0"/>
    <w:pPr>
      <w:tabs>
        <w:tab w:val="center" w:pos="4153"/>
        <w:tab w:val="right" w:pos="8306"/>
      </w:tabs>
      <w:snapToGrid w:val="0"/>
      <w:jc w:val="left"/>
    </w:pPr>
    <w:rPr>
      <w:sz w:val="18"/>
      <w:szCs w:val="18"/>
    </w:rPr>
  </w:style>
  <w:style w:type="paragraph" w:styleId="33">
    <w:name w:val="header"/>
    <w:basedOn w:val="1"/>
    <w:link w:val="59"/>
    <w:unhideWhenUsed/>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style>
  <w:style w:type="paragraph" w:styleId="35">
    <w:name w:val="toc 4"/>
    <w:basedOn w:val="1"/>
    <w:next w:val="1"/>
    <w:qFormat/>
    <w:uiPriority w:val="0"/>
    <w:pPr>
      <w:ind w:left="630"/>
      <w:jc w:val="left"/>
    </w:pPr>
    <w:rPr>
      <w:rFonts w:ascii="Calibri" w:hAnsi="Calibri"/>
      <w:sz w:val="18"/>
      <w:szCs w:val="18"/>
    </w:rPr>
  </w:style>
  <w:style w:type="paragraph" w:styleId="36">
    <w:name w:val="index heading"/>
    <w:basedOn w:val="1"/>
    <w:next w:val="37"/>
    <w:qFormat/>
    <w:uiPriority w:val="0"/>
    <w:rPr>
      <w:szCs w:val="20"/>
    </w:rPr>
  </w:style>
  <w:style w:type="paragraph" w:styleId="37">
    <w:name w:val="index 1"/>
    <w:basedOn w:val="1"/>
    <w:next w:val="1"/>
    <w:autoRedefine/>
    <w:unhideWhenUsed/>
    <w:qFormat/>
    <w:uiPriority w:val="0"/>
  </w:style>
  <w:style w:type="paragraph" w:styleId="38">
    <w:name w:val="footnote text"/>
    <w:basedOn w:val="1"/>
    <w:link w:val="84"/>
    <w:qFormat/>
    <w:uiPriority w:val="0"/>
    <w:pPr>
      <w:autoSpaceDE w:val="0"/>
      <w:autoSpaceDN w:val="0"/>
      <w:adjustRightInd w:val="0"/>
      <w:snapToGrid w:val="0"/>
      <w:jc w:val="left"/>
    </w:pPr>
    <w:rPr>
      <w:sz w:val="18"/>
      <w:szCs w:val="18"/>
    </w:rPr>
  </w:style>
  <w:style w:type="paragraph" w:styleId="39">
    <w:name w:val="toc 6"/>
    <w:basedOn w:val="1"/>
    <w:next w:val="1"/>
    <w:qFormat/>
    <w:uiPriority w:val="0"/>
    <w:pPr>
      <w:ind w:left="1050"/>
      <w:jc w:val="left"/>
    </w:pPr>
    <w:rPr>
      <w:rFonts w:ascii="Calibri" w:hAnsi="Calibri"/>
      <w:sz w:val="18"/>
      <w:szCs w:val="18"/>
    </w:rPr>
  </w:style>
  <w:style w:type="paragraph" w:styleId="40">
    <w:name w:val="Body Text Indent 3"/>
    <w:basedOn w:val="1"/>
    <w:link w:val="85"/>
    <w:qFormat/>
    <w:uiPriority w:val="0"/>
    <w:pPr>
      <w:spacing w:line="360" w:lineRule="auto"/>
      <w:ind w:firstLine="420" w:firstLineChars="200"/>
    </w:pPr>
    <w:rPr>
      <w:szCs w:val="20"/>
    </w:rPr>
  </w:style>
  <w:style w:type="paragraph" w:styleId="41">
    <w:name w:val="toc 2"/>
    <w:basedOn w:val="1"/>
    <w:next w:val="1"/>
    <w:qFormat/>
    <w:uiPriority w:val="39"/>
    <w:pPr>
      <w:tabs>
        <w:tab w:val="right" w:leader="dot" w:pos="8302"/>
      </w:tabs>
      <w:jc w:val="left"/>
    </w:pPr>
    <w:rPr>
      <w:rFonts w:ascii="仿宋_GB2312" w:hAnsi="仿宋" w:eastAsia="仿宋_GB2312"/>
      <w:b/>
      <w:smallCaps/>
      <w:kern w:val="0"/>
      <w:szCs w:val="21"/>
    </w:rPr>
  </w:style>
  <w:style w:type="paragraph" w:styleId="42">
    <w:name w:val="toc 9"/>
    <w:basedOn w:val="1"/>
    <w:next w:val="1"/>
    <w:qFormat/>
    <w:uiPriority w:val="0"/>
    <w:pPr>
      <w:ind w:left="1680"/>
      <w:jc w:val="left"/>
    </w:pPr>
    <w:rPr>
      <w:rFonts w:ascii="Calibri" w:hAnsi="Calibri"/>
      <w:sz w:val="18"/>
      <w:szCs w:val="18"/>
    </w:rPr>
  </w:style>
  <w:style w:type="paragraph" w:styleId="43">
    <w:name w:val="Body Text 2"/>
    <w:basedOn w:val="1"/>
    <w:link w:val="87"/>
    <w:qFormat/>
    <w:uiPriority w:val="0"/>
  </w:style>
  <w:style w:type="paragraph" w:styleId="44">
    <w:name w:val="HTML Preformatted"/>
    <w:basedOn w:val="1"/>
    <w:link w:val="8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szCs w:val="20"/>
    </w:rPr>
  </w:style>
  <w:style w:type="paragraph" w:styleId="45">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6">
    <w:name w:val="Title"/>
    <w:basedOn w:val="1"/>
    <w:link w:val="90"/>
    <w:qFormat/>
    <w:uiPriority w:val="0"/>
    <w:pPr>
      <w:spacing w:before="240" w:after="60"/>
      <w:jc w:val="center"/>
      <w:outlineLvl w:val="0"/>
    </w:pPr>
    <w:rPr>
      <w:rFonts w:ascii="Arial" w:hAnsi="Arial"/>
      <w:b/>
      <w:bCs/>
      <w:sz w:val="32"/>
      <w:szCs w:val="32"/>
    </w:rPr>
  </w:style>
  <w:style w:type="paragraph" w:styleId="47">
    <w:name w:val="annotation subject"/>
    <w:basedOn w:val="17"/>
    <w:next w:val="17"/>
    <w:link w:val="91"/>
    <w:qFormat/>
    <w:uiPriority w:val="0"/>
    <w:rPr>
      <w:b/>
      <w:bCs/>
    </w:rPr>
  </w:style>
  <w:style w:type="paragraph" w:styleId="48">
    <w:name w:val="Body Text First Indent"/>
    <w:basedOn w:val="20"/>
    <w:link w:val="92"/>
    <w:qFormat/>
    <w:uiPriority w:val="0"/>
    <w:pPr>
      <w:spacing w:after="120" w:line="240" w:lineRule="auto"/>
      <w:ind w:firstLine="420" w:firstLineChars="100"/>
    </w:pPr>
    <w:rPr>
      <w:szCs w:val="24"/>
    </w:rPr>
  </w:style>
  <w:style w:type="table" w:styleId="50">
    <w:name w:val="Table Grid"/>
    <w:basedOn w:val="4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0"/>
    <w:rPr>
      <w:rFonts w:ascii="Tahoma" w:hAnsi="Tahoma" w:eastAsia="宋体" w:cs="Times New Roman"/>
      <w:b/>
      <w:bCs/>
      <w:spacing w:val="10"/>
      <w:sz w:val="24"/>
      <w:lang w:val="en-US" w:eastAsia="zh-CN" w:bidi="ar-SA"/>
    </w:rPr>
  </w:style>
  <w:style w:type="character" w:styleId="53">
    <w:name w:val="endnote reference"/>
    <w:unhideWhenUsed/>
    <w:qFormat/>
    <w:uiPriority w:val="0"/>
    <w:rPr>
      <w:vertAlign w:val="superscript"/>
    </w:rPr>
  </w:style>
  <w:style w:type="character" w:styleId="54">
    <w:name w:val="page number"/>
    <w:qFormat/>
    <w:uiPriority w:val="0"/>
    <w:rPr>
      <w:rFonts w:ascii="Times New Roman" w:hAnsi="Times New Roman" w:eastAsia="宋体" w:cs="Times New Roman"/>
    </w:rPr>
  </w:style>
  <w:style w:type="character" w:styleId="55">
    <w:name w:val="FollowedHyperlink"/>
    <w:qFormat/>
    <w:uiPriority w:val="99"/>
    <w:rPr>
      <w:rFonts w:ascii="Times New Roman" w:hAnsi="Times New Roman" w:eastAsia="宋体" w:cs="Times New Roman"/>
      <w:color w:val="800080"/>
      <w:u w:val="single"/>
    </w:rPr>
  </w:style>
  <w:style w:type="character" w:styleId="56">
    <w:name w:val="Hyperlink"/>
    <w:qFormat/>
    <w:uiPriority w:val="99"/>
    <w:rPr>
      <w:rFonts w:ascii="Times New Roman" w:hAnsi="Times New Roman" w:eastAsia="宋体" w:cs="Times New Roman"/>
      <w:color w:val="0000FF"/>
      <w:u w:val="single"/>
    </w:rPr>
  </w:style>
  <w:style w:type="character" w:styleId="57">
    <w:name w:val="annotation reference"/>
    <w:qFormat/>
    <w:uiPriority w:val="0"/>
    <w:rPr>
      <w:rFonts w:ascii="Times New Roman" w:hAnsi="Times New Roman" w:eastAsia="宋体" w:cs="Times New Roman"/>
      <w:sz w:val="21"/>
      <w:szCs w:val="21"/>
    </w:rPr>
  </w:style>
  <w:style w:type="character" w:styleId="58">
    <w:name w:val="footnote reference"/>
    <w:qFormat/>
    <w:uiPriority w:val="0"/>
    <w:rPr>
      <w:rFonts w:ascii="Times New Roman" w:hAnsi="Times New Roman" w:eastAsia="宋体" w:cs="Times New Roman"/>
      <w:vertAlign w:val="superscript"/>
    </w:rPr>
  </w:style>
  <w:style w:type="character" w:customStyle="1" w:styleId="59">
    <w:name w:val="页眉 字符"/>
    <w:basedOn w:val="51"/>
    <w:link w:val="33"/>
    <w:qFormat/>
    <w:uiPriority w:val="0"/>
    <w:rPr>
      <w:sz w:val="18"/>
      <w:szCs w:val="18"/>
    </w:rPr>
  </w:style>
  <w:style w:type="character" w:customStyle="1" w:styleId="60">
    <w:name w:val="页脚 字符"/>
    <w:basedOn w:val="51"/>
    <w:link w:val="32"/>
    <w:qFormat/>
    <w:uiPriority w:val="0"/>
    <w:rPr>
      <w:sz w:val="18"/>
      <w:szCs w:val="18"/>
    </w:rPr>
  </w:style>
  <w:style w:type="character" w:customStyle="1" w:styleId="61">
    <w:name w:val="标题 1 字符"/>
    <w:basedOn w:val="51"/>
    <w:link w:val="2"/>
    <w:qFormat/>
    <w:uiPriority w:val="0"/>
    <w:rPr>
      <w:rFonts w:ascii="Times New Roman" w:hAnsi="Times New Roman" w:eastAsia="宋体" w:cs="Times New Roman"/>
      <w:kern w:val="44"/>
      <w:sz w:val="44"/>
      <w:szCs w:val="44"/>
    </w:rPr>
  </w:style>
  <w:style w:type="character" w:customStyle="1" w:styleId="62">
    <w:name w:val="标题 2 字符"/>
    <w:basedOn w:val="51"/>
    <w:link w:val="3"/>
    <w:qFormat/>
    <w:uiPriority w:val="0"/>
    <w:rPr>
      <w:rFonts w:ascii="Arial" w:hAnsi="Arial" w:eastAsia="黑体" w:cs="Times New Roman"/>
      <w:b/>
      <w:bCs/>
      <w:sz w:val="32"/>
      <w:szCs w:val="32"/>
    </w:rPr>
  </w:style>
  <w:style w:type="character" w:customStyle="1" w:styleId="63">
    <w:name w:val="标题 3 字符"/>
    <w:basedOn w:val="51"/>
    <w:link w:val="4"/>
    <w:qFormat/>
    <w:uiPriority w:val="0"/>
    <w:rPr>
      <w:rFonts w:ascii="Times New Roman" w:hAnsi="Times New Roman" w:eastAsia="宋体" w:cs="Times New Roman"/>
      <w:b/>
      <w:bCs/>
      <w:sz w:val="32"/>
      <w:szCs w:val="32"/>
    </w:rPr>
  </w:style>
  <w:style w:type="character" w:customStyle="1" w:styleId="64">
    <w:name w:val="标题 4 字符"/>
    <w:basedOn w:val="51"/>
    <w:link w:val="5"/>
    <w:qFormat/>
    <w:uiPriority w:val="0"/>
    <w:rPr>
      <w:rFonts w:ascii="Arial" w:hAnsi="Arial" w:eastAsia="黑体" w:cs="Times New Roman"/>
      <w:b/>
      <w:bCs/>
      <w:sz w:val="28"/>
      <w:szCs w:val="28"/>
    </w:rPr>
  </w:style>
  <w:style w:type="character" w:customStyle="1" w:styleId="65">
    <w:name w:val="标题 5 字符"/>
    <w:basedOn w:val="51"/>
    <w:link w:val="6"/>
    <w:qFormat/>
    <w:uiPriority w:val="0"/>
    <w:rPr>
      <w:rFonts w:ascii="Times New Roman" w:hAnsi="Times New Roman" w:eastAsia="宋体" w:cs="Times New Roman"/>
      <w:b/>
      <w:bCs/>
      <w:kern w:val="0"/>
      <w:sz w:val="28"/>
      <w:szCs w:val="28"/>
    </w:rPr>
  </w:style>
  <w:style w:type="character" w:customStyle="1" w:styleId="66">
    <w:name w:val="标题 6 字符"/>
    <w:basedOn w:val="51"/>
    <w:link w:val="7"/>
    <w:qFormat/>
    <w:uiPriority w:val="0"/>
    <w:rPr>
      <w:rFonts w:ascii="Arial" w:hAnsi="Arial" w:eastAsia="黑体" w:cs="Times New Roman"/>
      <w:b/>
      <w:bCs/>
      <w:kern w:val="0"/>
      <w:sz w:val="24"/>
      <w:szCs w:val="24"/>
    </w:rPr>
  </w:style>
  <w:style w:type="character" w:customStyle="1" w:styleId="67">
    <w:name w:val="标题 7 字符"/>
    <w:basedOn w:val="51"/>
    <w:link w:val="8"/>
    <w:qFormat/>
    <w:uiPriority w:val="0"/>
    <w:rPr>
      <w:rFonts w:ascii="Times New Roman" w:hAnsi="Times New Roman" w:eastAsia="宋体" w:cs="Times New Roman"/>
      <w:b/>
      <w:bCs/>
      <w:sz w:val="24"/>
      <w:szCs w:val="24"/>
    </w:rPr>
  </w:style>
  <w:style w:type="character" w:customStyle="1" w:styleId="68">
    <w:name w:val="标题 8 字符"/>
    <w:basedOn w:val="51"/>
    <w:link w:val="9"/>
    <w:qFormat/>
    <w:uiPriority w:val="0"/>
    <w:rPr>
      <w:rFonts w:ascii="Arial" w:hAnsi="Arial" w:eastAsia="黑体" w:cs="Times New Roman"/>
      <w:kern w:val="0"/>
      <w:sz w:val="24"/>
      <w:szCs w:val="24"/>
    </w:rPr>
  </w:style>
  <w:style w:type="character" w:customStyle="1" w:styleId="69">
    <w:name w:val="标题 9 字符"/>
    <w:basedOn w:val="51"/>
    <w:link w:val="10"/>
    <w:qFormat/>
    <w:uiPriority w:val="0"/>
    <w:rPr>
      <w:rFonts w:ascii="Arial" w:hAnsi="Arial" w:eastAsia="黑体" w:cs="Times New Roman"/>
      <w:kern w:val="0"/>
      <w:szCs w:val="21"/>
    </w:rPr>
  </w:style>
  <w:style w:type="character" w:customStyle="1" w:styleId="70">
    <w:name w:val="正文缩进 字符"/>
    <w:link w:val="13"/>
    <w:qFormat/>
    <w:uiPriority w:val="0"/>
    <w:rPr>
      <w:rFonts w:ascii="Times New Roman" w:hAnsi="Times New Roman" w:eastAsia="宋体" w:cs="Times New Roman"/>
      <w:szCs w:val="20"/>
    </w:rPr>
  </w:style>
  <w:style w:type="character" w:customStyle="1" w:styleId="71">
    <w:name w:val="文档结构图 字符"/>
    <w:basedOn w:val="51"/>
    <w:link w:val="16"/>
    <w:qFormat/>
    <w:uiPriority w:val="0"/>
    <w:rPr>
      <w:rFonts w:ascii="Times New Roman" w:hAnsi="Times New Roman" w:eastAsia="宋体" w:cs="Times New Roman"/>
      <w:kern w:val="0"/>
      <w:szCs w:val="20"/>
      <w:shd w:val="clear" w:color="auto" w:fill="000080"/>
    </w:rPr>
  </w:style>
  <w:style w:type="character" w:customStyle="1" w:styleId="72">
    <w:name w:val="批注文字 字符"/>
    <w:basedOn w:val="51"/>
    <w:link w:val="17"/>
    <w:qFormat/>
    <w:uiPriority w:val="0"/>
    <w:rPr>
      <w:rFonts w:ascii="Times New Roman" w:hAnsi="Times New Roman" w:eastAsia="宋体" w:cs="Times New Roman"/>
      <w:szCs w:val="24"/>
    </w:rPr>
  </w:style>
  <w:style w:type="character" w:customStyle="1" w:styleId="73">
    <w:name w:val="正文文本 3 字符"/>
    <w:basedOn w:val="51"/>
    <w:link w:val="18"/>
    <w:qFormat/>
    <w:uiPriority w:val="0"/>
    <w:rPr>
      <w:rFonts w:ascii="Times New Roman" w:hAnsi="Times New Roman" w:eastAsia="宋体" w:cs="Times New Roman"/>
      <w:sz w:val="16"/>
      <w:szCs w:val="16"/>
    </w:rPr>
  </w:style>
  <w:style w:type="character" w:customStyle="1" w:styleId="74">
    <w:name w:val="结束语 字符"/>
    <w:basedOn w:val="51"/>
    <w:link w:val="19"/>
    <w:qFormat/>
    <w:uiPriority w:val="0"/>
    <w:rPr>
      <w:rFonts w:ascii="宋体" w:hAnsi="宋体" w:eastAsia="宋体" w:cs="Times New Roman"/>
      <w:color w:val="000000"/>
      <w:sz w:val="24"/>
      <w:szCs w:val="20"/>
    </w:rPr>
  </w:style>
  <w:style w:type="character" w:customStyle="1" w:styleId="75">
    <w:name w:val="正文文本 字符"/>
    <w:basedOn w:val="51"/>
    <w:link w:val="20"/>
    <w:qFormat/>
    <w:uiPriority w:val="0"/>
    <w:rPr>
      <w:rFonts w:ascii="Times New Roman" w:hAnsi="Times New Roman" w:eastAsia="宋体" w:cs="Times New Roman"/>
      <w:szCs w:val="20"/>
    </w:rPr>
  </w:style>
  <w:style w:type="character" w:customStyle="1" w:styleId="76">
    <w:name w:val="正文文本缩进 字符"/>
    <w:basedOn w:val="51"/>
    <w:link w:val="21"/>
    <w:qFormat/>
    <w:uiPriority w:val="0"/>
    <w:rPr>
      <w:rFonts w:ascii="仿宋_GB2312" w:hAnsi="Times New Roman" w:eastAsia="仿宋_GB2312" w:cs="Times New Roman"/>
      <w:sz w:val="32"/>
      <w:szCs w:val="20"/>
    </w:rPr>
  </w:style>
  <w:style w:type="character" w:customStyle="1" w:styleId="77">
    <w:name w:val="纯文本 字符1"/>
    <w:basedOn w:val="51"/>
    <w:link w:val="26"/>
    <w:qFormat/>
    <w:uiPriority w:val="0"/>
    <w:rPr>
      <w:rFonts w:ascii="宋体" w:hAnsi="Courier New" w:eastAsia="宋体" w:cs="Courier New"/>
      <w:szCs w:val="21"/>
    </w:rPr>
  </w:style>
  <w:style w:type="character" w:customStyle="1" w:styleId="78">
    <w:name w:val="日期 字符"/>
    <w:basedOn w:val="51"/>
    <w:link w:val="28"/>
    <w:qFormat/>
    <w:uiPriority w:val="0"/>
    <w:rPr>
      <w:rFonts w:ascii="Times New Roman" w:hAnsi="Times New Roman" w:eastAsia="宋体" w:cs="Times New Roman"/>
      <w:szCs w:val="24"/>
    </w:rPr>
  </w:style>
  <w:style w:type="character" w:customStyle="1" w:styleId="79">
    <w:name w:val="正文文本缩进 2 字符"/>
    <w:basedOn w:val="51"/>
    <w:link w:val="29"/>
    <w:qFormat/>
    <w:uiPriority w:val="0"/>
    <w:rPr>
      <w:rFonts w:ascii="Times New Roman" w:hAnsi="Times New Roman" w:eastAsia="宋体" w:cs="Times New Roman"/>
      <w:kern w:val="0"/>
      <w:sz w:val="24"/>
      <w:szCs w:val="24"/>
    </w:rPr>
  </w:style>
  <w:style w:type="character" w:customStyle="1" w:styleId="80">
    <w:name w:val="尾注文本 Char"/>
    <w:basedOn w:val="51"/>
    <w:qFormat/>
    <w:uiPriority w:val="0"/>
    <w:rPr>
      <w:rFonts w:ascii="Times New Roman" w:hAnsi="Times New Roman" w:eastAsia="宋体" w:cs="Times New Roman"/>
      <w:szCs w:val="24"/>
    </w:rPr>
  </w:style>
  <w:style w:type="character" w:customStyle="1" w:styleId="81">
    <w:name w:val="尾注文本 字符"/>
    <w:link w:val="30"/>
    <w:qFormat/>
    <w:uiPriority w:val="0"/>
    <w:rPr>
      <w:rFonts w:ascii="Times New Roman" w:hAnsi="Times New Roman" w:eastAsia="宋体" w:cs="Times New Roman"/>
      <w:szCs w:val="24"/>
    </w:rPr>
  </w:style>
  <w:style w:type="character" w:customStyle="1" w:styleId="82">
    <w:name w:val="批注框文本 字符"/>
    <w:basedOn w:val="51"/>
    <w:link w:val="31"/>
    <w:qFormat/>
    <w:uiPriority w:val="0"/>
    <w:rPr>
      <w:rFonts w:ascii="Times New Roman" w:hAnsi="Times New Roman" w:eastAsia="宋体" w:cs="Times New Roman"/>
      <w:sz w:val="18"/>
      <w:szCs w:val="18"/>
    </w:rPr>
  </w:style>
  <w:style w:type="character" w:customStyle="1" w:styleId="83">
    <w:name w:val="脚注文本 Char"/>
    <w:basedOn w:val="51"/>
    <w:qFormat/>
    <w:uiPriority w:val="0"/>
    <w:rPr>
      <w:rFonts w:ascii="Times New Roman" w:hAnsi="Times New Roman" w:eastAsia="宋体" w:cs="Times New Roman"/>
      <w:sz w:val="18"/>
      <w:szCs w:val="18"/>
    </w:rPr>
  </w:style>
  <w:style w:type="character" w:customStyle="1" w:styleId="84">
    <w:name w:val="脚注文本 字符"/>
    <w:link w:val="38"/>
    <w:qFormat/>
    <w:uiPriority w:val="0"/>
    <w:rPr>
      <w:rFonts w:ascii="Times New Roman" w:hAnsi="Times New Roman" w:eastAsia="宋体" w:cs="Times New Roman"/>
      <w:sz w:val="18"/>
      <w:szCs w:val="18"/>
    </w:rPr>
  </w:style>
  <w:style w:type="character" w:customStyle="1" w:styleId="85">
    <w:name w:val="正文文本缩进 3 字符"/>
    <w:basedOn w:val="51"/>
    <w:link w:val="40"/>
    <w:qFormat/>
    <w:uiPriority w:val="0"/>
    <w:rPr>
      <w:rFonts w:ascii="Times New Roman" w:hAnsi="Times New Roman" w:eastAsia="宋体" w:cs="Times New Roman"/>
      <w:szCs w:val="20"/>
    </w:rPr>
  </w:style>
  <w:style w:type="character" w:customStyle="1" w:styleId="86">
    <w:name w:val="正文文本 2 Char"/>
    <w:basedOn w:val="51"/>
    <w:qFormat/>
    <w:uiPriority w:val="0"/>
    <w:rPr>
      <w:rFonts w:ascii="Times New Roman" w:hAnsi="Times New Roman" w:eastAsia="宋体" w:cs="Times New Roman"/>
      <w:szCs w:val="24"/>
    </w:rPr>
  </w:style>
  <w:style w:type="character" w:customStyle="1" w:styleId="87">
    <w:name w:val="正文文本 2 字符"/>
    <w:link w:val="43"/>
    <w:qFormat/>
    <w:uiPriority w:val="0"/>
    <w:rPr>
      <w:rFonts w:ascii="Times New Roman" w:hAnsi="Times New Roman" w:eastAsia="宋体" w:cs="Times New Roman"/>
      <w:szCs w:val="24"/>
    </w:rPr>
  </w:style>
  <w:style w:type="character" w:customStyle="1" w:styleId="88">
    <w:name w:val="HTML 预设格式 Char"/>
    <w:basedOn w:val="51"/>
    <w:qFormat/>
    <w:uiPriority w:val="0"/>
    <w:rPr>
      <w:rFonts w:ascii="Courier New" w:hAnsi="Courier New" w:eastAsia="宋体" w:cs="Courier New"/>
      <w:sz w:val="20"/>
      <w:szCs w:val="20"/>
    </w:rPr>
  </w:style>
  <w:style w:type="character" w:customStyle="1" w:styleId="89">
    <w:name w:val="HTML 预设格式 字符"/>
    <w:link w:val="44"/>
    <w:qFormat/>
    <w:uiPriority w:val="0"/>
    <w:rPr>
      <w:rFonts w:ascii="Courier New" w:hAnsi="Courier New" w:eastAsia="宋体" w:cs="Times New Roman"/>
      <w:sz w:val="20"/>
      <w:szCs w:val="20"/>
    </w:rPr>
  </w:style>
  <w:style w:type="character" w:customStyle="1" w:styleId="90">
    <w:name w:val="标题 字符"/>
    <w:basedOn w:val="51"/>
    <w:link w:val="46"/>
    <w:qFormat/>
    <w:uiPriority w:val="0"/>
    <w:rPr>
      <w:rFonts w:ascii="Arial" w:hAnsi="Arial" w:eastAsia="宋体" w:cs="Times New Roman"/>
      <w:b/>
      <w:bCs/>
      <w:sz w:val="32"/>
      <w:szCs w:val="32"/>
    </w:rPr>
  </w:style>
  <w:style w:type="character" w:customStyle="1" w:styleId="91">
    <w:name w:val="批注主题 字符"/>
    <w:basedOn w:val="72"/>
    <w:link w:val="47"/>
    <w:qFormat/>
    <w:uiPriority w:val="0"/>
    <w:rPr>
      <w:rFonts w:ascii="Times New Roman" w:hAnsi="Times New Roman" w:eastAsia="宋体" w:cs="Times New Roman"/>
      <w:b/>
      <w:bCs/>
      <w:szCs w:val="24"/>
    </w:rPr>
  </w:style>
  <w:style w:type="character" w:customStyle="1" w:styleId="92">
    <w:name w:val="正文文本首行缩进 字符"/>
    <w:basedOn w:val="75"/>
    <w:link w:val="48"/>
    <w:qFormat/>
    <w:uiPriority w:val="0"/>
    <w:rPr>
      <w:rFonts w:ascii="Times New Roman" w:hAnsi="Times New Roman" w:eastAsia="宋体" w:cs="Times New Roman"/>
      <w:szCs w:val="24"/>
    </w:rPr>
  </w:style>
  <w:style w:type="character" w:customStyle="1" w:styleId="93">
    <w:name w:val="尾注文本 Char1"/>
    <w:qFormat/>
    <w:uiPriority w:val="0"/>
    <w:rPr>
      <w:rFonts w:ascii="宋体" w:hAnsi="宋体" w:eastAsia="宋体" w:cs="Times New Roman"/>
      <w:szCs w:val="24"/>
    </w:rPr>
  </w:style>
  <w:style w:type="character" w:customStyle="1" w:styleId="94">
    <w:name w:val="Char Char171"/>
    <w:qFormat/>
    <w:uiPriority w:val="0"/>
    <w:rPr>
      <w:rFonts w:ascii="Times New Roman" w:hAnsi="Times New Roman" w:eastAsia="宋体" w:cs="Times New Roman"/>
      <w:kern w:val="44"/>
      <w:sz w:val="44"/>
      <w:szCs w:val="44"/>
    </w:rPr>
  </w:style>
  <w:style w:type="character" w:customStyle="1" w:styleId="95">
    <w:name w:val="纯文本 Char2"/>
    <w:qFormat/>
    <w:uiPriority w:val="0"/>
    <w:rPr>
      <w:rFonts w:ascii="宋体" w:hAnsi="Courier New" w:eastAsia="宋体" w:cs="Courier New"/>
      <w:kern w:val="2"/>
      <w:sz w:val="21"/>
      <w:szCs w:val="21"/>
      <w:lang w:val="en-US" w:eastAsia="zh-CN" w:bidi="ar-SA"/>
    </w:rPr>
  </w:style>
  <w:style w:type="character" w:customStyle="1" w:styleId="96">
    <w:name w:val="纯文本 Char1"/>
    <w:qFormat/>
    <w:uiPriority w:val="0"/>
    <w:rPr>
      <w:rFonts w:ascii="宋体" w:hAnsi="Courier New" w:eastAsia="宋体" w:cs="Courier New"/>
      <w:kern w:val="2"/>
      <w:sz w:val="21"/>
      <w:szCs w:val="21"/>
      <w:lang w:val="en-US" w:eastAsia="zh-CN" w:bidi="ar-SA"/>
    </w:rPr>
  </w:style>
  <w:style w:type="character" w:customStyle="1" w:styleId="97">
    <w:name w:val="text_neiye_21"/>
    <w:qFormat/>
    <w:uiPriority w:val="0"/>
    <w:rPr>
      <w:rFonts w:ascii="方正小标宋简体" w:hAnsi="Times New Roman" w:eastAsia="方正小标宋简体" w:cs="Times New Roman"/>
      <w:color w:val="000000"/>
      <w:sz w:val="42"/>
      <w:szCs w:val="42"/>
    </w:rPr>
  </w:style>
  <w:style w:type="character" w:customStyle="1" w:styleId="98">
    <w:name w:val="Char Char211"/>
    <w:qFormat/>
    <w:uiPriority w:val="0"/>
    <w:rPr>
      <w:rFonts w:ascii="宋体" w:hAnsi="Times New Roman" w:eastAsia="宋体" w:cs="Times New Roman"/>
      <w:snapToGrid/>
      <w:kern w:val="0"/>
      <w:sz w:val="28"/>
      <w:szCs w:val="44"/>
    </w:rPr>
  </w:style>
  <w:style w:type="character" w:customStyle="1" w:styleId="99">
    <w:name w:val="Char Char141"/>
    <w:qFormat/>
    <w:uiPriority w:val="0"/>
    <w:rPr>
      <w:rFonts w:ascii="Times New Roman" w:hAnsi="Times New Roman" w:eastAsia="宋体" w:cs="Times New Roman"/>
      <w:kern w:val="2"/>
      <w:sz w:val="21"/>
      <w:szCs w:val="24"/>
    </w:rPr>
  </w:style>
  <w:style w:type="character" w:customStyle="1" w:styleId="100">
    <w:name w:val="f141"/>
    <w:qFormat/>
    <w:uiPriority w:val="0"/>
    <w:rPr>
      <w:rFonts w:ascii="Times New Roman" w:hAnsi="Times New Roman" w:eastAsia="宋体" w:cs="Times New Roman"/>
      <w:sz w:val="21"/>
      <w:szCs w:val="21"/>
    </w:rPr>
  </w:style>
  <w:style w:type="character" w:customStyle="1" w:styleId="101">
    <w:name w:val="页脚 Char1"/>
    <w:qFormat/>
    <w:uiPriority w:val="0"/>
    <w:rPr>
      <w:rFonts w:ascii="Times New Roman" w:hAnsi="Times New Roman" w:eastAsia="宋体" w:cs="Times New Roman"/>
      <w:kern w:val="2"/>
      <w:sz w:val="18"/>
      <w:szCs w:val="18"/>
      <w:lang w:val="en-US" w:eastAsia="zh-CN" w:bidi="ar-SA"/>
    </w:rPr>
  </w:style>
  <w:style w:type="character" w:customStyle="1" w:styleId="102">
    <w:name w:val="19"/>
    <w:qFormat/>
    <w:uiPriority w:val="0"/>
    <w:rPr>
      <w:rFonts w:hint="default" w:ascii="Tahoma" w:hAnsi="Tahoma" w:eastAsia="宋体" w:cs="Tahoma"/>
      <w:b/>
      <w:bCs/>
      <w:spacing w:val="10"/>
      <w:sz w:val="24"/>
      <w:szCs w:val="24"/>
    </w:rPr>
  </w:style>
  <w:style w:type="character" w:customStyle="1" w:styleId="103">
    <w:name w:val="Footer-Even Char"/>
    <w:qFormat/>
    <w:uiPriority w:val="0"/>
    <w:rPr>
      <w:rFonts w:ascii="Times New Roman" w:hAnsi="Times New Roman" w:eastAsia="宋体" w:cs="Times New Roman"/>
      <w:sz w:val="18"/>
      <w:szCs w:val="18"/>
      <w:lang w:val="en-US" w:eastAsia="zh-CN" w:bidi="ar-SA"/>
    </w:rPr>
  </w:style>
  <w:style w:type="character" w:customStyle="1" w:styleId="104">
    <w:name w:val="Default Char Char"/>
    <w:link w:val="105"/>
    <w:qFormat/>
    <w:uiPriority w:val="0"/>
    <w:rPr>
      <w:rFonts w:ascii="Arial,Bold" w:hAnsi="Arial,Bold" w:eastAsia="Times New Roman"/>
      <w:lang w:eastAsia="en-US"/>
    </w:rPr>
  </w:style>
  <w:style w:type="paragraph" w:customStyle="1" w:styleId="105">
    <w:name w:val="Default"/>
    <w:link w:val="104"/>
    <w:qFormat/>
    <w:uiPriority w:val="0"/>
    <w:pPr>
      <w:widowControl w:val="0"/>
      <w:autoSpaceDE w:val="0"/>
      <w:autoSpaceDN w:val="0"/>
      <w:adjustRightInd w:val="0"/>
    </w:pPr>
    <w:rPr>
      <w:rFonts w:ascii="Arial,Bold" w:hAnsi="Arial,Bold" w:eastAsia="Times New Roman" w:cstheme="minorBidi"/>
      <w:kern w:val="2"/>
      <w:sz w:val="21"/>
      <w:szCs w:val="22"/>
      <w:lang w:val="en-US" w:eastAsia="en-US" w:bidi="ar-SA"/>
    </w:rPr>
  </w:style>
  <w:style w:type="character" w:customStyle="1" w:styleId="106">
    <w:name w:val="Char Char131"/>
    <w:qFormat/>
    <w:uiPriority w:val="0"/>
    <w:rPr>
      <w:rFonts w:ascii="Times New Roman" w:hAnsi="Times New Roman" w:eastAsia="宋体" w:cs="Times New Roman"/>
      <w:kern w:val="2"/>
      <w:sz w:val="21"/>
      <w:szCs w:val="24"/>
    </w:rPr>
  </w:style>
  <w:style w:type="character" w:customStyle="1" w:styleId="107">
    <w:name w:val="Char Char14"/>
    <w:qFormat/>
    <w:uiPriority w:val="0"/>
    <w:rPr>
      <w:rFonts w:ascii="Times New Roman" w:hAnsi="Times New Roman" w:eastAsia="宋体" w:cs="Times New Roman"/>
      <w:kern w:val="2"/>
      <w:sz w:val="21"/>
      <w:szCs w:val="24"/>
    </w:rPr>
  </w:style>
  <w:style w:type="character" w:customStyle="1" w:styleId="108">
    <w:name w:val="text_neiye_32"/>
    <w:qFormat/>
    <w:uiPriority w:val="0"/>
    <w:rPr>
      <w:rFonts w:ascii="仿宋_GB2312" w:hAnsi="Times New Roman" w:eastAsia="仿宋_GB2312" w:cs="Times New Roman"/>
      <w:color w:val="000000"/>
      <w:sz w:val="30"/>
      <w:szCs w:val="30"/>
    </w:rPr>
  </w:style>
  <w:style w:type="character" w:customStyle="1" w:styleId="109">
    <w:name w:val="正文文本 2 Char1"/>
    <w:qFormat/>
    <w:uiPriority w:val="0"/>
    <w:rPr>
      <w:rFonts w:ascii="宋体" w:hAnsi="宋体" w:eastAsia="楷体_GB2312" w:cs="Times New Roman"/>
      <w:szCs w:val="24"/>
      <w:u w:val="single"/>
    </w:rPr>
  </w:style>
  <w:style w:type="character" w:customStyle="1" w:styleId="110">
    <w:name w:val="Char Char17"/>
    <w:qFormat/>
    <w:uiPriority w:val="0"/>
    <w:rPr>
      <w:rFonts w:ascii="Times New Roman" w:hAnsi="Times New Roman" w:eastAsia="宋体" w:cs="Times New Roman"/>
      <w:kern w:val="44"/>
      <w:sz w:val="44"/>
      <w:szCs w:val="44"/>
    </w:rPr>
  </w:style>
  <w:style w:type="character" w:customStyle="1" w:styleId="111">
    <w:name w:val="msoins"/>
    <w:qFormat/>
    <w:uiPriority w:val="0"/>
    <w:rPr>
      <w:rFonts w:ascii="Times New Roman" w:hAnsi="Times New Roman" w:eastAsia="宋体" w:cs="Times New Roman"/>
    </w:rPr>
  </w:style>
  <w:style w:type="character" w:customStyle="1" w:styleId="112">
    <w:name w:val="s10pv000000"/>
    <w:qFormat/>
    <w:uiPriority w:val="0"/>
    <w:rPr>
      <w:rFonts w:ascii="Times New Roman" w:hAnsi="Times New Roman" w:eastAsia="宋体" w:cs="Times New Roman"/>
    </w:rPr>
  </w:style>
  <w:style w:type="character" w:customStyle="1" w:styleId="113">
    <w:name w:val="msodel"/>
    <w:qFormat/>
    <w:uiPriority w:val="0"/>
    <w:rPr>
      <w:rFonts w:ascii="Times New Roman" w:hAnsi="Times New Roman" w:eastAsia="宋体" w:cs="Times New Roman"/>
    </w:rPr>
  </w:style>
  <w:style w:type="character" w:customStyle="1" w:styleId="114">
    <w:name w:val="正文文本缩进 2 Char1"/>
    <w:qFormat/>
    <w:uiPriority w:val="0"/>
    <w:rPr>
      <w:rFonts w:ascii="Times New Roman" w:hAnsi="Times New Roman" w:eastAsia="宋体" w:cs="Times New Roman"/>
      <w:kern w:val="2"/>
      <w:sz w:val="21"/>
      <w:szCs w:val="24"/>
    </w:rPr>
  </w:style>
  <w:style w:type="character" w:customStyle="1" w:styleId="115">
    <w:name w:val="Font Style17"/>
    <w:qFormat/>
    <w:uiPriority w:val="0"/>
    <w:rPr>
      <w:rFonts w:ascii="黑体" w:hAnsi="Times New Roman" w:eastAsia="黑体" w:cs="黑体"/>
      <w:sz w:val="28"/>
      <w:szCs w:val="28"/>
    </w:rPr>
  </w:style>
  <w:style w:type="character" w:customStyle="1" w:styleId="116">
    <w:name w:val="Char Char13"/>
    <w:qFormat/>
    <w:uiPriority w:val="0"/>
    <w:rPr>
      <w:rFonts w:ascii="Times New Roman" w:hAnsi="Times New Roman" w:eastAsia="宋体" w:cs="Times New Roman"/>
      <w:kern w:val="2"/>
      <w:sz w:val="21"/>
      <w:szCs w:val="24"/>
    </w:rPr>
  </w:style>
  <w:style w:type="character" w:customStyle="1" w:styleId="117">
    <w:name w:val="Char Char11"/>
    <w:qFormat/>
    <w:uiPriority w:val="0"/>
    <w:rPr>
      <w:rFonts w:ascii="宋体" w:hAnsi="Courier New" w:eastAsia="宋体" w:cs="Times New Roman"/>
      <w:szCs w:val="20"/>
    </w:rPr>
  </w:style>
  <w:style w:type="character" w:customStyle="1" w:styleId="118">
    <w:name w:val="纯文本 字符"/>
    <w:qFormat/>
    <w:uiPriority w:val="99"/>
    <w:rPr>
      <w:rFonts w:ascii="宋体" w:hAnsi="Courier New" w:eastAsia="宋体" w:cs="Courier New"/>
      <w:kern w:val="2"/>
      <w:sz w:val="21"/>
      <w:szCs w:val="21"/>
      <w:lang w:val="en-US" w:eastAsia="zh-CN" w:bidi="ar-SA"/>
    </w:rPr>
  </w:style>
  <w:style w:type="character" w:customStyle="1" w:styleId="119">
    <w:name w:val="p141"/>
    <w:qFormat/>
    <w:uiPriority w:val="0"/>
    <w:rPr>
      <w:rFonts w:ascii="Times New Roman" w:hAnsi="Times New Roman" w:eastAsia="宋体" w:cs="Times New Roman"/>
      <w:sz w:val="21"/>
      <w:szCs w:val="21"/>
    </w:rPr>
  </w:style>
  <w:style w:type="character" w:customStyle="1" w:styleId="120">
    <w:name w:val="批注文字 Char1"/>
    <w:qFormat/>
    <w:uiPriority w:val="0"/>
    <w:rPr>
      <w:rFonts w:ascii="Times New Roman" w:hAnsi="Times New Roman" w:eastAsia="宋体" w:cs="Times New Roman"/>
      <w:kern w:val="2"/>
      <w:sz w:val="21"/>
      <w:szCs w:val="24"/>
    </w:rPr>
  </w:style>
  <w:style w:type="character" w:customStyle="1" w:styleId="121">
    <w:name w:val="text_neiye_31"/>
    <w:qFormat/>
    <w:uiPriority w:val="0"/>
    <w:rPr>
      <w:rFonts w:ascii="仿宋_GB2312" w:hAnsi="Times New Roman" w:eastAsia="仿宋_GB2312" w:cs="Times New Roman"/>
      <w:color w:val="000000"/>
      <w:sz w:val="30"/>
      <w:szCs w:val="30"/>
    </w:rPr>
  </w:style>
  <w:style w:type="paragraph" w:customStyle="1" w:styleId="12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23">
    <w:name w:val="Char1 Char Char Char"/>
    <w:basedOn w:val="1"/>
    <w:qFormat/>
    <w:uiPriority w:val="0"/>
    <w:rPr>
      <w:szCs w:val="21"/>
    </w:rPr>
  </w:style>
  <w:style w:type="paragraph" w:customStyle="1" w:styleId="124">
    <w:name w:val="题注5"/>
    <w:basedOn w:val="1"/>
    <w:next w:val="14"/>
    <w:qFormat/>
    <w:uiPriority w:val="0"/>
    <w:pPr>
      <w:jc w:val="center"/>
    </w:pPr>
    <w:rPr>
      <w:b/>
      <w:color w:val="000000"/>
      <w:sz w:val="24"/>
      <w:szCs w:val="21"/>
    </w:rPr>
  </w:style>
  <w:style w:type="paragraph" w:customStyle="1" w:styleId="125">
    <w:name w:val="默认段落字体 Para Char"/>
    <w:basedOn w:val="1"/>
    <w:qFormat/>
    <w:uiPriority w:val="0"/>
    <w:rPr>
      <w:rFonts w:ascii="宋体" w:hAnsi="宋体"/>
      <w:b/>
      <w:sz w:val="28"/>
      <w:szCs w:val="28"/>
    </w:rPr>
  </w:style>
  <w:style w:type="paragraph" w:customStyle="1" w:styleId="126">
    <w:name w:val="样式 标题 2 + 宋体 五号 非加粗 黑色"/>
    <w:basedOn w:val="3"/>
    <w:qFormat/>
    <w:uiPriority w:val="0"/>
    <w:pPr>
      <w:tabs>
        <w:tab w:val="left" w:pos="360"/>
        <w:tab w:val="left" w:pos="780"/>
      </w:tabs>
      <w:adjustRightInd w:val="0"/>
      <w:spacing w:line="416" w:lineRule="atLeast"/>
      <w:ind w:left="780" w:hanging="360"/>
      <w:jc w:val="left"/>
      <w:textAlignment w:val="baseline"/>
    </w:pPr>
    <w:rPr>
      <w:rFonts w:ascii="宋体" w:hAnsi="宋体" w:eastAsia="宋体"/>
      <w:b w:val="0"/>
      <w:bCs w:val="0"/>
      <w:color w:val="000000"/>
      <w:kern w:val="0"/>
      <w:sz w:val="21"/>
      <w:szCs w:val="20"/>
    </w:rPr>
  </w:style>
  <w:style w:type="paragraph" w:customStyle="1" w:styleId="127">
    <w:name w:val="基准标题"/>
    <w:basedOn w:val="20"/>
    <w:next w:val="20"/>
    <w:qFormat/>
    <w:uiPriority w:val="0"/>
    <w:pPr>
      <w:keepNext/>
      <w:keepLines/>
      <w:widowControl/>
      <w:spacing w:line="240" w:lineRule="atLeast"/>
      <w:jc w:val="left"/>
    </w:pPr>
    <w:rPr>
      <w:rFonts w:ascii="Garamond" w:hAnsi="Garamond"/>
      <w:kern w:val="20"/>
      <w:sz w:val="22"/>
      <w:lang w:bidi="he-IL"/>
    </w:rPr>
  </w:style>
  <w:style w:type="paragraph" w:customStyle="1" w:styleId="128">
    <w:name w:val="Char Char Char Char Char Char Char"/>
    <w:basedOn w:val="1"/>
    <w:qFormat/>
    <w:uiPriority w:val="0"/>
    <w:pPr>
      <w:tabs>
        <w:tab w:val="left" w:pos="425"/>
      </w:tabs>
      <w:ind w:left="425" w:hanging="425"/>
    </w:pPr>
    <w:rPr>
      <w:rFonts w:eastAsia="仿宋_GB2312"/>
      <w:kern w:val="24"/>
      <w:sz w:val="24"/>
    </w:rPr>
  </w:style>
  <w:style w:type="paragraph" w:customStyle="1" w:styleId="12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30">
    <w:name w:val="Char Char21"/>
    <w:basedOn w:val="1"/>
    <w:qFormat/>
    <w:uiPriority w:val="0"/>
    <w:rPr>
      <w:rFonts w:ascii="宋体" w:hAnsi="宋体"/>
      <w:b/>
      <w:sz w:val="28"/>
      <w:szCs w:val="28"/>
    </w:rPr>
  </w:style>
  <w:style w:type="paragraph" w:customStyle="1" w:styleId="131">
    <w:name w:val="修订1"/>
    <w:qFormat/>
    <w:uiPriority w:val="0"/>
    <w:rPr>
      <w:rFonts w:ascii="Times New Roman" w:hAnsi="Times New Roman" w:eastAsia="宋体" w:cs="Times New Roman"/>
      <w:kern w:val="2"/>
      <w:sz w:val="21"/>
      <w:szCs w:val="24"/>
      <w:lang w:val="en-US" w:eastAsia="zh-CN" w:bidi="ar-SA"/>
    </w:rPr>
  </w:style>
  <w:style w:type="paragraph" w:customStyle="1" w:styleId="132">
    <w:name w:val="HZY表格正文"/>
    <w:qFormat/>
    <w:uiPriority w:val="0"/>
    <w:pPr>
      <w:spacing w:line="400" w:lineRule="exact"/>
    </w:pPr>
    <w:rPr>
      <w:rFonts w:ascii="Times New Roman" w:hAnsi="Times New Roman" w:eastAsia="宋体" w:cs="Times New Roman"/>
      <w:kern w:val="2"/>
      <w:sz w:val="21"/>
      <w:szCs w:val="22"/>
      <w:lang w:val="en-US" w:eastAsia="zh-CN" w:bidi="ar-SA"/>
    </w:rPr>
  </w:style>
  <w:style w:type="paragraph" w:customStyle="1" w:styleId="133">
    <w:name w:val="题注4"/>
    <w:basedOn w:val="1"/>
    <w:next w:val="14"/>
    <w:qFormat/>
    <w:uiPriority w:val="0"/>
    <w:pPr>
      <w:ind w:left="-132" w:leftChars="-64" w:right="-105" w:rightChars="-50" w:hanging="2"/>
      <w:jc w:val="center"/>
    </w:pPr>
    <w:rPr>
      <w:b/>
      <w:color w:val="FF0000"/>
      <w:szCs w:val="21"/>
      <w:lang w:val="en-GB"/>
    </w:rPr>
  </w:style>
  <w:style w:type="paragraph" w:customStyle="1" w:styleId="134">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135">
    <w:name w:val="无标题并列项"/>
    <w:qFormat/>
    <w:uiPriority w:val="0"/>
    <w:pPr>
      <w:tabs>
        <w:tab w:val="left" w:pos="840"/>
      </w:tabs>
      <w:spacing w:line="360" w:lineRule="auto"/>
      <w:ind w:left="350" w:leftChars="200" w:hanging="150" w:hangingChars="150"/>
    </w:pPr>
    <w:rPr>
      <w:rFonts w:ascii="宋体" w:hAnsi="宋体" w:eastAsia="宋体" w:cs="宋体"/>
      <w:kern w:val="0"/>
      <w:sz w:val="24"/>
      <w:szCs w:val="24"/>
      <w:lang w:val="en-US" w:eastAsia="zh-CN" w:bidi="ar-SA"/>
    </w:rPr>
  </w:style>
  <w:style w:type="paragraph" w:customStyle="1" w:styleId="136">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37">
    <w:name w:val="样式 标题 3h3H3sect1.2.3 + 五号 段前: 6 磅 段后: 6 磅 行距: 单倍行距"/>
    <w:basedOn w:val="4"/>
    <w:qFormat/>
    <w:uiPriority w:val="0"/>
    <w:pPr>
      <w:tabs>
        <w:tab w:val="left" w:pos="360"/>
        <w:tab w:val="left" w:pos="1260"/>
      </w:tabs>
      <w:adjustRightInd w:val="0"/>
      <w:spacing w:before="120" w:after="120" w:line="240" w:lineRule="auto"/>
      <w:ind w:left="1260" w:hanging="420"/>
      <w:jc w:val="left"/>
      <w:textAlignment w:val="baseline"/>
    </w:pPr>
    <w:rPr>
      <w:bCs w:val="0"/>
      <w:kern w:val="0"/>
      <w:sz w:val="21"/>
      <w:szCs w:val="20"/>
    </w:rPr>
  </w:style>
  <w:style w:type="paragraph" w:customStyle="1" w:styleId="138">
    <w:name w:val="表格"/>
    <w:basedOn w:val="1"/>
    <w:qFormat/>
    <w:uiPriority w:val="0"/>
    <w:pPr>
      <w:spacing w:line="420" w:lineRule="exact"/>
      <w:ind w:left="84" w:leftChars="40"/>
      <w:jc w:val="center"/>
    </w:pPr>
    <w:rPr>
      <w:rFonts w:ascii="宋体" w:hAnsi="宋体"/>
      <w:bCs/>
      <w:spacing w:val="-12"/>
    </w:rPr>
  </w:style>
  <w:style w:type="paragraph" w:customStyle="1" w:styleId="139">
    <w:name w:val="默认段落字体 Para Char Char Char Char"/>
    <w:basedOn w:val="1"/>
    <w:qFormat/>
    <w:uiPriority w:val="0"/>
    <w:rPr>
      <w:szCs w:val="21"/>
    </w:rPr>
  </w:style>
  <w:style w:type="paragraph" w:customStyle="1" w:styleId="140">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1">
    <w:name w:val="样式 标题 4 + 段前: 5 磅 段后: 5 磅 行距: 单倍行距"/>
    <w:basedOn w:val="5"/>
    <w:qFormat/>
    <w:uiPriority w:val="0"/>
    <w:pPr>
      <w:tabs>
        <w:tab w:val="left" w:pos="360"/>
      </w:tabs>
      <w:adjustRightInd w:val="0"/>
      <w:spacing w:before="100" w:after="100" w:line="240" w:lineRule="auto"/>
      <w:ind w:left="1980" w:hanging="720"/>
      <w:jc w:val="left"/>
      <w:textAlignment w:val="baseline"/>
    </w:pPr>
    <w:rPr>
      <w:rFonts w:ascii="Times New Roman" w:hAnsi="Times New Roman" w:eastAsia="宋体"/>
      <w:bCs w:val="0"/>
      <w:kern w:val="0"/>
      <w:szCs w:val="20"/>
    </w:rPr>
  </w:style>
  <w:style w:type="paragraph" w:customStyle="1" w:styleId="142">
    <w:name w:val="Char Char Char Char Char Char Char Char Char Char1"/>
    <w:basedOn w:val="1"/>
    <w:qFormat/>
    <w:uiPriority w:val="0"/>
    <w:rPr>
      <w:rFonts w:ascii="Tahoma" w:hAnsi="Tahoma"/>
      <w:sz w:val="24"/>
      <w:szCs w:val="20"/>
    </w:rPr>
  </w:style>
  <w:style w:type="paragraph" w:customStyle="1" w:styleId="143">
    <w:name w:val="样式4"/>
    <w:basedOn w:val="1"/>
    <w:qFormat/>
    <w:uiPriority w:val="0"/>
    <w:pPr>
      <w:tabs>
        <w:tab w:val="left" w:pos="1892"/>
        <w:tab w:val="left" w:pos="2328"/>
      </w:tabs>
      <w:ind w:left="1892" w:hanging="420"/>
    </w:pPr>
  </w:style>
  <w:style w:type="paragraph" w:customStyle="1" w:styleId="144">
    <w:name w:val="1第二部分 三级标题  附表"/>
    <w:basedOn w:val="1"/>
    <w:qFormat/>
    <w:uiPriority w:val="0"/>
    <w:pPr>
      <w:widowControl/>
      <w:spacing w:line="360" w:lineRule="auto"/>
      <w:ind w:left="992" w:hanging="153"/>
      <w:outlineLvl w:val="2"/>
    </w:pPr>
    <w:rPr>
      <w:b/>
      <w:kern w:val="0"/>
      <w:szCs w:val="21"/>
    </w:rPr>
  </w:style>
  <w:style w:type="paragraph" w:customStyle="1" w:styleId="145">
    <w:name w:val="正文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6">
    <w:name w:val="Char Char Char Char Char Char Char Char Char Char2"/>
    <w:basedOn w:val="1"/>
    <w:qFormat/>
    <w:uiPriority w:val="0"/>
    <w:rPr>
      <w:rFonts w:ascii="Tahoma" w:hAnsi="Tahoma"/>
      <w:sz w:val="24"/>
      <w:szCs w:val="20"/>
    </w:rPr>
  </w:style>
  <w:style w:type="paragraph" w:customStyle="1" w:styleId="147">
    <w:name w:val="Char Char2"/>
    <w:basedOn w:val="1"/>
    <w:qFormat/>
    <w:uiPriority w:val="0"/>
    <w:rPr>
      <w:rFonts w:ascii="宋体" w:hAnsi="宋体"/>
      <w:b/>
      <w:sz w:val="28"/>
      <w:szCs w:val="28"/>
    </w:rPr>
  </w:style>
  <w:style w:type="paragraph" w:customStyle="1" w:styleId="148">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49">
    <w:name w:val="font6"/>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50">
    <w:name w:val="图"/>
    <w:basedOn w:val="1"/>
    <w:qFormat/>
    <w:uiPriority w:val="0"/>
    <w:pPr>
      <w:keepNext/>
      <w:adjustRightInd w:val="0"/>
      <w:spacing w:before="60" w:after="60" w:line="300" w:lineRule="auto"/>
      <w:jc w:val="center"/>
      <w:textAlignment w:val="center"/>
    </w:pPr>
    <w:rPr>
      <w:spacing w:val="20"/>
      <w:kern w:val="0"/>
      <w:sz w:val="24"/>
      <w:szCs w:val="20"/>
    </w:rPr>
  </w:style>
  <w:style w:type="paragraph" w:customStyle="1" w:styleId="151">
    <w:name w:val="Char Char"/>
    <w:basedOn w:val="1"/>
    <w:qFormat/>
    <w:uiPriority w:val="0"/>
    <w:rPr>
      <w:rFonts w:ascii="宋体" w:hAnsi="宋体"/>
      <w:b/>
      <w:sz w:val="28"/>
      <w:szCs w:val="28"/>
    </w:rPr>
  </w:style>
  <w:style w:type="paragraph" w:customStyle="1" w:styleId="152">
    <w:name w:val="3 Char"/>
    <w:basedOn w:val="1"/>
    <w:qFormat/>
    <w:uiPriority w:val="0"/>
    <w:pPr>
      <w:widowControl/>
      <w:spacing w:line="400" w:lineRule="exact"/>
      <w:jc w:val="center"/>
    </w:pPr>
    <w:rPr>
      <w:rFonts w:ascii="Verdana" w:hAnsi="Verdana"/>
      <w:kern w:val="0"/>
      <w:szCs w:val="21"/>
      <w:lang w:eastAsia="en-US"/>
    </w:rPr>
  </w:style>
  <w:style w:type="paragraph" w:customStyle="1" w:styleId="153">
    <w:name w:val="表格文字"/>
    <w:basedOn w:val="1"/>
    <w:qFormat/>
    <w:uiPriority w:val="0"/>
    <w:pPr>
      <w:spacing w:before="25" w:after="25"/>
      <w:jc w:val="left"/>
    </w:pPr>
    <w:rPr>
      <w:bCs/>
      <w:spacing w:val="10"/>
      <w:kern w:val="0"/>
      <w:sz w:val="24"/>
      <w:szCs w:val="20"/>
    </w:rPr>
  </w:style>
  <w:style w:type="paragraph" w:customStyle="1" w:styleId="154">
    <w:name w:val="head"/>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156">
    <w:name w:val="Char Char Char Char Char Char Char Char Char Char"/>
    <w:basedOn w:val="1"/>
    <w:qFormat/>
    <w:uiPriority w:val="0"/>
    <w:rPr>
      <w:rFonts w:ascii="Tahoma" w:hAnsi="Tahoma"/>
      <w:sz w:val="24"/>
      <w:szCs w:val="20"/>
    </w:rPr>
  </w:style>
  <w:style w:type="paragraph" w:customStyle="1" w:styleId="157">
    <w:name w:val="Char Char2 Char"/>
    <w:basedOn w:val="1"/>
    <w:qFormat/>
    <w:uiPriority w:val="0"/>
    <w:rPr>
      <w:rFonts w:ascii="宋体" w:hAnsi="宋体"/>
      <w:b/>
      <w:sz w:val="28"/>
      <w:szCs w:val="28"/>
    </w:rPr>
  </w:style>
  <w:style w:type="paragraph" w:customStyle="1" w:styleId="158">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59">
    <w:name w:val="公文正文"/>
    <w:qFormat/>
    <w:uiPriority w:val="0"/>
    <w:pPr>
      <w:widowControl w:val="0"/>
      <w:spacing w:line="360" w:lineRule="auto"/>
      <w:ind w:firstLine="629"/>
      <w:jc w:val="both"/>
    </w:pPr>
    <w:rPr>
      <w:rFonts w:ascii="仿宋_GB2312" w:hAnsi="Calisto MT" w:eastAsia="仿宋_GB2312" w:cs="Times New Roman"/>
      <w:color w:val="000000"/>
      <w:kern w:val="0"/>
      <w:sz w:val="32"/>
      <w:szCs w:val="20"/>
      <w:lang w:val="en-US" w:eastAsia="zh-CN" w:bidi="ar-SA"/>
    </w:rPr>
  </w:style>
  <w:style w:type="paragraph" w:customStyle="1" w:styleId="160">
    <w:name w:val="Char1"/>
    <w:basedOn w:val="1"/>
    <w:qFormat/>
    <w:uiPriority w:val="0"/>
    <w:pPr>
      <w:widowControl/>
      <w:spacing w:after="160" w:line="240" w:lineRule="exact"/>
      <w:jc w:val="left"/>
    </w:pPr>
    <w:rPr>
      <w:sz w:val="24"/>
    </w:rPr>
  </w:style>
  <w:style w:type="paragraph" w:customStyle="1" w:styleId="161">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62">
    <w:name w:val="办公自动化专用标题"/>
    <w:basedOn w:val="46"/>
    <w:qFormat/>
    <w:uiPriority w:val="0"/>
    <w:pPr>
      <w:spacing w:line="560" w:lineRule="atLeast"/>
    </w:pPr>
    <w:rPr>
      <w:rFonts w:ascii="宋体" w:hAnsi="Times New Roman"/>
      <w:bCs w:val="0"/>
      <w:sz w:val="44"/>
      <w:szCs w:val="20"/>
    </w:rPr>
  </w:style>
  <w:style w:type="paragraph" w:customStyle="1" w:styleId="163">
    <w:name w:val="设计方案"/>
    <w:basedOn w:val="1"/>
    <w:qFormat/>
    <w:uiPriority w:val="0"/>
    <w:pPr>
      <w:widowControl/>
      <w:tabs>
        <w:tab w:val="left" w:pos="780"/>
      </w:tabs>
      <w:spacing w:after="160" w:line="240" w:lineRule="exact"/>
      <w:ind w:left="780" w:hanging="360"/>
      <w:jc w:val="left"/>
    </w:pPr>
    <w:rPr>
      <w:rFonts w:ascii="Verdana" w:hAnsi="Verdana"/>
      <w:kern w:val="0"/>
      <w:szCs w:val="21"/>
      <w:lang w:eastAsia="en-US"/>
    </w:rPr>
  </w:style>
  <w:style w:type="paragraph" w:customStyle="1" w:styleId="164">
    <w:name w:val="1第二部分  二级标题"/>
    <w:qFormat/>
    <w:uiPriority w:val="0"/>
    <w:pPr>
      <w:spacing w:beforeLines="50" w:line="300" w:lineRule="auto"/>
      <w:ind w:left="992" w:hanging="130"/>
      <w:outlineLvl w:val="1"/>
    </w:pPr>
    <w:rPr>
      <w:rFonts w:ascii="Times New Roman" w:hAnsi="Times New Roman" w:eastAsia="宋体" w:cs="Times New Roman"/>
      <w:b/>
      <w:kern w:val="0"/>
      <w:sz w:val="24"/>
      <w:szCs w:val="20"/>
      <w:lang w:val="en-US" w:eastAsia="zh-CN" w:bidi="ar-SA"/>
    </w:rPr>
  </w:style>
  <w:style w:type="paragraph" w:customStyle="1" w:styleId="165">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66">
    <w:name w:val="Char Char Char Char Char Char Char1"/>
    <w:basedOn w:val="1"/>
    <w:qFormat/>
    <w:uiPriority w:val="0"/>
    <w:pPr>
      <w:tabs>
        <w:tab w:val="left" w:pos="425"/>
      </w:tabs>
      <w:ind w:left="425" w:hanging="425"/>
    </w:pPr>
    <w:rPr>
      <w:rFonts w:eastAsia="仿宋_GB2312"/>
      <w:kern w:val="24"/>
      <w:sz w:val="24"/>
    </w:rPr>
  </w:style>
  <w:style w:type="paragraph" w:customStyle="1" w:styleId="167">
    <w:name w:val="样式1"/>
    <w:basedOn w:val="1"/>
    <w:qFormat/>
    <w:uiPriority w:val="0"/>
    <w:pPr>
      <w:tabs>
        <w:tab w:val="left" w:pos="572"/>
        <w:tab w:val="left" w:pos="709"/>
      </w:tabs>
      <w:adjustRightInd w:val="0"/>
      <w:ind w:left="572" w:hanging="360"/>
      <w:textAlignment w:val="baseline"/>
    </w:pPr>
    <w:rPr>
      <w:rFonts w:ascii="宋体" w:hAnsi="宋体"/>
      <w:kern w:val="0"/>
      <w:szCs w:val="21"/>
    </w:rPr>
  </w:style>
  <w:style w:type="paragraph" w:customStyle="1" w:styleId="168">
    <w:name w:val="1第三部分 四级标题"/>
    <w:qFormat/>
    <w:uiPriority w:val="0"/>
    <w:pPr>
      <w:spacing w:beforeLines="50" w:line="300" w:lineRule="auto"/>
      <w:ind w:left="992" w:hanging="153"/>
      <w:outlineLvl w:val="3"/>
    </w:pPr>
    <w:rPr>
      <w:rFonts w:ascii="Times New Roman" w:hAnsi="Times New Roman" w:eastAsia="宋体" w:cs="Times New Roman"/>
      <w:b/>
      <w:kern w:val="0"/>
      <w:sz w:val="21"/>
      <w:szCs w:val="21"/>
      <w:lang w:val="en-US" w:eastAsia="zh-CN" w:bidi="ar-SA"/>
    </w:rPr>
  </w:style>
  <w:style w:type="paragraph" w:customStyle="1" w:styleId="169">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xl29"/>
    <w:basedOn w:val="1"/>
    <w:qFormat/>
    <w:uiPriority w:val="0"/>
    <w:pPr>
      <w:widowControl/>
      <w:spacing w:before="100" w:beforeAutospacing="1" w:after="100" w:afterAutospacing="1"/>
      <w:jc w:val="center"/>
    </w:pPr>
    <w:rPr>
      <w:rFonts w:ascii="宋体" w:hAnsi="宋体"/>
      <w:kern w:val="0"/>
      <w:sz w:val="28"/>
      <w:szCs w:val="28"/>
    </w:rPr>
  </w:style>
  <w:style w:type="paragraph" w:styleId="171">
    <w:name w:val="List Paragraph"/>
    <w:basedOn w:val="1"/>
    <w:qFormat/>
    <w:uiPriority w:val="34"/>
    <w:pPr>
      <w:spacing w:line="360" w:lineRule="auto"/>
      <w:ind w:left="992" w:firstLine="420" w:firstLineChars="200"/>
    </w:pPr>
  </w:style>
  <w:style w:type="paragraph" w:customStyle="1" w:styleId="172">
    <w:name w:val="Char Char1"/>
    <w:basedOn w:val="1"/>
    <w:qFormat/>
    <w:uiPriority w:val="0"/>
    <w:rPr>
      <w:rFonts w:ascii="宋体" w:hAnsi="宋体"/>
      <w:b/>
      <w:sz w:val="28"/>
      <w:szCs w:val="28"/>
    </w:rPr>
  </w:style>
  <w:style w:type="paragraph" w:customStyle="1" w:styleId="173">
    <w:name w:val="Char11"/>
    <w:basedOn w:val="1"/>
    <w:qFormat/>
    <w:uiPriority w:val="0"/>
    <w:pPr>
      <w:widowControl/>
      <w:spacing w:after="160" w:line="240" w:lineRule="exact"/>
      <w:jc w:val="left"/>
    </w:pPr>
    <w:rPr>
      <w:rFonts w:ascii="Verdana" w:hAnsi="Verdana" w:eastAsia="仿宋_GB2312"/>
      <w:kern w:val="0"/>
      <w:sz w:val="24"/>
      <w:szCs w:val="21"/>
      <w:lang w:eastAsia="en-US"/>
    </w:rPr>
  </w:style>
  <w:style w:type="paragraph" w:customStyle="1" w:styleId="174">
    <w:name w:val="Char Char Char Char"/>
    <w:basedOn w:val="1"/>
    <w:qFormat/>
    <w:uiPriority w:val="0"/>
    <w:pPr>
      <w:widowControl/>
      <w:spacing w:after="160" w:line="240" w:lineRule="exact"/>
      <w:jc w:val="left"/>
    </w:pPr>
    <w:rPr>
      <w:rFonts w:ascii="Verdana" w:hAnsi="Verdana" w:eastAsia="仿宋_GB2312"/>
      <w:kern w:val="0"/>
      <w:sz w:val="24"/>
      <w:szCs w:val="21"/>
      <w:lang w:eastAsia="en-US"/>
    </w:rPr>
  </w:style>
  <w:style w:type="paragraph" w:customStyle="1" w:styleId="175">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正文 New New New New"/>
    <w:qFormat/>
    <w:uiPriority w:val="0"/>
    <w:pPr>
      <w:widowControl w:val="0"/>
      <w:jc w:val="both"/>
    </w:pPr>
    <w:rPr>
      <w:rFonts w:ascii="Calibri" w:hAnsi="Calibri" w:eastAsia="宋体" w:cs="宋体"/>
      <w:kern w:val="2"/>
      <w:sz w:val="21"/>
      <w:szCs w:val="24"/>
      <w:lang w:val="en-US" w:eastAsia="zh-CN" w:bidi="ar-SA"/>
    </w:rPr>
  </w:style>
  <w:style w:type="paragraph" w:customStyle="1" w:styleId="177">
    <w:name w:val="修订111"/>
    <w:qFormat/>
    <w:uiPriority w:val="0"/>
    <w:rPr>
      <w:rFonts w:ascii="Times New Roman" w:hAnsi="Times New Roman" w:eastAsia="宋体" w:cs="Times New Roman"/>
      <w:kern w:val="2"/>
      <w:sz w:val="21"/>
      <w:szCs w:val="24"/>
      <w:lang w:val="en-US" w:eastAsia="zh-CN" w:bidi="ar-SA"/>
    </w:rPr>
  </w:style>
  <w:style w:type="paragraph" w:customStyle="1" w:styleId="178">
    <w:name w:val="TOC 标题1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character" w:customStyle="1" w:styleId="179">
    <w:name w:val="NormalCharacter"/>
    <w:semiHidden/>
    <w:qFormat/>
    <w:uiPriority w:val="0"/>
  </w:style>
  <w:style w:type="character" w:customStyle="1" w:styleId="180">
    <w:name w:val="列出段落 Char Char"/>
    <w:qFormat/>
    <w:uiPriority w:val="0"/>
  </w:style>
  <w:style w:type="paragraph" w:customStyle="1" w:styleId="181">
    <w:name w:val="修订2"/>
    <w:qFormat/>
    <w:uiPriority w:val="0"/>
    <w:rPr>
      <w:rFonts w:ascii="Times New Roman" w:hAnsi="Times New Roman" w:eastAsia="宋体" w:cs="Times New Roman"/>
      <w:kern w:val="2"/>
      <w:sz w:val="21"/>
      <w:szCs w:val="24"/>
      <w:lang w:val="en-US" w:eastAsia="zh-CN" w:bidi="ar-SA"/>
    </w:rPr>
  </w:style>
  <w:style w:type="paragraph" w:customStyle="1" w:styleId="182">
    <w:name w:val="TOC 标题2"/>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83">
    <w:name w:val="Table Paragraph"/>
    <w:basedOn w:val="1"/>
    <w:qFormat/>
    <w:uiPriority w:val="1"/>
    <w:pPr>
      <w:widowControl/>
      <w:kinsoku w:val="0"/>
      <w:autoSpaceDE w:val="0"/>
      <w:autoSpaceDN w:val="0"/>
      <w:adjustRightInd w:val="0"/>
      <w:snapToGrid w:val="0"/>
      <w:jc w:val="left"/>
      <w:textAlignment w:val="baseline"/>
    </w:pPr>
    <w:rPr>
      <w:rFonts w:ascii="宋体" w:hAnsi="宋体" w:eastAsia="Arial" w:cs="宋体"/>
      <w:snapToGrid w:val="0"/>
      <w:color w:val="000000"/>
      <w:kern w:val="0"/>
      <w:sz w:val="22"/>
      <w:szCs w:val="22"/>
      <w:lang w:val="zh-CN" w:bidi="zh-CN"/>
    </w:rPr>
  </w:style>
  <w:style w:type="paragraph" w:customStyle="1" w:styleId="184">
    <w:name w:val="_Style 184"/>
    <w:qFormat/>
    <w:uiPriority w:val="0"/>
    <w:rPr>
      <w:rFonts w:ascii="Times New Roman" w:hAnsi="Times New Roman" w:eastAsia="宋体" w:cs="Times New Roman"/>
      <w:kern w:val="2"/>
      <w:sz w:val="21"/>
      <w:szCs w:val="24"/>
      <w:lang w:val="en-US" w:eastAsia="zh-CN" w:bidi="ar-SA"/>
    </w:rPr>
  </w:style>
  <w:style w:type="paragraph" w:customStyle="1" w:styleId="185">
    <w:name w:val="_Style 185"/>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86">
    <w:name w:val="修订11"/>
    <w:qFormat/>
    <w:uiPriority w:val="0"/>
    <w:rPr>
      <w:rFonts w:ascii="Times New Roman" w:hAnsi="Times New Roman" w:eastAsia="宋体" w:cs="Times New Roman"/>
      <w:kern w:val="2"/>
      <w:sz w:val="21"/>
      <w:szCs w:val="24"/>
      <w:lang w:val="en-US" w:eastAsia="zh-CN" w:bidi="ar-SA"/>
    </w:rPr>
  </w:style>
  <w:style w:type="paragraph" w:customStyle="1" w:styleId="187">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88">
    <w:name w:val="_Style 181"/>
    <w:qFormat/>
    <w:uiPriority w:val="0"/>
    <w:rPr>
      <w:rFonts w:ascii="Times New Roman" w:hAnsi="Times New Roman" w:eastAsia="宋体" w:cs="Times New Roman"/>
      <w:kern w:val="2"/>
      <w:sz w:val="21"/>
      <w:szCs w:val="24"/>
      <w:lang w:val="en-US" w:eastAsia="zh-CN" w:bidi="ar-SA"/>
    </w:rPr>
  </w:style>
  <w:style w:type="paragraph" w:customStyle="1" w:styleId="189">
    <w:name w:val="_Style 182"/>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90">
    <w:name w:val="_Style 6"/>
    <w:basedOn w:val="2"/>
    <w:next w:val="1"/>
    <w:qFormat/>
    <w:uiPriority w:val="0"/>
    <w:pPr>
      <w:keepNext/>
      <w:outlineLvl w:val="9"/>
    </w:pPr>
    <w:rPr>
      <w:b/>
      <w:bCs/>
      <w:sz w:val="32"/>
      <w:szCs w:val="24"/>
    </w:rPr>
  </w:style>
  <w:style w:type="paragraph" w:customStyle="1" w:styleId="191">
    <w:name w:val="_Style 18411"/>
    <w:qFormat/>
    <w:uiPriority w:val="0"/>
    <w:rPr>
      <w:rFonts w:ascii="Times New Roman" w:hAnsi="Times New Roman" w:eastAsia="宋体" w:cs="Times New Roman"/>
      <w:kern w:val="2"/>
      <w:sz w:val="21"/>
      <w:szCs w:val="24"/>
      <w:lang w:val="en-US" w:eastAsia="zh-CN" w:bidi="ar-SA"/>
    </w:rPr>
  </w:style>
  <w:style w:type="paragraph" w:customStyle="1" w:styleId="192">
    <w:name w:val="_Style 185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93">
    <w:name w:val="_Style 19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_Style 1841"/>
    <w:qFormat/>
    <w:uiPriority w:val="0"/>
    <w:rPr>
      <w:rFonts w:ascii="Times New Roman" w:hAnsi="Times New Roman" w:eastAsia="宋体" w:cs="Times New Roman"/>
      <w:kern w:val="2"/>
      <w:sz w:val="21"/>
      <w:szCs w:val="24"/>
      <w:lang w:val="en-US" w:eastAsia="zh-CN" w:bidi="ar-SA"/>
    </w:rPr>
  </w:style>
  <w:style w:type="paragraph" w:customStyle="1" w:styleId="195">
    <w:name w:val="_Style 185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96">
    <w:name w:val="修订3"/>
    <w:unhideWhenUsed/>
    <w:qFormat/>
    <w:uiPriority w:val="99"/>
    <w:rPr>
      <w:rFonts w:ascii="Times New Roman" w:hAnsi="Times New Roman" w:eastAsia="宋体" w:cs="Times New Roman"/>
      <w:kern w:val="2"/>
      <w:sz w:val="21"/>
      <w:szCs w:val="24"/>
      <w:lang w:val="en-US" w:eastAsia="zh-CN" w:bidi="ar-SA"/>
    </w:rPr>
  </w:style>
  <w:style w:type="character" w:customStyle="1" w:styleId="197">
    <w:name w:val="批注文字 字符1"/>
    <w:qFormat/>
    <w:uiPriority w:val="99"/>
    <w:rPr>
      <w:rFonts w:ascii="Times New Roman" w:hAnsi="Times New Roman" w:eastAsia="宋体" w:cs="Times New Roman"/>
      <w:szCs w:val="24"/>
      <w:lang w:val="zh-CN" w:eastAsia="zh-CN"/>
    </w:rPr>
  </w:style>
  <w:style w:type="character" w:customStyle="1" w:styleId="198">
    <w:name w:val="ggnr1"/>
    <w:qFormat/>
    <w:uiPriority w:val="0"/>
    <w:rPr>
      <w:sz w:val="20"/>
      <w:szCs w:val="20"/>
    </w:rPr>
  </w:style>
  <w:style w:type="paragraph" w:customStyle="1" w:styleId="19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paragraph" w:customStyle="1" w:styleId="200">
    <w:name w:val="null3"/>
    <w:qFormat/>
    <w:uiPriority w:val="0"/>
    <w:rPr>
      <w:rFonts w:hint="eastAsia" w:ascii="Calibri" w:hAnsi="Calibri" w:eastAsia="宋体" w:cs="Times New Roman"/>
      <w:kern w:val="0"/>
      <w:sz w:val="20"/>
      <w:szCs w:val="20"/>
      <w:lang w:val="en-US" w:eastAsia="zh-CN" w:bidi="ar-SA"/>
    </w:rPr>
  </w:style>
  <w:style w:type="character" w:customStyle="1" w:styleId="201">
    <w:name w:val="正文缩进 字符1"/>
    <w:qFormat/>
    <w:uiPriority w:val="0"/>
    <w:rPr>
      <w:rFonts w:ascii="Times New Roman" w:hAnsi="Times New Roman" w:eastAsia="宋体" w:cs="Times New Roman"/>
      <w:kern w:val="2"/>
      <w:sz w:val="21"/>
      <w:lang w:val="en-US" w:eastAsia="zh-CN" w:bidi="ar-SA"/>
    </w:rPr>
  </w:style>
  <w:style w:type="paragraph" w:customStyle="1" w:styleId="202">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203">
    <w:name w:val="msolistparagraph"/>
    <w:basedOn w:val="1"/>
    <w:qFormat/>
    <w:uiPriority w:val="0"/>
    <w:pPr>
      <w:spacing w:after="160" w:line="276" w:lineRule="auto"/>
      <w:ind w:firstLine="420" w:firstLineChars="200"/>
    </w:pPr>
  </w:style>
  <w:style w:type="paragraph" w:customStyle="1" w:styleId="204">
    <w:name w:val="_Style 206"/>
    <w:basedOn w:val="1"/>
    <w:next w:val="1"/>
    <w:qFormat/>
    <w:uiPriority w:val="39"/>
    <w:pPr>
      <w:tabs>
        <w:tab w:val="right" w:leader="dot" w:pos="8302"/>
      </w:tabs>
      <w:jc w:val="left"/>
    </w:pPr>
    <w:rPr>
      <w:rFonts w:ascii="仿宋_GB2312" w:hAnsi="仿宋" w:eastAsia="仿宋_GB2312" w:cs="Calibri"/>
      <w:b/>
      <w:smallCaps/>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26</Pages>
  <Words>14722</Words>
  <Characters>15059</Characters>
  <Lines>693</Lines>
  <Paragraphs>664</Paragraphs>
  <TotalTime>5</TotalTime>
  <ScaleCrop>false</ScaleCrop>
  <LinksUpToDate>false</LinksUpToDate>
  <CharactersWithSpaces>15728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2026-09-18T03:33:00Z</dcterms:created>
  <dc:creator>谢洋</dc:creator>
  <cp:lastModifiedBy>招标代理</cp:lastModifiedBy>
  <dcterms:modified xsi:type="dcterms:W3CDTF">2026-09-29T09:58:11Z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eyJoZGlkIjoiNjA5ZWQ2ZjU0MWVmZjNjYTE3NzZkZjljMGJmYmI3ZTgiLCJ1c2VySWQiOiIxNzQ5NjE5NDY2In0=</vt:lpwstr>
  </property>
  <property fmtid="{D5CDD505-2E9C-101B-9397-08002B2CF9AE}" pid="3" name="KSOProductBuildVer">
    <vt:lpwstr>2052-12.1.0.28488</vt:lpwstr>
  </property>
  <property fmtid="{D5CDD505-2E9C-101B-9397-08002B2CF9AE}" pid="4" name="ICV">
    <vt:lpwstr>D59C15FF12B24E4D9AE5E9DE7B99207A_12</vt:lpwstr>
  </property>
</Properties>
</file>